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spacing w:before="0" w:beforeAutospacing="1" w:after="0" w:afterAutospacing="1"/>
        <w:ind w:left="0" w:right="0"/>
        <w:jc w:val="center"/>
        <w:rPr>
          <w:rFonts w:hint="eastAsia" w:ascii="黑体" w:hAnsi="ˎ̥" w:eastAsia="黑体" w:cs="黑体"/>
          <w:b/>
          <w:bCs w:val="0"/>
          <w:kern w:val="0"/>
          <w:sz w:val="32"/>
          <w:szCs w:val="32"/>
        </w:rPr>
      </w:pPr>
      <w:r>
        <w:rPr>
          <w:rFonts w:hint="eastAsia" w:ascii="黑体" w:hAnsi="宋体" w:eastAsia="黑体" w:cs="黑体"/>
          <w:kern w:val="0"/>
          <w:sz w:val="44"/>
          <w:szCs w:val="44"/>
        </w:rPr>
        <w:t>海南大学2022年度部门决算公开报告</w:t>
      </w:r>
    </w:p>
    <w:sdt>
      <w:sdtPr>
        <w:rPr>
          <w:rFonts w:hint="eastAsia" w:ascii="宋体" w:hAnsi="宋体" w:eastAsia="宋体" w:cs="宋体"/>
          <w:kern w:val="0"/>
          <w:sz w:val="21"/>
          <w:szCs w:val="24"/>
          <w:lang w:val="en-US" w:eastAsia="zh-CN" w:bidi="ar"/>
        </w:rPr>
        <w:id w:val="147473396"/>
        <w15:color w:val="DBDBDB"/>
        <w:docPartObj>
          <w:docPartGallery w:val="Table of Contents"/>
          <w:docPartUnique/>
        </w:docPartObj>
      </w:sdtPr>
      <w:sdtEndPr>
        <w:rPr>
          <w:rFonts w:hint="eastAsia" w:ascii="宋体" w:hAnsi="宋体" w:eastAsia="宋体" w:cs="宋体"/>
          <w:b/>
          <w:kern w:val="0"/>
          <w:sz w:val="21"/>
          <w:szCs w:val="24"/>
          <w:lang w:val="en-US" w:eastAsia="zh-CN" w:bidi="ar"/>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kern w:val="0"/>
              <w:sz w:val="21"/>
              <w:szCs w:val="24"/>
              <w:lang w:val="en-US" w:eastAsia="zh-CN" w:bidi="ar"/>
            </w:rPr>
          </w:pPr>
          <w:bookmarkStart w:id="0" w:name="_Toc11590"/>
          <w:bookmarkStart w:id="1" w:name="_Toc4343"/>
          <w:bookmarkStart w:id="79" w:name="_GoBack"/>
          <w:bookmarkEnd w:id="79"/>
        </w:p>
        <w:p>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44"/>
              <w:szCs w:val="44"/>
            </w:rPr>
            <w:t>目</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录</w:t>
          </w:r>
        </w:p>
        <w:p>
          <w:pPr>
            <w:pStyle w:val="12"/>
            <w:tabs>
              <w:tab w:val="right" w:leader="dot" w:pos="8315"/>
            </w:tabs>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r>
            <w:rPr>
              <w:rFonts w:hint="eastAsia" w:ascii="仿宋" w:hAnsi="仿宋" w:eastAsia="仿宋" w:cs="仿宋"/>
              <w:szCs w:val="28"/>
            </w:rPr>
            <w:fldChar w:fldCharType="begin"/>
          </w:r>
          <w:r>
            <w:rPr>
              <w:rFonts w:hint="eastAsia" w:ascii="仿宋" w:hAnsi="仿宋" w:eastAsia="仿宋" w:cs="仿宋"/>
              <w:szCs w:val="28"/>
            </w:rPr>
            <w:instrText xml:space="preserve"> HYPERLINK \l _Toc27014 </w:instrText>
          </w:r>
          <w:r>
            <w:rPr>
              <w:rFonts w:hint="eastAsia" w:ascii="仿宋" w:hAnsi="仿宋" w:eastAsia="仿宋" w:cs="仿宋"/>
              <w:szCs w:val="28"/>
            </w:rPr>
            <w:fldChar w:fldCharType="separate"/>
          </w:r>
          <w:r>
            <w:rPr>
              <w:rFonts w:hint="eastAsia"/>
            </w:rPr>
            <w:t xml:space="preserve">第一部分  </w:t>
          </w:r>
          <w:r>
            <w:rPr>
              <w:rFonts w:hint="eastAsia"/>
              <w:lang w:val="en-US" w:eastAsia="zh-CN"/>
            </w:rPr>
            <w:t>海南大学</w:t>
          </w:r>
          <w:r>
            <w:rPr>
              <w:rFonts w:hint="eastAsia"/>
            </w:rPr>
            <w:t>基本情况</w:t>
          </w:r>
          <w:r>
            <w:tab/>
          </w:r>
          <w:r>
            <w:fldChar w:fldCharType="begin"/>
          </w:r>
          <w:r>
            <w:instrText xml:space="preserve"> PAGEREF _Toc27014 \h </w:instrText>
          </w:r>
          <w:r>
            <w:fldChar w:fldCharType="separate"/>
          </w:r>
          <w:r>
            <w:t>3</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_Toc34 </w:instrText>
          </w:r>
          <w:r>
            <w:rPr>
              <w:rFonts w:hint="eastAsia" w:ascii="仿宋" w:hAnsi="仿宋" w:eastAsia="仿宋" w:cs="仿宋"/>
              <w:szCs w:val="28"/>
            </w:rPr>
            <w:fldChar w:fldCharType="separate"/>
          </w:r>
          <w:r>
            <w:rPr>
              <w:rFonts w:hint="eastAsia"/>
            </w:rPr>
            <w:t>一、 部门职责</w:t>
          </w:r>
          <w:r>
            <w:tab/>
          </w:r>
          <w:r>
            <w:fldChar w:fldCharType="begin"/>
          </w:r>
          <w:r>
            <w:instrText xml:space="preserve"> PAGEREF _Toc34 \h </w:instrText>
          </w:r>
          <w:r>
            <w:fldChar w:fldCharType="separate"/>
          </w:r>
          <w:r>
            <w:t>3</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_Toc30407 </w:instrText>
          </w:r>
          <w:r>
            <w:rPr>
              <w:rFonts w:hint="eastAsia" w:ascii="仿宋" w:hAnsi="仿宋" w:eastAsia="仿宋" w:cs="仿宋"/>
              <w:szCs w:val="28"/>
            </w:rPr>
            <w:fldChar w:fldCharType="separate"/>
          </w:r>
          <w:r>
            <w:rPr>
              <w:rFonts w:hint="eastAsia"/>
            </w:rPr>
            <w:t>二、 机构设置</w:t>
          </w:r>
          <w:r>
            <w:tab/>
          </w:r>
          <w:r>
            <w:fldChar w:fldCharType="begin"/>
          </w:r>
          <w:r>
            <w:instrText xml:space="preserve"> PAGEREF _Toc30407 \h </w:instrText>
          </w:r>
          <w:r>
            <w:fldChar w:fldCharType="separate"/>
          </w:r>
          <w:r>
            <w:t>5</w:t>
          </w:r>
          <w:r>
            <w:fldChar w:fldCharType="end"/>
          </w:r>
          <w:r>
            <w:rPr>
              <w:rFonts w:hint="eastAsia" w:ascii="仿宋" w:hAnsi="仿宋" w:eastAsia="仿宋" w:cs="仿宋"/>
              <w:szCs w:val="28"/>
            </w:rPr>
            <w:fldChar w:fldCharType="end"/>
          </w:r>
        </w:p>
        <w:p>
          <w:pPr>
            <w:pStyle w:val="12"/>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_Toc5272 </w:instrText>
          </w:r>
          <w:r>
            <w:rPr>
              <w:rFonts w:hint="eastAsia" w:ascii="仿宋" w:hAnsi="仿宋" w:eastAsia="仿宋" w:cs="仿宋"/>
              <w:szCs w:val="28"/>
            </w:rPr>
            <w:fldChar w:fldCharType="separate"/>
          </w:r>
          <w:r>
            <w:rPr>
              <w:rFonts w:hint="eastAsia"/>
            </w:rPr>
            <w:t xml:space="preserve">第二部分  </w:t>
          </w:r>
          <w:r>
            <w:rPr>
              <w:rFonts w:hint="eastAsia"/>
              <w:lang w:val="en-US" w:eastAsia="zh-CN"/>
            </w:rPr>
            <w:t>海南大学</w:t>
          </w:r>
          <w:r>
            <w:rPr>
              <w:rFonts w:hint="eastAsia"/>
            </w:rPr>
            <w:t>2022年度部门决算公开报表</w:t>
          </w:r>
          <w:r>
            <w:tab/>
          </w:r>
          <w:r>
            <w:fldChar w:fldCharType="begin"/>
          </w:r>
          <w:r>
            <w:instrText xml:space="preserve"> PAGEREF _Toc5272 \h </w:instrText>
          </w:r>
          <w:r>
            <w:fldChar w:fldCharType="separate"/>
          </w:r>
          <w:r>
            <w:t>6</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_Toc25174 </w:instrText>
          </w:r>
          <w:r>
            <w:rPr>
              <w:rFonts w:hint="eastAsia" w:ascii="仿宋" w:hAnsi="仿宋" w:eastAsia="仿宋" w:cs="仿宋"/>
              <w:szCs w:val="28"/>
            </w:rPr>
            <w:fldChar w:fldCharType="separate"/>
          </w:r>
          <w:r>
            <w:rPr>
              <w:rFonts w:hint="eastAsia"/>
            </w:rPr>
            <w:t>一、收入支出决算公开表</w:t>
          </w:r>
          <w:r>
            <w:rPr>
              <w:rFonts w:hint="eastAsia"/>
              <w:lang w:val="en-US" w:eastAsia="zh-CN"/>
            </w:rPr>
            <w:t>(见正文附件）</w:t>
          </w:r>
          <w:r>
            <w:tab/>
          </w:r>
          <w:r>
            <w:fldChar w:fldCharType="begin"/>
          </w:r>
          <w:r>
            <w:instrText xml:space="preserve"> PAGEREF _Toc25174 \h </w:instrText>
          </w:r>
          <w:r>
            <w:fldChar w:fldCharType="separate"/>
          </w:r>
          <w:r>
            <w:t>6</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_Toc15935 </w:instrText>
          </w:r>
          <w:r>
            <w:rPr>
              <w:rFonts w:hint="eastAsia" w:ascii="仿宋" w:hAnsi="仿宋" w:eastAsia="仿宋" w:cs="仿宋"/>
              <w:szCs w:val="28"/>
            </w:rPr>
            <w:fldChar w:fldCharType="separate"/>
          </w:r>
          <w:r>
            <w:rPr>
              <w:rFonts w:hint="eastAsia"/>
            </w:rPr>
            <w:t>二、收入决算公开表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_Toc15935 \h </w:instrText>
          </w:r>
          <w:r>
            <w:fldChar w:fldCharType="separate"/>
          </w:r>
          <w:r>
            <w:t>6</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_Toc27402 </w:instrText>
          </w:r>
          <w:r>
            <w:rPr>
              <w:rFonts w:hint="eastAsia" w:ascii="仿宋" w:hAnsi="仿宋" w:eastAsia="仿宋" w:cs="仿宋"/>
              <w:szCs w:val="28"/>
            </w:rPr>
            <w:fldChar w:fldCharType="separate"/>
          </w:r>
          <w:r>
            <w:rPr>
              <w:rFonts w:hint="eastAsia"/>
            </w:rPr>
            <w:t>三、支出决算公开表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_Toc27402 \h </w:instrText>
          </w:r>
          <w:r>
            <w:fldChar w:fldCharType="separate"/>
          </w:r>
          <w:r>
            <w:t>6</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_Toc13125 </w:instrText>
          </w:r>
          <w:r>
            <w:rPr>
              <w:rFonts w:hint="eastAsia" w:ascii="仿宋" w:hAnsi="仿宋" w:eastAsia="仿宋" w:cs="仿宋"/>
              <w:szCs w:val="28"/>
            </w:rPr>
            <w:fldChar w:fldCharType="separate"/>
          </w:r>
          <w:r>
            <w:rPr>
              <w:rFonts w:hint="eastAsia"/>
            </w:rPr>
            <w:t>四、财政拨款收入支出决算公开表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_Toc13125 \h </w:instrText>
          </w:r>
          <w:r>
            <w:fldChar w:fldCharType="separate"/>
          </w:r>
          <w:r>
            <w:t>6</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_Toc32301 </w:instrText>
          </w:r>
          <w:r>
            <w:rPr>
              <w:rFonts w:hint="eastAsia" w:ascii="仿宋" w:hAnsi="仿宋" w:eastAsia="仿宋" w:cs="仿宋"/>
              <w:szCs w:val="28"/>
            </w:rPr>
            <w:fldChar w:fldCharType="separate"/>
          </w:r>
          <w:r>
            <w:rPr>
              <w:rFonts w:hint="eastAsia"/>
            </w:rPr>
            <w:t>五、一般公共预算财政拨款收入支出决算公开表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_Toc32301 \h </w:instrText>
          </w:r>
          <w:r>
            <w:fldChar w:fldCharType="separate"/>
          </w:r>
          <w:r>
            <w:t>6</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_Toc17499 </w:instrText>
          </w:r>
          <w:r>
            <w:rPr>
              <w:rFonts w:hint="eastAsia" w:ascii="仿宋" w:hAnsi="仿宋" w:eastAsia="仿宋" w:cs="仿宋"/>
              <w:szCs w:val="28"/>
            </w:rPr>
            <w:fldChar w:fldCharType="separate"/>
          </w:r>
          <w:r>
            <w:rPr>
              <w:rFonts w:hint="eastAsia"/>
            </w:rPr>
            <w:t>六、一般公共预算财政拨款基本支出决算公开表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_Toc17499 \h </w:instrText>
          </w:r>
          <w:r>
            <w:fldChar w:fldCharType="separate"/>
          </w:r>
          <w:r>
            <w:t>6</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_Toc2064 </w:instrText>
          </w:r>
          <w:r>
            <w:rPr>
              <w:rFonts w:hint="eastAsia" w:ascii="仿宋" w:hAnsi="仿宋" w:eastAsia="仿宋" w:cs="仿宋"/>
              <w:szCs w:val="28"/>
            </w:rPr>
            <w:fldChar w:fldCharType="separate"/>
          </w:r>
          <w:r>
            <w:rPr>
              <w:rFonts w:hint="eastAsia"/>
            </w:rPr>
            <w:t>七、政府性基金预算财政拨款收入支出决算公开表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_Toc2064 \h </w:instrText>
          </w:r>
          <w:r>
            <w:fldChar w:fldCharType="separate"/>
          </w:r>
          <w:r>
            <w:t>6</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_Toc6501 </w:instrText>
          </w:r>
          <w:r>
            <w:rPr>
              <w:rFonts w:hint="eastAsia" w:ascii="仿宋" w:hAnsi="仿宋" w:eastAsia="仿宋" w:cs="仿宋"/>
              <w:szCs w:val="28"/>
            </w:rPr>
            <w:fldChar w:fldCharType="separate"/>
          </w:r>
          <w:r>
            <w:rPr>
              <w:rFonts w:hint="eastAsia"/>
            </w:rPr>
            <w:t>八、国有资本经营预算财政拨款收入支出决算公开表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_Toc6501 \h </w:instrText>
          </w:r>
          <w:r>
            <w:fldChar w:fldCharType="separate"/>
          </w:r>
          <w:r>
            <w:t>6</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_Toc12916 </w:instrText>
          </w:r>
          <w:r>
            <w:rPr>
              <w:rFonts w:hint="eastAsia" w:ascii="仿宋" w:hAnsi="仿宋" w:eastAsia="仿宋" w:cs="仿宋"/>
              <w:szCs w:val="28"/>
            </w:rPr>
            <w:fldChar w:fldCharType="separate"/>
          </w:r>
          <w:r>
            <w:rPr>
              <w:rFonts w:hint="eastAsia"/>
            </w:rPr>
            <w:t>九、财政拨款“三公”经费支出决算公开表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_Toc12916 \h </w:instrText>
          </w:r>
          <w:r>
            <w:fldChar w:fldCharType="separate"/>
          </w:r>
          <w:r>
            <w:t>6</w:t>
          </w:r>
          <w:r>
            <w:fldChar w:fldCharType="end"/>
          </w:r>
          <w:r>
            <w:rPr>
              <w:rFonts w:hint="eastAsia" w:ascii="仿宋" w:hAnsi="仿宋" w:eastAsia="仿宋" w:cs="仿宋"/>
              <w:szCs w:val="28"/>
            </w:rPr>
            <w:fldChar w:fldCharType="end"/>
          </w:r>
        </w:p>
        <w:p>
          <w:pPr>
            <w:pStyle w:val="12"/>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_Toc6349 </w:instrText>
          </w:r>
          <w:r>
            <w:rPr>
              <w:rFonts w:hint="eastAsia" w:ascii="仿宋" w:hAnsi="仿宋" w:eastAsia="仿宋" w:cs="仿宋"/>
              <w:szCs w:val="28"/>
            </w:rPr>
            <w:fldChar w:fldCharType="separate"/>
          </w:r>
          <w:r>
            <w:rPr>
              <w:rFonts w:hint="eastAsia"/>
            </w:rPr>
            <w:t xml:space="preserve">第三部分  </w:t>
          </w:r>
          <w:r>
            <w:rPr>
              <w:rFonts w:hint="eastAsia"/>
              <w:lang w:val="en-US" w:eastAsia="zh-CN"/>
            </w:rPr>
            <w:t>海南大学</w:t>
          </w:r>
          <w:r>
            <w:rPr>
              <w:rFonts w:hint="eastAsia"/>
            </w:rPr>
            <w:t>2022年度部门决算情况说明</w:t>
          </w:r>
          <w:r>
            <w:tab/>
          </w:r>
          <w:r>
            <w:fldChar w:fldCharType="begin"/>
          </w:r>
          <w:r>
            <w:instrText xml:space="preserve"> PAGEREF _Toc6349 \h </w:instrText>
          </w:r>
          <w:r>
            <w:fldChar w:fldCharType="separate"/>
          </w:r>
          <w:r>
            <w:t>7</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_Toc18213 </w:instrText>
          </w:r>
          <w:r>
            <w:rPr>
              <w:rFonts w:hint="eastAsia" w:ascii="仿宋" w:hAnsi="仿宋" w:eastAsia="仿宋" w:cs="仿宋"/>
              <w:szCs w:val="28"/>
            </w:rPr>
            <w:fldChar w:fldCharType="separate"/>
          </w:r>
          <w:r>
            <w:rPr>
              <w:rFonts w:hint="eastAsia"/>
            </w:rPr>
            <w:t xml:space="preserve">一、收入支出总体情况说明 </w:t>
          </w:r>
          <w:r>
            <w:tab/>
          </w:r>
          <w:r>
            <w:fldChar w:fldCharType="begin"/>
          </w:r>
          <w:r>
            <w:instrText xml:space="preserve"> PAGEREF _Toc18213 \h </w:instrText>
          </w:r>
          <w:r>
            <w:fldChar w:fldCharType="separate"/>
          </w:r>
          <w:r>
            <w:t>7</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_Toc30246 </w:instrText>
          </w:r>
          <w:r>
            <w:rPr>
              <w:rFonts w:hint="eastAsia" w:ascii="仿宋" w:hAnsi="仿宋" w:eastAsia="仿宋" w:cs="仿宋"/>
              <w:szCs w:val="28"/>
            </w:rPr>
            <w:fldChar w:fldCharType="separate"/>
          </w:r>
          <w:r>
            <w:rPr>
              <w:rFonts w:hint="eastAsia"/>
            </w:rPr>
            <w:t xml:space="preserve">二、收入决算情况说明 </w:t>
          </w:r>
          <w:r>
            <w:tab/>
          </w:r>
          <w:r>
            <w:fldChar w:fldCharType="begin"/>
          </w:r>
          <w:r>
            <w:instrText xml:space="preserve"> PAGEREF _Toc30246 \h </w:instrText>
          </w:r>
          <w:r>
            <w:fldChar w:fldCharType="separate"/>
          </w:r>
          <w:r>
            <w:t>7</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_Toc24691 </w:instrText>
          </w:r>
          <w:r>
            <w:rPr>
              <w:rFonts w:hint="eastAsia" w:ascii="仿宋" w:hAnsi="仿宋" w:eastAsia="仿宋" w:cs="仿宋"/>
              <w:szCs w:val="28"/>
            </w:rPr>
            <w:fldChar w:fldCharType="separate"/>
          </w:r>
          <w:r>
            <w:rPr>
              <w:rFonts w:hint="eastAsia"/>
            </w:rPr>
            <w:t>三、支出决算情况说明</w:t>
          </w:r>
          <w:r>
            <w:tab/>
          </w:r>
          <w:r>
            <w:fldChar w:fldCharType="begin"/>
          </w:r>
          <w:r>
            <w:instrText xml:space="preserve"> PAGEREF _Toc24691 \h </w:instrText>
          </w:r>
          <w:r>
            <w:fldChar w:fldCharType="separate"/>
          </w:r>
          <w:r>
            <w:t>8</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_Toc2894 </w:instrText>
          </w:r>
          <w:r>
            <w:rPr>
              <w:rFonts w:hint="eastAsia" w:ascii="仿宋" w:hAnsi="仿宋" w:eastAsia="仿宋" w:cs="仿宋"/>
              <w:szCs w:val="28"/>
            </w:rPr>
            <w:fldChar w:fldCharType="separate"/>
          </w:r>
          <w:r>
            <w:rPr>
              <w:rFonts w:hint="eastAsia"/>
            </w:rPr>
            <w:t>四、财政拨款收入支出决算总体情况说明</w:t>
          </w:r>
          <w:r>
            <w:tab/>
          </w:r>
          <w:r>
            <w:fldChar w:fldCharType="begin"/>
          </w:r>
          <w:r>
            <w:instrText xml:space="preserve"> PAGEREF _Toc2894 \h </w:instrText>
          </w:r>
          <w:r>
            <w:fldChar w:fldCharType="separate"/>
          </w:r>
          <w:r>
            <w:t>8</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_Toc7790 </w:instrText>
          </w:r>
          <w:r>
            <w:rPr>
              <w:rFonts w:hint="eastAsia" w:ascii="仿宋" w:hAnsi="仿宋" w:eastAsia="仿宋" w:cs="仿宋"/>
              <w:szCs w:val="28"/>
            </w:rPr>
            <w:fldChar w:fldCharType="separate"/>
          </w:r>
          <w:r>
            <w:rPr>
              <w:rFonts w:hint="eastAsia"/>
            </w:rPr>
            <w:t>五、一般公共预算财政拨款支出决算情况说明</w:t>
          </w:r>
          <w:r>
            <w:tab/>
          </w:r>
          <w:r>
            <w:fldChar w:fldCharType="begin"/>
          </w:r>
          <w:r>
            <w:instrText xml:space="preserve"> PAGEREF _Toc7790 \h </w:instrText>
          </w:r>
          <w:r>
            <w:fldChar w:fldCharType="separate"/>
          </w:r>
          <w:r>
            <w:t>9</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_Toc30506 </w:instrText>
          </w:r>
          <w:r>
            <w:rPr>
              <w:rFonts w:hint="eastAsia" w:ascii="仿宋" w:hAnsi="仿宋" w:eastAsia="仿宋" w:cs="仿宋"/>
              <w:szCs w:val="28"/>
            </w:rPr>
            <w:fldChar w:fldCharType="separate"/>
          </w:r>
          <w:r>
            <w:rPr>
              <w:rFonts w:hint="eastAsia"/>
            </w:rPr>
            <w:t>六、一般公共预算财政拨款基本支出决算情况说明</w:t>
          </w:r>
          <w:r>
            <w:tab/>
          </w:r>
          <w:r>
            <w:fldChar w:fldCharType="begin"/>
          </w:r>
          <w:r>
            <w:instrText xml:space="preserve"> PAGEREF _Toc30506 \h </w:instrText>
          </w:r>
          <w:r>
            <w:fldChar w:fldCharType="separate"/>
          </w:r>
          <w:r>
            <w:t>15</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_Toc3859 </w:instrText>
          </w:r>
          <w:r>
            <w:rPr>
              <w:rFonts w:hint="eastAsia" w:ascii="仿宋" w:hAnsi="仿宋" w:eastAsia="仿宋" w:cs="仿宋"/>
              <w:szCs w:val="28"/>
            </w:rPr>
            <w:fldChar w:fldCharType="separate"/>
          </w:r>
          <w:r>
            <w:rPr>
              <w:rFonts w:hint="eastAsia"/>
            </w:rPr>
            <w:t>七、政府性基金预算财政拨款支出决算情况说明</w:t>
          </w:r>
          <w:r>
            <w:tab/>
          </w:r>
          <w:r>
            <w:fldChar w:fldCharType="begin"/>
          </w:r>
          <w:r>
            <w:instrText xml:space="preserve"> PAGEREF _Toc3859 \h </w:instrText>
          </w:r>
          <w:r>
            <w:fldChar w:fldCharType="separate"/>
          </w:r>
          <w:r>
            <w:t>16</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_Toc6061 </w:instrText>
          </w:r>
          <w:r>
            <w:rPr>
              <w:rFonts w:hint="eastAsia" w:ascii="仿宋" w:hAnsi="仿宋" w:eastAsia="仿宋" w:cs="仿宋"/>
              <w:szCs w:val="28"/>
            </w:rPr>
            <w:fldChar w:fldCharType="separate"/>
          </w:r>
          <w:r>
            <w:rPr>
              <w:rFonts w:hint="eastAsia"/>
            </w:rPr>
            <w:t>八、国有资本经营预算财政拨款支出决算情况说明</w:t>
          </w:r>
          <w:r>
            <w:tab/>
          </w:r>
          <w:r>
            <w:fldChar w:fldCharType="begin"/>
          </w:r>
          <w:r>
            <w:instrText xml:space="preserve"> PAGEREF _Toc6061 \h </w:instrText>
          </w:r>
          <w:r>
            <w:fldChar w:fldCharType="separate"/>
          </w:r>
          <w:r>
            <w:t>17</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_Toc10444 </w:instrText>
          </w:r>
          <w:r>
            <w:rPr>
              <w:rFonts w:hint="eastAsia" w:ascii="仿宋" w:hAnsi="仿宋" w:eastAsia="仿宋" w:cs="仿宋"/>
              <w:szCs w:val="28"/>
            </w:rPr>
            <w:fldChar w:fldCharType="separate"/>
          </w:r>
          <w:r>
            <w:rPr>
              <w:rFonts w:hint="eastAsia"/>
            </w:rPr>
            <w:t>九、财政拨款“三公”经费支出决算情况说明</w:t>
          </w:r>
          <w:r>
            <w:tab/>
          </w:r>
          <w:r>
            <w:fldChar w:fldCharType="begin"/>
          </w:r>
          <w:r>
            <w:instrText xml:space="preserve"> PAGEREF _Toc10444 \h </w:instrText>
          </w:r>
          <w:r>
            <w:fldChar w:fldCharType="separate"/>
          </w:r>
          <w:r>
            <w:t>17</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_Toc24793 </w:instrText>
          </w:r>
          <w:r>
            <w:rPr>
              <w:rFonts w:hint="eastAsia" w:ascii="仿宋" w:hAnsi="仿宋" w:eastAsia="仿宋" w:cs="仿宋"/>
              <w:szCs w:val="28"/>
            </w:rPr>
            <w:fldChar w:fldCharType="separate"/>
          </w:r>
          <w:r>
            <w:rPr>
              <w:rFonts w:hint="eastAsia"/>
            </w:rPr>
            <w:t>十、预算绩效情况说明</w:t>
          </w:r>
          <w:r>
            <w:tab/>
          </w:r>
          <w:r>
            <w:fldChar w:fldCharType="begin"/>
          </w:r>
          <w:r>
            <w:instrText xml:space="preserve"> PAGEREF _Toc24793 \h </w:instrText>
          </w:r>
          <w:r>
            <w:fldChar w:fldCharType="separate"/>
          </w:r>
          <w:r>
            <w:t>18</w:t>
          </w:r>
          <w:r>
            <w:fldChar w:fldCharType="end"/>
          </w:r>
          <w:r>
            <w:rPr>
              <w:rFonts w:hint="eastAsia" w:ascii="仿宋" w:hAnsi="仿宋" w:eastAsia="仿宋" w:cs="仿宋"/>
              <w:szCs w:val="28"/>
            </w:rPr>
            <w:fldChar w:fldCharType="end"/>
          </w:r>
        </w:p>
        <w:p>
          <w:pPr>
            <w:pStyle w:val="13"/>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_Toc29160 </w:instrText>
          </w:r>
          <w:r>
            <w:rPr>
              <w:rFonts w:hint="eastAsia" w:ascii="仿宋" w:hAnsi="仿宋" w:eastAsia="仿宋" w:cs="仿宋"/>
              <w:szCs w:val="28"/>
            </w:rPr>
            <w:fldChar w:fldCharType="separate"/>
          </w:r>
          <w:r>
            <w:rPr>
              <w:rFonts w:hint="eastAsia"/>
            </w:rPr>
            <w:t>十一、其他重要事项情况说明</w:t>
          </w:r>
          <w:r>
            <w:tab/>
          </w:r>
          <w:r>
            <w:fldChar w:fldCharType="begin"/>
          </w:r>
          <w:r>
            <w:instrText xml:space="preserve"> PAGEREF _Toc29160 \h </w:instrText>
          </w:r>
          <w:r>
            <w:fldChar w:fldCharType="separate"/>
          </w:r>
          <w:r>
            <w:t>58</w:t>
          </w:r>
          <w:r>
            <w:fldChar w:fldCharType="end"/>
          </w:r>
          <w:r>
            <w:rPr>
              <w:rFonts w:hint="eastAsia" w:ascii="仿宋" w:hAnsi="仿宋" w:eastAsia="仿宋" w:cs="仿宋"/>
              <w:szCs w:val="28"/>
            </w:rPr>
            <w:fldChar w:fldCharType="end"/>
          </w:r>
        </w:p>
        <w:p>
          <w:pPr>
            <w:pStyle w:val="12"/>
            <w:tabs>
              <w:tab w:val="right" w:leader="dot" w:pos="8315"/>
            </w:tabs>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_Toc24773 </w:instrText>
          </w:r>
          <w:r>
            <w:rPr>
              <w:rFonts w:hint="eastAsia" w:ascii="仿宋" w:hAnsi="仿宋" w:eastAsia="仿宋" w:cs="仿宋"/>
              <w:szCs w:val="28"/>
            </w:rPr>
            <w:fldChar w:fldCharType="separate"/>
          </w:r>
          <w:r>
            <w:rPr>
              <w:rFonts w:hint="eastAsia"/>
            </w:rPr>
            <w:t xml:space="preserve">第四部分  名词解释 </w:t>
          </w:r>
          <w:r>
            <w:tab/>
          </w:r>
          <w:r>
            <w:fldChar w:fldCharType="begin"/>
          </w:r>
          <w:r>
            <w:instrText xml:space="preserve"> PAGEREF _Toc24773 \h </w:instrText>
          </w:r>
          <w:r>
            <w:fldChar w:fldCharType="separate"/>
          </w:r>
          <w:r>
            <w:t>59</w:t>
          </w:r>
          <w:r>
            <w:fldChar w:fldCharType="end"/>
          </w:r>
          <w:r>
            <w:rPr>
              <w:rFonts w:hint="eastAsia" w:ascii="仿宋" w:hAnsi="仿宋" w:eastAsia="仿宋" w:cs="仿宋"/>
              <w:szCs w:val="28"/>
            </w:rPr>
            <w:fldChar w:fldCharType="end"/>
          </w:r>
        </w:p>
        <w:p>
          <w:r>
            <w:rPr>
              <w:rFonts w:hint="eastAsia" w:ascii="仿宋" w:hAnsi="仿宋" w:eastAsia="仿宋" w:cs="仿宋"/>
              <w:szCs w:val="28"/>
            </w:rPr>
            <w:fldChar w:fldCharType="end"/>
          </w:r>
        </w:p>
      </w:sdtContent>
    </w:sdt>
    <w:p>
      <w:pPr>
        <w:pStyle w:val="4"/>
        <w:bidi w:val="0"/>
        <w:rPr>
          <w:rFonts w:hint="eastAsia"/>
        </w:rPr>
      </w:pPr>
    </w:p>
    <w:p>
      <w:pPr>
        <w:pStyle w:val="4"/>
        <w:bidi w:val="0"/>
        <w:rPr>
          <w:rFonts w:hint="eastAsia"/>
        </w:rPr>
      </w:pPr>
    </w:p>
    <w:p>
      <w:pPr>
        <w:pStyle w:val="4"/>
        <w:bidi w:val="0"/>
        <w:rPr>
          <w:rFonts w:hint="eastAsia"/>
        </w:rPr>
      </w:pPr>
    </w:p>
    <w:p>
      <w:pPr>
        <w:rPr>
          <w:rFonts w:hint="eastAsia"/>
        </w:rPr>
      </w:pPr>
    </w:p>
    <w:p>
      <w:pPr>
        <w:pStyle w:val="2"/>
        <w:ind w:left="0" w:leftChars="0" w:firstLine="0" w:firstLineChars="0"/>
        <w:rPr>
          <w:rFonts w:hint="eastAsia"/>
        </w:rPr>
      </w:pPr>
    </w:p>
    <w:p>
      <w:pPr>
        <w:pStyle w:val="4"/>
        <w:bidi w:val="0"/>
        <w:rPr>
          <w:rFonts w:hint="eastAsia"/>
        </w:rPr>
      </w:pPr>
      <w:bookmarkStart w:id="2" w:name="_Toc27014"/>
      <w:r>
        <w:rPr>
          <w:rFonts w:hint="eastAsia"/>
        </w:rPr>
        <w:t xml:space="preserve">第一部分  </w:t>
      </w:r>
      <w:r>
        <w:rPr>
          <w:rFonts w:hint="eastAsia"/>
          <w:lang w:val="en-US" w:eastAsia="zh-CN"/>
        </w:rPr>
        <w:t>海南大学</w:t>
      </w:r>
      <w:r>
        <w:rPr>
          <w:rFonts w:hint="eastAsia"/>
        </w:rPr>
        <w:t>基本情况</w:t>
      </w:r>
      <w:bookmarkEnd w:id="0"/>
      <w:bookmarkEnd w:id="1"/>
      <w:bookmarkEnd w:id="2"/>
    </w:p>
    <w:p>
      <w:pPr>
        <w:pStyle w:val="5"/>
        <w:numPr>
          <w:ilvl w:val="0"/>
          <w:numId w:val="1"/>
        </w:numPr>
        <w:bidi w:val="0"/>
        <w:rPr>
          <w:rFonts w:hint="eastAsia"/>
        </w:rPr>
      </w:pPr>
      <w:bookmarkStart w:id="3" w:name="_Toc34"/>
      <w:bookmarkStart w:id="4" w:name="_Toc347"/>
      <w:bookmarkStart w:id="5" w:name="_Toc13718"/>
      <w:r>
        <w:rPr>
          <w:rFonts w:hint="eastAsia"/>
        </w:rPr>
        <w:t>部门职责</w:t>
      </w:r>
      <w:bookmarkEnd w:id="3"/>
      <w:bookmarkEnd w:id="4"/>
      <w:bookmarkEnd w:id="5"/>
    </w:p>
    <w:p>
      <w:pPr>
        <w:bidi w:val="0"/>
        <w:rPr>
          <w:rFonts w:hint="eastAsia"/>
        </w:rPr>
      </w:pPr>
      <w:r>
        <w:rPr>
          <w:rFonts w:hint="eastAsia"/>
        </w:rPr>
        <w:t>海南大学是2007年8月由原华南热带农业大学与原海南大学合并组建而成的综合性重点大学，是教育部和海南省人民政府部省合建高校，国家“双一流”建设高校。</w:t>
      </w:r>
    </w:p>
    <w:p>
      <w:pPr>
        <w:bidi w:val="0"/>
        <w:rPr>
          <w:rFonts w:hint="eastAsia"/>
        </w:rPr>
      </w:pPr>
      <w:r>
        <w:rPr>
          <w:rFonts w:hint="eastAsia"/>
        </w:rPr>
        <w:t>学校秉承“海纳百川、大道致远”的校训，弘扬“自强敬业、厚德弘毅”的校风。2008年，进入国家“211工程”重点建设高校行列；2012年，进入国家“中西部高等教育振兴计划”建设行列，先后获得“中西部高校基础能力建设工程”“中西部高校综合实力提升工程”等建设支持；2017年，入选国家“世界一流学科”建设高校；2018年，海南省委、省政府作出“聚全省之力办好海南大学”的重大决策部署；同年，学校成为教育部与海南省政府“部省合建”高校，纳入教育部直属高校序列。2018年4月13日，习近平总书记在海南建省办经济特区30周年庆祝大会上的重要讲话中指出“要支持海南大学创建世界一流学科”，为学校发展提供了根本遵循。</w:t>
      </w:r>
    </w:p>
    <w:p>
      <w:pPr>
        <w:bidi w:val="0"/>
        <w:rPr>
          <w:rFonts w:hint="eastAsia"/>
        </w:rPr>
      </w:pPr>
      <w:r>
        <w:rPr>
          <w:rFonts w:hint="eastAsia"/>
        </w:rPr>
        <w:t>海南大学现有校园面积400.9万平方米（6019.5亩），全日制学生4.2万人，拥有31个二级学院、16个书院，13个一级学科博士点和1个专业学位博士点，34个一级学科硕士点、21个硕士专业学位类别，69个本科专业、6个博士后流动站，45个国家级一流本科专业建设点，12门国家级一流本科课程，2门国家级精品课程，1门国家级精品在线开放课程，2门教育部课程思政示范课程。学科涵盖了哲学、经济学、法学、文学、理学、工学、农学、医学、管理学、艺术学等门类。作物学连续两轮入选世界一流学科建设名单，植物与动物科学、材料科学、化学、农业科学、工程学、环境科学/生态学、生物学与生物化学等7个学科进入ESI全球前1%。专任教师2700多人，院士、杰青等国家级人才近60人，其中，中国科学院院士1人，加拿大国家工程院院士、加拿大工程研究院院士1人，日本工程院外籍院士1人，俄罗斯工程院外籍院士1人，欧洲科学院院士2人，国家级教学名师4人。</w:t>
      </w:r>
    </w:p>
    <w:p>
      <w:pPr>
        <w:bidi w:val="0"/>
        <w:rPr>
          <w:rFonts w:hint="eastAsia"/>
        </w:rPr>
      </w:pPr>
      <w:r>
        <w:rPr>
          <w:rFonts w:hint="eastAsia"/>
        </w:rPr>
        <w:t>学校贯彻科技自立自强。共建热带作物生物育种全国重点实验室和数字医学工程全国重点实验室，拥有省部共建南海海洋资源利用国家重点实验室，海南省热带生物资源可持续利用重点实验室——省部共建国家重点实验室培育基地，国家耐盐碱水稻技术创新中心，3个省部共建协同创新中心，21个部省级重点实验室，17个省部级工程研究中心，5个省级国际科技合作基地，15个院士工作站，29个院士团队创新中心，2个教育部国别和区域研究中心，1个文化和旅游部研究基地，2个省哲学社会科学重点新型智库，11个省哲学社会科学重点研究基地，成立了“海南省东坡文化研究与传播中心”，助力海南自贸港文化内涵建设。学校实施开放办学战略。发挥海南自贸港对外开放的优势，逐步形成以服务“一带一路”教育合作与交流为重点、深耕热带国家和地区为特色的对外开放办学格局。学校实施“一院一校”国际合作交流行动计划，先后与41个国家和地区222所高校或机构建立合作关系，获教育部批准的中外合作办学招生计划达2470人。已建成完整的本硕博国际学生教育培养体系，学校入选教育部第二批来华留学示范基地。</w:t>
      </w:r>
    </w:p>
    <w:p>
      <w:pPr>
        <w:bidi w:val="0"/>
        <w:rPr>
          <w:rFonts w:hint="eastAsia"/>
        </w:rPr>
      </w:pPr>
      <w:r>
        <w:rPr>
          <w:rFonts w:hint="eastAsia"/>
        </w:rPr>
        <w:t>海南大学应国家战略而立，因改革开放而兴。海南有需求，海大有作为。面向未来，学校坚持扎根海南大地办教育，与中国特色自由贸易港国家战略同频共振、同向同行；坚持全面提高人才自主培养质量，加强基础学科、新兴学科、交叉学科建设；坚持以创建世界一流学科和国内一流大学为目标，努力建设成为新时代中国高等教育改革开放的示范。</w:t>
      </w:r>
    </w:p>
    <w:p>
      <w:pPr>
        <w:pStyle w:val="5"/>
        <w:numPr>
          <w:ilvl w:val="0"/>
          <w:numId w:val="1"/>
        </w:numPr>
        <w:bidi w:val="0"/>
        <w:rPr>
          <w:rFonts w:hint="eastAsia"/>
        </w:rPr>
      </w:pPr>
      <w:bookmarkStart w:id="6" w:name="_Toc30407"/>
      <w:bookmarkStart w:id="7" w:name="_Toc22170"/>
      <w:bookmarkStart w:id="8" w:name="_Toc24002"/>
      <w:r>
        <w:rPr>
          <w:rFonts w:hint="eastAsia"/>
        </w:rPr>
        <w:t>机构设置</w:t>
      </w:r>
      <w:bookmarkEnd w:id="6"/>
      <w:bookmarkEnd w:id="7"/>
      <w:bookmarkEnd w:id="8"/>
    </w:p>
    <w:p>
      <w:pPr>
        <w:bidi w:val="0"/>
        <w:rPr>
          <w:rFonts w:hint="default"/>
        </w:rPr>
      </w:pPr>
      <w:r>
        <w:rPr>
          <w:rFonts w:hint="default"/>
        </w:rPr>
        <w:t>纳入</w:t>
      </w:r>
      <w:r>
        <w:rPr>
          <w:rFonts w:hint="eastAsia"/>
          <w:lang w:val="en-US" w:eastAsia="zh-CN"/>
        </w:rPr>
        <w:t>海南大学</w:t>
      </w:r>
      <w:r>
        <w:rPr>
          <w:rFonts w:hint="default"/>
        </w:rPr>
        <w:t>2022年度部门决算编制范围的单位共</w:t>
      </w:r>
      <w:r>
        <w:rPr>
          <w:rFonts w:hint="eastAsia"/>
          <w:lang w:val="en-US" w:eastAsia="zh-CN"/>
        </w:rPr>
        <w:t>2</w:t>
      </w:r>
      <w:r>
        <w:rPr>
          <w:rFonts w:hint="default"/>
        </w:rPr>
        <w:t>个，包括：</w:t>
      </w:r>
    </w:p>
    <w:p>
      <w:pPr>
        <w:bidi w:val="0"/>
        <w:rPr>
          <w:rFonts w:hint="eastAsia"/>
        </w:rPr>
      </w:pPr>
      <w:r>
        <w:rPr>
          <w:rFonts w:hint="eastAsia"/>
        </w:rPr>
        <w:t>（一）</w:t>
      </w:r>
      <w:r>
        <w:rPr>
          <w:rFonts w:hint="eastAsia"/>
          <w:lang w:val="en-US" w:eastAsia="zh-CN"/>
        </w:rPr>
        <w:t>海南大学</w:t>
      </w:r>
      <w:r>
        <w:rPr>
          <w:rFonts w:hint="eastAsia"/>
        </w:rPr>
        <w:t>部门本级</w:t>
      </w:r>
    </w:p>
    <w:p>
      <w:pPr>
        <w:bidi w:val="0"/>
        <w:rPr>
          <w:rFonts w:hint="default"/>
        </w:rPr>
      </w:pPr>
      <w:r>
        <w:rPr>
          <w:rFonts w:hint="eastAsia"/>
        </w:rPr>
        <w:t>（二）</w:t>
      </w:r>
      <w:r>
        <w:rPr>
          <w:rFonts w:hint="eastAsia"/>
          <w:lang w:val="en-US" w:eastAsia="zh-CN"/>
        </w:rPr>
        <w:t>海南大学附属幼儿园</w:t>
      </w:r>
      <w:r>
        <w:rPr>
          <w:rFonts w:hint="eastAsia"/>
        </w:rPr>
        <w:t>（下属单位）</w:t>
      </w:r>
    </w:p>
    <w:p>
      <w:pPr>
        <w:pStyle w:val="4"/>
        <w:bidi w:val="0"/>
        <w:rPr>
          <w:rFonts w:hint="eastAsia"/>
        </w:rPr>
      </w:pPr>
      <w:bookmarkStart w:id="9" w:name="_Toc27993"/>
      <w:bookmarkStart w:id="10" w:name="_Toc27726"/>
      <w:bookmarkStart w:id="11" w:name="_Toc5272"/>
      <w:r>
        <w:rPr>
          <w:rFonts w:hint="eastAsia"/>
        </w:rPr>
        <w:t xml:space="preserve">第二部分  </w:t>
      </w:r>
      <w:r>
        <w:rPr>
          <w:rFonts w:hint="eastAsia"/>
          <w:lang w:val="en-US" w:eastAsia="zh-CN"/>
        </w:rPr>
        <w:t>海南大学</w:t>
      </w:r>
      <w:r>
        <w:rPr>
          <w:rFonts w:hint="eastAsia"/>
        </w:rPr>
        <w:t>2022年度部门决算公开报表</w:t>
      </w:r>
      <w:bookmarkEnd w:id="9"/>
      <w:bookmarkEnd w:id="10"/>
      <w:bookmarkEnd w:id="11"/>
    </w:p>
    <w:p>
      <w:pPr>
        <w:pStyle w:val="5"/>
        <w:bidi w:val="0"/>
        <w:rPr>
          <w:rFonts w:hint="default"/>
          <w:lang w:val="en-US" w:eastAsia="zh-CN"/>
        </w:rPr>
      </w:pPr>
      <w:bookmarkStart w:id="12" w:name="_Toc25174"/>
      <w:bookmarkStart w:id="13" w:name="_Toc4303"/>
      <w:bookmarkStart w:id="14" w:name="_Toc1008"/>
      <w:r>
        <w:rPr>
          <w:rFonts w:hint="eastAsia"/>
        </w:rPr>
        <w:t>一、收入支出决算公开表</w:t>
      </w:r>
      <w:r>
        <w:rPr>
          <w:rFonts w:hint="eastAsia"/>
          <w:lang w:val="en-US" w:eastAsia="zh-CN"/>
        </w:rPr>
        <w:t>(见正文附件）</w:t>
      </w:r>
      <w:bookmarkEnd w:id="12"/>
      <w:bookmarkEnd w:id="13"/>
      <w:bookmarkEnd w:id="14"/>
    </w:p>
    <w:p>
      <w:pPr>
        <w:pStyle w:val="5"/>
        <w:bidi w:val="0"/>
        <w:rPr>
          <w:rFonts w:hint="eastAsia"/>
          <w:lang w:eastAsia="zh-CN"/>
        </w:rPr>
      </w:pPr>
      <w:bookmarkStart w:id="15" w:name="_Toc5892"/>
      <w:bookmarkStart w:id="16" w:name="_Toc15935"/>
      <w:bookmarkStart w:id="17" w:name="_Toc16547"/>
      <w:r>
        <w:rPr>
          <w:rFonts w:hint="eastAsia"/>
        </w:rPr>
        <w:t>二、收入决算公开表</w:t>
      </w:r>
      <w:r>
        <w:rPr>
          <w:rFonts w:hint="eastAsia"/>
          <w:lang w:eastAsia="zh-CN"/>
        </w:rPr>
        <w:t>（</w:t>
      </w:r>
      <w:r>
        <w:rPr>
          <w:rFonts w:hint="eastAsia"/>
          <w:lang w:val="en-US" w:eastAsia="zh-CN"/>
        </w:rPr>
        <w:t>见正文附件</w:t>
      </w:r>
      <w:r>
        <w:rPr>
          <w:rFonts w:hint="eastAsia"/>
          <w:lang w:eastAsia="zh-CN"/>
        </w:rPr>
        <w:t>）</w:t>
      </w:r>
      <w:bookmarkEnd w:id="15"/>
      <w:bookmarkEnd w:id="16"/>
      <w:bookmarkEnd w:id="17"/>
    </w:p>
    <w:p>
      <w:pPr>
        <w:pStyle w:val="5"/>
        <w:bidi w:val="0"/>
        <w:rPr>
          <w:rFonts w:hint="eastAsia"/>
          <w:lang w:eastAsia="zh-CN"/>
        </w:rPr>
      </w:pPr>
      <w:bookmarkStart w:id="18" w:name="_Toc11922"/>
      <w:bookmarkStart w:id="19" w:name="_Toc9324"/>
      <w:bookmarkStart w:id="20" w:name="_Toc27402"/>
      <w:r>
        <w:rPr>
          <w:rFonts w:hint="eastAsia"/>
        </w:rPr>
        <w:t>三、支出决算公开表</w:t>
      </w:r>
      <w:r>
        <w:rPr>
          <w:rFonts w:hint="eastAsia"/>
          <w:lang w:eastAsia="zh-CN"/>
        </w:rPr>
        <w:t>（</w:t>
      </w:r>
      <w:r>
        <w:rPr>
          <w:rFonts w:hint="eastAsia"/>
          <w:lang w:val="en-US" w:eastAsia="zh-CN"/>
        </w:rPr>
        <w:t>见正文附件</w:t>
      </w:r>
      <w:r>
        <w:rPr>
          <w:rFonts w:hint="eastAsia"/>
          <w:lang w:eastAsia="zh-CN"/>
        </w:rPr>
        <w:t>）</w:t>
      </w:r>
      <w:bookmarkEnd w:id="18"/>
      <w:bookmarkEnd w:id="19"/>
      <w:bookmarkEnd w:id="20"/>
    </w:p>
    <w:p>
      <w:pPr>
        <w:pStyle w:val="5"/>
        <w:bidi w:val="0"/>
        <w:rPr>
          <w:rFonts w:hint="eastAsia"/>
          <w:lang w:eastAsia="zh-CN"/>
        </w:rPr>
      </w:pPr>
      <w:bookmarkStart w:id="21" w:name="_Toc11311"/>
      <w:bookmarkStart w:id="22" w:name="_Toc1718"/>
      <w:bookmarkStart w:id="23" w:name="_Toc13125"/>
      <w:r>
        <w:rPr>
          <w:rFonts w:hint="eastAsia"/>
        </w:rPr>
        <w:t>四、财政拨款收入支出决算公开表</w:t>
      </w:r>
      <w:r>
        <w:rPr>
          <w:rFonts w:hint="eastAsia"/>
          <w:lang w:eastAsia="zh-CN"/>
        </w:rPr>
        <w:t>（</w:t>
      </w:r>
      <w:r>
        <w:rPr>
          <w:rFonts w:hint="eastAsia"/>
          <w:lang w:val="en-US" w:eastAsia="zh-CN"/>
        </w:rPr>
        <w:t>见正文附件</w:t>
      </w:r>
      <w:r>
        <w:rPr>
          <w:rFonts w:hint="eastAsia"/>
          <w:lang w:eastAsia="zh-CN"/>
        </w:rPr>
        <w:t>）</w:t>
      </w:r>
      <w:bookmarkEnd w:id="21"/>
      <w:bookmarkEnd w:id="22"/>
      <w:bookmarkEnd w:id="23"/>
    </w:p>
    <w:p>
      <w:pPr>
        <w:pStyle w:val="5"/>
        <w:bidi w:val="0"/>
        <w:rPr>
          <w:rFonts w:hint="eastAsia"/>
          <w:lang w:eastAsia="zh-CN"/>
        </w:rPr>
      </w:pPr>
      <w:bookmarkStart w:id="24" w:name="_Toc25861"/>
      <w:bookmarkStart w:id="25" w:name="_Toc24070"/>
      <w:bookmarkStart w:id="26" w:name="_Toc32301"/>
      <w:r>
        <w:rPr>
          <w:rFonts w:hint="eastAsia"/>
        </w:rPr>
        <w:t>五、一般公共预算财政拨款收入支出决算公开表</w:t>
      </w:r>
      <w:r>
        <w:rPr>
          <w:rFonts w:hint="eastAsia"/>
          <w:lang w:eastAsia="zh-CN"/>
        </w:rPr>
        <w:t>（</w:t>
      </w:r>
      <w:r>
        <w:rPr>
          <w:rFonts w:hint="eastAsia"/>
          <w:lang w:val="en-US" w:eastAsia="zh-CN"/>
        </w:rPr>
        <w:t>见正文附件</w:t>
      </w:r>
      <w:r>
        <w:rPr>
          <w:rFonts w:hint="eastAsia"/>
          <w:lang w:eastAsia="zh-CN"/>
        </w:rPr>
        <w:t>）</w:t>
      </w:r>
      <w:bookmarkEnd w:id="24"/>
      <w:bookmarkEnd w:id="25"/>
      <w:bookmarkEnd w:id="26"/>
    </w:p>
    <w:p>
      <w:pPr>
        <w:pStyle w:val="5"/>
        <w:bidi w:val="0"/>
        <w:rPr>
          <w:rFonts w:hint="eastAsia"/>
          <w:lang w:eastAsia="zh-CN"/>
        </w:rPr>
      </w:pPr>
      <w:bookmarkStart w:id="27" w:name="_Toc3204"/>
      <w:bookmarkStart w:id="28" w:name="_Toc17499"/>
      <w:bookmarkStart w:id="29" w:name="_Toc1449"/>
      <w:r>
        <w:rPr>
          <w:rFonts w:hint="eastAsia"/>
        </w:rPr>
        <w:t>六、一般公共预算财政拨款基本支出决算公开表</w:t>
      </w:r>
      <w:r>
        <w:rPr>
          <w:rFonts w:hint="eastAsia"/>
          <w:lang w:eastAsia="zh-CN"/>
        </w:rPr>
        <w:t>（</w:t>
      </w:r>
      <w:r>
        <w:rPr>
          <w:rFonts w:hint="eastAsia"/>
          <w:lang w:val="en-US" w:eastAsia="zh-CN"/>
        </w:rPr>
        <w:t>见正文附件</w:t>
      </w:r>
      <w:r>
        <w:rPr>
          <w:rFonts w:hint="eastAsia"/>
          <w:lang w:eastAsia="zh-CN"/>
        </w:rPr>
        <w:t>）</w:t>
      </w:r>
      <w:bookmarkEnd w:id="27"/>
      <w:bookmarkEnd w:id="28"/>
      <w:bookmarkEnd w:id="29"/>
    </w:p>
    <w:p>
      <w:pPr>
        <w:pStyle w:val="5"/>
        <w:bidi w:val="0"/>
        <w:rPr>
          <w:rFonts w:hint="eastAsia"/>
          <w:lang w:eastAsia="zh-CN"/>
        </w:rPr>
      </w:pPr>
      <w:bookmarkStart w:id="30" w:name="_Toc24508"/>
      <w:bookmarkStart w:id="31" w:name="_Toc6385"/>
      <w:bookmarkStart w:id="32" w:name="_Toc2064"/>
      <w:r>
        <w:rPr>
          <w:rFonts w:hint="eastAsia"/>
        </w:rPr>
        <w:t>七、政府性基金预算财政拨款收入支出决算公开表</w:t>
      </w:r>
      <w:r>
        <w:rPr>
          <w:rFonts w:hint="eastAsia"/>
          <w:lang w:eastAsia="zh-CN"/>
        </w:rPr>
        <w:t>（</w:t>
      </w:r>
      <w:r>
        <w:rPr>
          <w:rFonts w:hint="eastAsia"/>
          <w:lang w:val="en-US" w:eastAsia="zh-CN"/>
        </w:rPr>
        <w:t>见正文附件</w:t>
      </w:r>
      <w:r>
        <w:rPr>
          <w:rFonts w:hint="eastAsia"/>
          <w:lang w:eastAsia="zh-CN"/>
        </w:rPr>
        <w:t>）</w:t>
      </w:r>
      <w:bookmarkEnd w:id="30"/>
      <w:bookmarkEnd w:id="31"/>
      <w:bookmarkEnd w:id="32"/>
    </w:p>
    <w:p>
      <w:pPr>
        <w:pStyle w:val="5"/>
        <w:bidi w:val="0"/>
        <w:rPr>
          <w:rFonts w:hint="eastAsia"/>
          <w:lang w:eastAsia="zh-CN"/>
        </w:rPr>
      </w:pPr>
      <w:bookmarkStart w:id="33" w:name="_Toc19551"/>
      <w:bookmarkStart w:id="34" w:name="_Toc1348"/>
      <w:bookmarkStart w:id="35" w:name="_Toc6501"/>
      <w:r>
        <w:rPr>
          <w:rFonts w:hint="eastAsia"/>
        </w:rPr>
        <w:t>八、国有资本经营预算财政拨款收入支出决算公开表</w:t>
      </w:r>
      <w:r>
        <w:rPr>
          <w:rFonts w:hint="eastAsia"/>
          <w:lang w:eastAsia="zh-CN"/>
        </w:rPr>
        <w:t>（</w:t>
      </w:r>
      <w:r>
        <w:rPr>
          <w:rFonts w:hint="eastAsia"/>
          <w:lang w:val="en-US" w:eastAsia="zh-CN"/>
        </w:rPr>
        <w:t>见正文附件</w:t>
      </w:r>
      <w:r>
        <w:rPr>
          <w:rFonts w:hint="eastAsia"/>
          <w:lang w:eastAsia="zh-CN"/>
        </w:rPr>
        <w:t>）</w:t>
      </w:r>
      <w:bookmarkEnd w:id="33"/>
      <w:bookmarkEnd w:id="34"/>
      <w:bookmarkEnd w:id="35"/>
    </w:p>
    <w:p>
      <w:pPr>
        <w:pStyle w:val="5"/>
        <w:bidi w:val="0"/>
        <w:rPr>
          <w:rFonts w:hint="eastAsia"/>
          <w:lang w:eastAsia="zh-CN"/>
        </w:rPr>
      </w:pPr>
      <w:bookmarkStart w:id="36" w:name="_Toc17748"/>
      <w:bookmarkStart w:id="37" w:name="_Toc12916"/>
      <w:bookmarkStart w:id="38" w:name="_Toc17323"/>
      <w:r>
        <w:rPr>
          <w:rFonts w:hint="eastAsia"/>
        </w:rPr>
        <w:t>九、财政拨款“三公”经费支出决算公开表</w:t>
      </w:r>
      <w:r>
        <w:rPr>
          <w:rFonts w:hint="eastAsia"/>
          <w:lang w:eastAsia="zh-CN"/>
        </w:rPr>
        <w:t>（</w:t>
      </w:r>
      <w:r>
        <w:rPr>
          <w:rFonts w:hint="eastAsia"/>
          <w:lang w:val="en-US" w:eastAsia="zh-CN"/>
        </w:rPr>
        <w:t>见正文附件</w:t>
      </w:r>
      <w:r>
        <w:rPr>
          <w:rFonts w:hint="eastAsia"/>
          <w:lang w:eastAsia="zh-CN"/>
        </w:rPr>
        <w:t>）</w:t>
      </w:r>
      <w:bookmarkEnd w:id="36"/>
      <w:bookmarkEnd w:id="37"/>
      <w:bookmarkEnd w:id="38"/>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center"/>
        <w:textAlignment w:val="auto"/>
        <w:outlineLvl w:val="9"/>
        <w:rPr>
          <w:rFonts w:hint="eastAsia" w:ascii="黑体" w:hAnsi="宋体" w:eastAsia="黑体" w:cs="黑体"/>
          <w:kern w:val="0"/>
          <w:sz w:val="32"/>
          <w:szCs w:val="32"/>
        </w:rPr>
      </w:pPr>
      <w:bookmarkStart w:id="39" w:name="_Toc20314"/>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黑体" w:hAnsi="宋体" w:eastAsia="黑体" w:cs="黑体"/>
          <w:kern w:val="0"/>
          <w:sz w:val="32"/>
          <w:szCs w:val="32"/>
        </w:rPr>
      </w:pPr>
    </w:p>
    <w:p>
      <w:pPr>
        <w:pStyle w:val="4"/>
        <w:bidi w:val="0"/>
        <w:rPr>
          <w:rFonts w:hint="eastAsia"/>
        </w:rPr>
      </w:pPr>
      <w:bookmarkStart w:id="40" w:name="_Toc5619"/>
      <w:bookmarkStart w:id="41" w:name="_Toc6349"/>
      <w:r>
        <w:rPr>
          <w:rFonts w:hint="eastAsia"/>
        </w:rPr>
        <w:t xml:space="preserve">第三部分  </w:t>
      </w:r>
      <w:r>
        <w:rPr>
          <w:rFonts w:hint="eastAsia"/>
          <w:lang w:val="en-US" w:eastAsia="zh-CN"/>
        </w:rPr>
        <w:t>海南大学</w:t>
      </w:r>
      <w:r>
        <w:rPr>
          <w:rFonts w:hint="eastAsia"/>
        </w:rPr>
        <w:t>2022年度部门决算情况说明</w:t>
      </w:r>
      <w:bookmarkEnd w:id="39"/>
      <w:bookmarkEnd w:id="40"/>
      <w:bookmarkEnd w:id="41"/>
      <w:r>
        <w:rPr>
          <w:rFonts w:hint="eastAsia"/>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3" w:firstLineChars="200"/>
        <w:textAlignment w:val="auto"/>
        <w:outlineLvl w:val="9"/>
        <w:rPr>
          <w:rFonts w:hint="default" w:ascii="仿宋_GB2312" w:hAnsi="ˎ̥" w:eastAsia="仿宋_GB2312" w:cs="仿宋_GB2312"/>
          <w:kern w:val="0"/>
          <w:sz w:val="32"/>
          <w:szCs w:val="32"/>
          <w:highlight w:val="yellow"/>
          <w:lang w:val="en-US"/>
        </w:rPr>
      </w:pPr>
      <w:bookmarkStart w:id="42" w:name="_Toc28613"/>
      <w:bookmarkStart w:id="43" w:name="_Toc18213"/>
      <w:bookmarkStart w:id="44" w:name="_Toc32284"/>
      <w:r>
        <w:rPr>
          <w:rStyle w:val="24"/>
          <w:rFonts w:hint="eastAsia"/>
        </w:rPr>
        <w:t>一、收入支出总体情况说明</w:t>
      </w:r>
      <w:r>
        <w:rPr>
          <w:rStyle w:val="24"/>
          <w:rFonts w:hint="eastAsia"/>
        </w:rPr>
        <w:br w:type="textWrapping"/>
      </w:r>
      <w:bookmarkEnd w:id="42"/>
      <w:bookmarkEnd w:id="43"/>
      <w:r>
        <w:rPr>
          <w:rFonts w:hint="default" w:ascii="楷体_GB2312" w:hAnsi="ˎ̥" w:eastAsia="楷体_GB2312" w:cs="楷体_GB2312"/>
          <w:kern w:val="0"/>
          <w:sz w:val="32"/>
          <w:szCs w:val="32"/>
        </w:rPr>
        <w:t xml:space="preserve">   </w:t>
      </w:r>
      <w:r>
        <w:rPr>
          <w:rFonts w:hint="default" w:ascii="楷体_GB2312" w:hAnsi="ˎ̥" w:eastAsia="楷体_GB2312" w:cs="楷体_GB2312"/>
          <w:kern w:val="0"/>
          <w:sz w:val="32"/>
          <w:szCs w:val="32"/>
          <w:highlight w:val="none"/>
        </w:rPr>
        <w:t xml:space="preserve"> </w:t>
      </w:r>
      <w:r>
        <w:rPr>
          <w:rFonts w:hint="default" w:ascii="仿宋_GB2312" w:hAnsi="ˎ̥" w:eastAsia="仿宋_GB2312" w:cs="仿宋_GB2312"/>
          <w:kern w:val="0"/>
          <w:sz w:val="32"/>
          <w:szCs w:val="32"/>
          <w:highlight w:val="none"/>
        </w:rPr>
        <w:t>2022年度收入总计</w:t>
      </w:r>
      <w:r>
        <w:rPr>
          <w:rFonts w:hint="eastAsia" w:ascii="仿宋_GB2312" w:hAnsi="ˎ̥" w:eastAsia="仿宋_GB2312" w:cs="仿宋_GB2312"/>
          <w:kern w:val="0"/>
          <w:sz w:val="32"/>
          <w:szCs w:val="32"/>
          <w:highlight w:val="none"/>
          <w:lang w:val="en-US" w:eastAsia="zh-CN"/>
        </w:rPr>
        <w:t>300,247.62</w:t>
      </w:r>
      <w:r>
        <w:rPr>
          <w:rFonts w:hint="default" w:ascii="仿宋_GB2312" w:hAnsi="ˎ̥" w:eastAsia="仿宋_GB2312" w:cs="仿宋_GB2312"/>
          <w:kern w:val="0"/>
          <w:sz w:val="32"/>
          <w:szCs w:val="32"/>
          <w:highlight w:val="none"/>
        </w:rPr>
        <w:t>万元，支出总计</w:t>
      </w:r>
      <w:r>
        <w:rPr>
          <w:rFonts w:hint="eastAsia" w:ascii="仿宋_GB2312" w:hAnsi="ˎ̥" w:eastAsia="仿宋_GB2312" w:cs="仿宋_GB2312"/>
          <w:kern w:val="0"/>
          <w:sz w:val="32"/>
          <w:szCs w:val="32"/>
          <w:highlight w:val="none"/>
          <w:lang w:val="en-US" w:eastAsia="zh-CN"/>
        </w:rPr>
        <w:t>301,462.47</w:t>
      </w:r>
      <w:r>
        <w:rPr>
          <w:rFonts w:hint="default" w:ascii="仿宋_GB2312" w:hAnsi="ˎ̥" w:eastAsia="仿宋_GB2312" w:cs="仿宋_GB2312"/>
          <w:kern w:val="0"/>
          <w:sz w:val="32"/>
          <w:szCs w:val="32"/>
          <w:highlight w:val="none"/>
        </w:rPr>
        <w:t>万元，与2021年度相比，收入、支出总计</w:t>
      </w:r>
      <w:r>
        <w:rPr>
          <w:rFonts w:hint="eastAsia" w:ascii="仿宋_GB2312" w:hAnsi="ˎ̥" w:eastAsia="仿宋_GB2312" w:cs="仿宋_GB2312"/>
          <w:kern w:val="0"/>
          <w:sz w:val="32"/>
          <w:szCs w:val="32"/>
          <w:highlight w:val="none"/>
          <w:lang w:val="en-US" w:eastAsia="zh-CN"/>
        </w:rPr>
        <w:t>分别增长13,844.29</w:t>
      </w:r>
      <w:r>
        <w:rPr>
          <w:rFonts w:hint="default" w:ascii="仿宋_GB2312" w:hAnsi="ˎ̥" w:eastAsia="仿宋_GB2312" w:cs="仿宋_GB2312"/>
          <w:kern w:val="0"/>
          <w:sz w:val="32"/>
          <w:szCs w:val="32"/>
          <w:highlight w:val="none"/>
        </w:rPr>
        <w:t>万元</w:t>
      </w:r>
      <w:r>
        <w:rPr>
          <w:rFonts w:hint="eastAsia" w:ascii="仿宋_GB2312" w:hAnsi="ˎ̥" w:eastAsia="仿宋_GB2312" w:cs="仿宋_GB2312"/>
          <w:kern w:val="0"/>
          <w:sz w:val="32"/>
          <w:szCs w:val="32"/>
          <w:highlight w:val="none"/>
          <w:lang w:val="en-US" w:eastAsia="zh-CN"/>
        </w:rPr>
        <w:t>和24,295.34万元</w:t>
      </w:r>
      <w:r>
        <w:rPr>
          <w:rFonts w:hint="default" w:ascii="仿宋_GB2312" w:hAnsi="ˎ̥" w:eastAsia="仿宋_GB2312" w:cs="仿宋_GB2312"/>
          <w:kern w:val="0"/>
          <w:sz w:val="32"/>
          <w:szCs w:val="32"/>
          <w:highlight w:val="none"/>
        </w:rPr>
        <w:t>，增长</w:t>
      </w:r>
      <w:r>
        <w:rPr>
          <w:rFonts w:hint="eastAsia" w:ascii="仿宋_GB2312" w:hAnsi="ˎ̥" w:eastAsia="仿宋_GB2312" w:cs="仿宋_GB2312"/>
          <w:kern w:val="0"/>
          <w:sz w:val="32"/>
          <w:szCs w:val="32"/>
          <w:highlight w:val="none"/>
          <w:lang w:val="en-US" w:eastAsia="zh-CN"/>
        </w:rPr>
        <w:t>4.8</w:t>
      </w:r>
      <w:r>
        <w:rPr>
          <w:rFonts w:hint="default" w:ascii="仿宋_GB2312" w:hAnsi="ˎ̥" w:eastAsia="仿宋_GB2312" w:cs="仿宋_GB2312"/>
          <w:kern w:val="0"/>
          <w:sz w:val="32"/>
          <w:szCs w:val="32"/>
          <w:highlight w:val="none"/>
        </w:rPr>
        <w:t>%</w:t>
      </w:r>
      <w:r>
        <w:rPr>
          <w:rFonts w:hint="eastAsia" w:ascii="仿宋_GB2312" w:hAnsi="ˎ̥" w:eastAsia="仿宋_GB2312" w:cs="仿宋_GB2312"/>
          <w:kern w:val="0"/>
          <w:sz w:val="32"/>
          <w:szCs w:val="32"/>
          <w:highlight w:val="none"/>
          <w:lang w:val="en-US" w:eastAsia="zh-CN"/>
        </w:rPr>
        <w:t>和8.8%</w:t>
      </w:r>
      <w:r>
        <w:rPr>
          <w:rFonts w:hint="default" w:ascii="仿宋_GB2312" w:hAnsi="ˎ̥" w:eastAsia="仿宋_GB2312" w:cs="仿宋_GB2312"/>
          <w:kern w:val="0"/>
          <w:sz w:val="32"/>
          <w:szCs w:val="32"/>
          <w:highlight w:val="none"/>
        </w:rPr>
        <w:t>。主要原因：</w:t>
      </w:r>
      <w:r>
        <w:rPr>
          <w:rFonts w:hint="eastAsia" w:ascii="仿宋_GB2312" w:hAnsi="ˎ̥" w:eastAsia="仿宋_GB2312"/>
          <w:sz w:val="32"/>
          <w:szCs w:val="32"/>
          <w:highlight w:val="none"/>
        </w:rPr>
        <w:t>一般公共预算财政拨款收入较上年</w:t>
      </w:r>
      <w:r>
        <w:rPr>
          <w:rFonts w:hint="eastAsia" w:ascii="仿宋_GB2312" w:hAnsi="ˎ̥" w:eastAsia="仿宋_GB2312"/>
          <w:sz w:val="32"/>
          <w:szCs w:val="32"/>
        </w:rPr>
        <w:t>增长</w:t>
      </w:r>
      <w:r>
        <w:rPr>
          <w:rFonts w:hint="eastAsia" w:ascii="仿宋_GB2312" w:hAnsi="ˎ̥" w:eastAsia="仿宋_GB2312"/>
          <w:sz w:val="32"/>
          <w:szCs w:val="32"/>
          <w:lang w:val="en-US" w:eastAsia="zh-CN"/>
        </w:rPr>
        <w:t>3.1</w:t>
      </w:r>
      <w:r>
        <w:rPr>
          <w:rFonts w:hint="eastAsia" w:ascii="仿宋_GB2312" w:hAnsi="ˎ̥" w:eastAsia="仿宋_GB2312"/>
          <w:sz w:val="32"/>
          <w:szCs w:val="32"/>
        </w:rPr>
        <w:t>%，事业收入较上年增长</w:t>
      </w:r>
      <w:r>
        <w:rPr>
          <w:rFonts w:hint="eastAsia" w:ascii="仿宋_GB2312" w:hAnsi="ˎ̥" w:eastAsia="仿宋_GB2312"/>
          <w:sz w:val="32"/>
          <w:szCs w:val="32"/>
          <w:lang w:val="en-US" w:eastAsia="zh-CN"/>
        </w:rPr>
        <w:t>2.4</w:t>
      </w:r>
      <w:r>
        <w:rPr>
          <w:rFonts w:hint="eastAsia" w:ascii="仿宋_GB2312" w:hAnsi="ˎ̥" w:eastAsia="仿宋_GB2312"/>
          <w:sz w:val="32"/>
          <w:szCs w:val="32"/>
        </w:rPr>
        <w:t>%，其他收入较上年增长</w:t>
      </w:r>
      <w:r>
        <w:rPr>
          <w:rFonts w:hint="eastAsia" w:ascii="仿宋_GB2312" w:hAnsi="ˎ̥" w:eastAsia="仿宋_GB2312"/>
          <w:sz w:val="32"/>
          <w:szCs w:val="32"/>
          <w:lang w:val="en-US" w:eastAsia="zh-CN"/>
        </w:rPr>
        <w:t>10.7</w:t>
      </w:r>
      <w:r>
        <w:rPr>
          <w:rFonts w:hint="eastAsia" w:ascii="仿宋_GB2312" w:hAnsi="ˎ̥" w:eastAsia="仿宋_GB2312"/>
          <w:sz w:val="32"/>
          <w:szCs w:val="32"/>
        </w:rPr>
        <w:t>%。</w:t>
      </w:r>
      <w:r>
        <w:rPr>
          <w:rFonts w:hint="default" w:ascii="仿宋_GB2312" w:hAnsi="ˎ̥" w:eastAsia="仿宋_GB2312" w:cs="仿宋_GB2312"/>
          <w:kern w:val="0"/>
          <w:sz w:val="32"/>
          <w:szCs w:val="32"/>
        </w:rPr>
        <w:t>使用非财政拨款结余</w:t>
      </w:r>
      <w:r>
        <w:rPr>
          <w:rFonts w:hint="default" w:ascii="仿宋_GB2312" w:hAnsi="宋体" w:eastAsia="仿宋_GB2312" w:cs="仿宋_GB2312"/>
          <w:kern w:val="0"/>
          <w:sz w:val="32"/>
          <w:szCs w:val="32"/>
          <w:highlight w:val="none"/>
        </w:rPr>
        <w:t>241.17</w:t>
      </w:r>
      <w:r>
        <w:rPr>
          <w:rFonts w:hint="default" w:ascii="仿宋_GB2312" w:hAnsi="ˎ̥" w:eastAsia="仿宋_GB2312" w:cs="仿宋_GB2312"/>
          <w:kern w:val="0"/>
          <w:sz w:val="32"/>
          <w:szCs w:val="32"/>
          <w:highlight w:val="none"/>
        </w:rPr>
        <w:t>万元，较2021年度决算数增加233.36万元</w:t>
      </w:r>
      <w:r>
        <w:rPr>
          <w:rFonts w:hint="default" w:ascii="仿宋_GB2312" w:hAnsi="ˎ̥" w:eastAsia="仿宋_GB2312" w:cs="仿宋_GB2312"/>
          <w:kern w:val="0"/>
          <w:sz w:val="32"/>
          <w:szCs w:val="32"/>
        </w:rPr>
        <w:t>，主要原因</w:t>
      </w:r>
      <w:r>
        <w:rPr>
          <w:rFonts w:hint="eastAsia" w:ascii="仿宋_GB2312" w:hAnsi="ˎ̥" w:eastAsia="仿宋_GB2312" w:cs="仿宋_GB2312"/>
          <w:kern w:val="0"/>
          <w:sz w:val="32"/>
          <w:szCs w:val="32"/>
          <w:lang w:val="en-US" w:eastAsia="zh-CN"/>
        </w:rPr>
        <w:t>是以前年度结转资金开支有所增加</w:t>
      </w:r>
      <w:r>
        <w:rPr>
          <w:rFonts w:hint="default" w:ascii="仿宋_GB2312" w:hAnsi="ˎ̥" w:eastAsia="仿宋_GB2312" w:cs="仿宋_GB2312"/>
          <w:kern w:val="0"/>
          <w:sz w:val="32"/>
          <w:szCs w:val="32"/>
        </w:rPr>
        <w:t>。</w:t>
      </w:r>
      <w:r>
        <w:rPr>
          <w:rFonts w:hint="default" w:ascii="仿宋_GB2312" w:hAnsi="ˎ̥" w:eastAsia="仿宋_GB2312" w:cs="仿宋_GB2312"/>
          <w:kern w:val="0"/>
          <w:sz w:val="32"/>
          <w:szCs w:val="32"/>
          <w:highlight w:val="none"/>
        </w:rPr>
        <w:t>年初结转结余</w:t>
      </w:r>
      <w:r>
        <w:rPr>
          <w:rFonts w:hint="default" w:ascii="仿宋_GB2312" w:hAnsi="宋体" w:eastAsia="仿宋_GB2312" w:cs="仿宋_GB2312"/>
          <w:kern w:val="0"/>
          <w:sz w:val="32"/>
          <w:szCs w:val="32"/>
          <w:highlight w:val="none"/>
        </w:rPr>
        <w:t>52,795.30</w:t>
      </w:r>
      <w:r>
        <w:rPr>
          <w:rFonts w:hint="default" w:ascii="仿宋_GB2312" w:hAnsi="ˎ̥" w:eastAsia="仿宋_GB2312" w:cs="仿宋_GB2312"/>
          <w:kern w:val="0"/>
          <w:sz w:val="32"/>
          <w:szCs w:val="32"/>
          <w:highlight w:val="none"/>
        </w:rPr>
        <w:t>万元，主要</w:t>
      </w:r>
      <w:r>
        <w:rPr>
          <w:rFonts w:hint="eastAsia" w:ascii="仿宋_GB2312" w:hAnsi="ˎ̥" w:eastAsia="仿宋_GB2312" w:cs="仿宋_GB2312"/>
          <w:kern w:val="0"/>
          <w:sz w:val="32"/>
          <w:szCs w:val="32"/>
          <w:highlight w:val="none"/>
          <w:lang w:val="en-US" w:eastAsia="zh-CN"/>
        </w:rPr>
        <w:t>是科研课题结转资金</w:t>
      </w:r>
      <w:r>
        <w:rPr>
          <w:rFonts w:hint="default" w:ascii="仿宋_GB2312" w:hAnsi="ˎ̥" w:eastAsia="仿宋_GB2312" w:cs="仿宋_GB2312"/>
          <w:kern w:val="0"/>
          <w:sz w:val="32"/>
          <w:szCs w:val="32"/>
          <w:highlight w:val="none"/>
        </w:rPr>
        <w:t>，较</w:t>
      </w:r>
      <w:r>
        <w:rPr>
          <w:rFonts w:hint="default" w:ascii="仿宋_GB2312" w:hAnsi="ˎ̥" w:eastAsia="仿宋_GB2312" w:cs="仿宋_GB2312"/>
          <w:kern w:val="0"/>
          <w:sz w:val="32"/>
          <w:szCs w:val="32"/>
        </w:rPr>
        <w:t>2021年度决算数增加9</w:t>
      </w:r>
      <w:r>
        <w:rPr>
          <w:rFonts w:hint="eastAsia" w:ascii="仿宋_GB2312" w:hAnsi="ˎ̥" w:eastAsia="仿宋_GB2312" w:cs="仿宋_GB2312"/>
          <w:kern w:val="0"/>
          <w:sz w:val="32"/>
          <w:szCs w:val="32"/>
          <w:lang w:val="en-US" w:eastAsia="zh-CN"/>
        </w:rPr>
        <w:t>,</w:t>
      </w:r>
      <w:r>
        <w:rPr>
          <w:rFonts w:hint="default" w:ascii="仿宋_GB2312" w:hAnsi="ˎ̥" w:eastAsia="仿宋_GB2312" w:cs="仿宋_GB2312"/>
          <w:kern w:val="0"/>
          <w:sz w:val="32"/>
          <w:szCs w:val="32"/>
        </w:rPr>
        <w:t>198.61万元，增</w:t>
      </w:r>
      <w:r>
        <w:rPr>
          <w:rFonts w:hint="eastAsia" w:ascii="仿宋_GB2312" w:hAnsi="ˎ̥" w:eastAsia="仿宋_GB2312" w:cs="仿宋_GB2312"/>
          <w:kern w:val="0"/>
          <w:sz w:val="32"/>
          <w:szCs w:val="32"/>
          <w:lang w:val="en-US" w:eastAsia="zh-CN"/>
        </w:rPr>
        <w:t>长</w:t>
      </w:r>
      <w:r>
        <w:rPr>
          <w:rFonts w:hint="default" w:ascii="仿宋_GB2312" w:hAnsi="ˎ̥" w:eastAsia="仿宋_GB2312" w:cs="仿宋_GB2312"/>
          <w:kern w:val="0"/>
          <w:sz w:val="32"/>
          <w:szCs w:val="32"/>
        </w:rPr>
        <w:t>21.1%，</w:t>
      </w:r>
      <w:r>
        <w:rPr>
          <w:rFonts w:hint="default" w:ascii="仿宋_GB2312" w:hAnsi="ˎ̥" w:eastAsia="仿宋_GB2312" w:cs="仿宋_GB2312"/>
          <w:kern w:val="0"/>
          <w:sz w:val="32"/>
          <w:szCs w:val="32"/>
          <w:highlight w:val="none"/>
        </w:rPr>
        <w:t>主要原因</w:t>
      </w:r>
      <w:r>
        <w:rPr>
          <w:rFonts w:hint="eastAsia" w:ascii="仿宋_GB2312" w:hAnsi="ˎ̥" w:eastAsia="仿宋_GB2312" w:cs="仿宋_GB2312"/>
          <w:kern w:val="0"/>
          <w:sz w:val="32"/>
          <w:szCs w:val="32"/>
          <w:highlight w:val="none"/>
          <w:lang w:val="en-US" w:eastAsia="zh-CN"/>
        </w:rPr>
        <w:t>是使用以前年度结转资金较多</w:t>
      </w:r>
      <w:r>
        <w:rPr>
          <w:rFonts w:hint="default" w:ascii="仿宋_GB2312" w:hAnsi="ˎ̥" w:eastAsia="仿宋_GB2312" w:cs="仿宋_GB2312"/>
          <w:kern w:val="0"/>
          <w:sz w:val="32"/>
          <w:szCs w:val="32"/>
          <w:highlight w:val="none"/>
        </w:rPr>
        <w:t>。</w:t>
      </w:r>
      <w:r>
        <w:rPr>
          <w:rFonts w:hint="default" w:ascii="仿宋_GB2312" w:hAnsi="ˎ̥" w:eastAsia="仿宋_GB2312" w:cs="仿宋_GB2312"/>
          <w:kern w:val="0"/>
          <w:sz w:val="32"/>
          <w:szCs w:val="32"/>
        </w:rPr>
        <w:t>结余分配</w:t>
      </w:r>
      <w:r>
        <w:rPr>
          <w:rFonts w:hint="default" w:ascii="仿宋_GB2312" w:hAnsi="宋体" w:eastAsia="仿宋_GB2312" w:cs="仿宋_GB2312"/>
          <w:kern w:val="0"/>
          <w:sz w:val="32"/>
          <w:szCs w:val="32"/>
        </w:rPr>
        <w:t>22.66</w:t>
      </w:r>
      <w:r>
        <w:rPr>
          <w:rFonts w:hint="default" w:ascii="仿宋_GB2312" w:hAnsi="ˎ̥" w:eastAsia="仿宋_GB2312" w:cs="仿宋_GB2312"/>
          <w:kern w:val="0"/>
          <w:sz w:val="32"/>
          <w:szCs w:val="32"/>
        </w:rPr>
        <w:t>万元，</w:t>
      </w:r>
      <w:r>
        <w:rPr>
          <w:rFonts w:hint="default" w:ascii="仿宋_GB2312" w:hAnsi="ˎ̥" w:eastAsia="仿宋_GB2312" w:cs="仿宋_GB2312"/>
          <w:kern w:val="0"/>
          <w:sz w:val="32"/>
          <w:szCs w:val="32"/>
          <w:highlight w:val="none"/>
        </w:rPr>
        <w:t>主要是</w:t>
      </w:r>
      <w:r>
        <w:rPr>
          <w:rFonts w:hint="eastAsia" w:ascii="仿宋_GB2312" w:hAnsi="ˎ̥" w:eastAsia="仿宋_GB2312" w:cs="仿宋_GB2312"/>
          <w:kern w:val="0"/>
          <w:sz w:val="32"/>
          <w:szCs w:val="32"/>
          <w:highlight w:val="none"/>
          <w:lang w:val="en-US" w:eastAsia="zh-CN"/>
        </w:rPr>
        <w:t>用于教育事业发展</w:t>
      </w:r>
      <w:r>
        <w:rPr>
          <w:rFonts w:hint="default" w:ascii="仿宋_GB2312" w:hAnsi="ˎ̥" w:eastAsia="仿宋_GB2312" w:cs="仿宋_GB2312"/>
          <w:kern w:val="0"/>
          <w:sz w:val="32"/>
          <w:szCs w:val="32"/>
          <w:highlight w:val="none"/>
        </w:rPr>
        <w:t>，</w:t>
      </w:r>
      <w:r>
        <w:rPr>
          <w:rFonts w:hint="default" w:ascii="仿宋_GB2312" w:hAnsi="ˎ̥" w:eastAsia="仿宋_GB2312" w:cs="仿宋_GB2312"/>
          <w:kern w:val="0"/>
          <w:sz w:val="32"/>
          <w:szCs w:val="32"/>
        </w:rPr>
        <w:t>较2021年度决算数增</w:t>
      </w:r>
      <w:r>
        <w:rPr>
          <w:rFonts w:hint="eastAsia" w:ascii="仿宋_GB2312" w:hAnsi="ˎ̥" w:eastAsia="仿宋_GB2312" w:cs="仿宋_GB2312"/>
          <w:kern w:val="0"/>
          <w:sz w:val="32"/>
          <w:szCs w:val="32"/>
          <w:lang w:val="en-US" w:eastAsia="zh-CN"/>
        </w:rPr>
        <w:t>长</w:t>
      </w:r>
      <w:r>
        <w:rPr>
          <w:rFonts w:hint="default" w:ascii="仿宋_GB2312" w:hAnsi="ˎ̥" w:eastAsia="仿宋_GB2312" w:cs="仿宋_GB2312"/>
          <w:kern w:val="0"/>
          <w:sz w:val="32"/>
          <w:szCs w:val="32"/>
        </w:rPr>
        <w:t>11.62万元，增长105.</w:t>
      </w:r>
      <w:r>
        <w:rPr>
          <w:rFonts w:hint="eastAsia" w:ascii="仿宋_GB2312" w:hAnsi="ˎ̥" w:eastAsia="仿宋_GB2312" w:cs="仿宋_GB2312"/>
          <w:kern w:val="0"/>
          <w:sz w:val="32"/>
          <w:szCs w:val="32"/>
          <w:lang w:val="en-US" w:eastAsia="zh-CN"/>
        </w:rPr>
        <w:t>3</w:t>
      </w:r>
      <w:r>
        <w:rPr>
          <w:rFonts w:hint="default" w:ascii="仿宋_GB2312" w:hAnsi="ˎ̥" w:eastAsia="仿宋_GB2312" w:cs="仿宋_GB2312"/>
          <w:kern w:val="0"/>
          <w:sz w:val="32"/>
          <w:szCs w:val="32"/>
        </w:rPr>
        <w:t>%</w:t>
      </w:r>
      <w:r>
        <w:rPr>
          <w:rFonts w:hint="default" w:ascii="仿宋_GB2312" w:hAnsi="ˎ̥" w:eastAsia="仿宋_GB2312" w:cs="仿宋_GB2312"/>
          <w:kern w:val="0"/>
          <w:sz w:val="32"/>
          <w:szCs w:val="32"/>
          <w:highlight w:val="none"/>
        </w:rPr>
        <w:t>，主要原因</w:t>
      </w:r>
      <w:r>
        <w:rPr>
          <w:rFonts w:hint="eastAsia" w:ascii="仿宋_GB2312" w:hAnsi="ˎ̥" w:eastAsia="仿宋_GB2312" w:cs="仿宋_GB2312"/>
          <w:kern w:val="0"/>
          <w:sz w:val="32"/>
          <w:szCs w:val="32"/>
          <w:highlight w:val="none"/>
          <w:lang w:val="en-US" w:eastAsia="zh-CN"/>
        </w:rPr>
        <w:t>是加大了教育事业发展的投入</w:t>
      </w:r>
      <w:r>
        <w:rPr>
          <w:rFonts w:hint="default" w:ascii="仿宋_GB2312" w:hAnsi="ˎ̥" w:eastAsia="仿宋_GB2312" w:cs="仿宋_GB2312"/>
          <w:kern w:val="0"/>
          <w:sz w:val="32"/>
          <w:szCs w:val="32"/>
          <w:highlight w:val="none"/>
        </w:rPr>
        <w:t>。年</w:t>
      </w:r>
      <w:r>
        <w:rPr>
          <w:rFonts w:hint="default" w:ascii="仿宋_GB2312" w:hAnsi="ˎ̥" w:eastAsia="仿宋_GB2312" w:cs="仿宋_GB2312"/>
          <w:kern w:val="0"/>
          <w:sz w:val="32"/>
          <w:szCs w:val="32"/>
        </w:rPr>
        <w:t>末结转结余</w:t>
      </w:r>
      <w:r>
        <w:rPr>
          <w:rFonts w:hint="default" w:ascii="仿宋_GB2312" w:hAnsi="宋体" w:eastAsia="仿宋_GB2312" w:cs="仿宋_GB2312"/>
          <w:kern w:val="0"/>
          <w:sz w:val="32"/>
          <w:szCs w:val="32"/>
        </w:rPr>
        <w:t>51,798.95</w:t>
      </w:r>
      <w:r>
        <w:rPr>
          <w:rFonts w:hint="default" w:ascii="仿宋_GB2312" w:hAnsi="ˎ̥" w:eastAsia="仿宋_GB2312" w:cs="仿宋_GB2312"/>
          <w:kern w:val="0"/>
          <w:sz w:val="32"/>
          <w:szCs w:val="32"/>
        </w:rPr>
        <w:t>万元</w:t>
      </w:r>
      <w:r>
        <w:rPr>
          <w:rFonts w:hint="default" w:ascii="仿宋_GB2312" w:hAnsi="ˎ̥" w:eastAsia="仿宋_GB2312" w:cs="仿宋_GB2312"/>
          <w:kern w:val="0"/>
          <w:sz w:val="32"/>
          <w:szCs w:val="32"/>
          <w:highlight w:val="none"/>
        </w:rPr>
        <w:t>，主要</w:t>
      </w:r>
      <w:r>
        <w:rPr>
          <w:rFonts w:hint="eastAsia" w:ascii="仿宋_GB2312" w:hAnsi="ˎ̥" w:eastAsia="仿宋_GB2312" w:cs="仿宋_GB2312"/>
          <w:kern w:val="0"/>
          <w:sz w:val="32"/>
          <w:szCs w:val="32"/>
          <w:highlight w:val="none"/>
          <w:lang w:val="en-US" w:eastAsia="zh-CN"/>
        </w:rPr>
        <w:t>是科研课题结转资金</w:t>
      </w:r>
      <w:r>
        <w:rPr>
          <w:rFonts w:hint="default" w:ascii="仿宋_GB2312" w:hAnsi="ˎ̥" w:eastAsia="仿宋_GB2312" w:cs="仿宋_GB2312"/>
          <w:kern w:val="0"/>
          <w:sz w:val="32"/>
          <w:szCs w:val="32"/>
        </w:rPr>
        <w:t>，较2021年度决算数减少1</w:t>
      </w:r>
      <w:r>
        <w:rPr>
          <w:rFonts w:hint="eastAsia" w:ascii="仿宋_GB2312" w:hAnsi="ˎ̥" w:eastAsia="仿宋_GB2312" w:cs="仿宋_GB2312"/>
          <w:kern w:val="0"/>
          <w:sz w:val="32"/>
          <w:szCs w:val="32"/>
          <w:lang w:val="en-US" w:eastAsia="zh-CN"/>
        </w:rPr>
        <w:t>,</w:t>
      </w:r>
      <w:r>
        <w:rPr>
          <w:rFonts w:hint="default" w:ascii="仿宋_GB2312" w:hAnsi="ˎ̥" w:eastAsia="仿宋_GB2312" w:cs="仿宋_GB2312"/>
          <w:kern w:val="0"/>
          <w:sz w:val="32"/>
          <w:szCs w:val="32"/>
        </w:rPr>
        <w:t>030.72万元，下降</w:t>
      </w:r>
      <w:r>
        <w:rPr>
          <w:rFonts w:hint="eastAsia" w:ascii="仿宋_GB2312" w:hAnsi="ˎ̥" w:eastAsia="仿宋_GB2312" w:cs="仿宋_GB2312"/>
          <w:kern w:val="0"/>
          <w:sz w:val="32"/>
          <w:szCs w:val="32"/>
          <w:lang w:val="en-US" w:eastAsia="zh-CN"/>
        </w:rPr>
        <w:t>2.0</w:t>
      </w:r>
      <w:r>
        <w:rPr>
          <w:rFonts w:hint="default" w:ascii="仿宋_GB2312" w:hAnsi="ˎ̥" w:eastAsia="仿宋_GB2312" w:cs="仿宋_GB2312"/>
          <w:kern w:val="0"/>
          <w:sz w:val="32"/>
          <w:szCs w:val="32"/>
        </w:rPr>
        <w:t>%，</w:t>
      </w:r>
      <w:r>
        <w:rPr>
          <w:rFonts w:hint="default" w:ascii="仿宋_GB2312" w:hAnsi="ˎ̥" w:eastAsia="仿宋_GB2312" w:cs="仿宋_GB2312"/>
          <w:kern w:val="0"/>
          <w:sz w:val="32"/>
          <w:szCs w:val="32"/>
          <w:highlight w:val="none"/>
        </w:rPr>
        <w:t>主要原因是</w:t>
      </w:r>
      <w:r>
        <w:rPr>
          <w:rFonts w:hint="eastAsia" w:ascii="仿宋_GB2312" w:hAnsi="ˎ̥" w:eastAsia="仿宋_GB2312" w:cs="仿宋_GB2312"/>
          <w:kern w:val="0"/>
          <w:sz w:val="32"/>
          <w:szCs w:val="32"/>
          <w:highlight w:val="none"/>
          <w:lang w:val="en-US" w:eastAsia="zh-CN"/>
        </w:rPr>
        <w:t>2022年度海南大学对科研课题资金支出有所增加。</w:t>
      </w:r>
      <w:bookmarkEnd w:id="44"/>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3" w:firstLineChars="200"/>
        <w:textAlignment w:val="auto"/>
        <w:outlineLvl w:val="9"/>
        <w:rPr>
          <w:rFonts w:hint="default" w:ascii="仿宋_GB2312" w:hAnsi="ˎ̥" w:eastAsia="仿宋_GB2312" w:cs="仿宋_GB2312"/>
          <w:kern w:val="0"/>
          <w:sz w:val="32"/>
          <w:szCs w:val="32"/>
          <w:highlight w:val="none"/>
        </w:rPr>
      </w:pPr>
      <w:bookmarkStart w:id="45" w:name="_Toc17599"/>
      <w:bookmarkStart w:id="46" w:name="_Toc30246"/>
      <w:bookmarkStart w:id="47" w:name="_Toc18699"/>
      <w:r>
        <w:rPr>
          <w:rStyle w:val="24"/>
          <w:rFonts w:hint="eastAsia"/>
        </w:rPr>
        <w:t>二、收入决算情况说明</w:t>
      </w:r>
      <w:r>
        <w:rPr>
          <w:rStyle w:val="24"/>
          <w:rFonts w:hint="eastAsia"/>
        </w:rPr>
        <w:br w:type="textWrapping"/>
      </w:r>
      <w:bookmarkEnd w:id="45"/>
      <w:bookmarkEnd w:id="46"/>
      <w:r>
        <w:rPr>
          <w:rFonts w:hint="default" w:ascii="仿宋_GB2312" w:hAnsi="ˎ̥" w:eastAsia="仿宋_GB2312" w:cs="仿宋_GB2312"/>
          <w:kern w:val="0"/>
          <w:sz w:val="32"/>
          <w:szCs w:val="32"/>
          <w:highlight w:val="none"/>
        </w:rPr>
        <w:t xml:space="preserve">    本年收入合计</w:t>
      </w:r>
      <w:r>
        <w:rPr>
          <w:rFonts w:hint="default" w:ascii="仿宋_GB2312" w:hAnsi="宋体" w:eastAsia="仿宋_GB2312" w:cs="仿宋_GB2312"/>
          <w:kern w:val="0"/>
          <w:sz w:val="32"/>
          <w:szCs w:val="32"/>
          <w:highlight w:val="none"/>
        </w:rPr>
        <w:t>300,247.62</w:t>
      </w:r>
      <w:r>
        <w:rPr>
          <w:rFonts w:hint="default" w:ascii="仿宋_GB2312" w:hAnsi="ˎ̥" w:eastAsia="仿宋_GB2312" w:cs="仿宋_GB2312"/>
          <w:kern w:val="0"/>
          <w:sz w:val="32"/>
          <w:szCs w:val="32"/>
          <w:highlight w:val="none"/>
        </w:rPr>
        <w:t>万元，其中：财政拨款收入</w:t>
      </w:r>
      <w:r>
        <w:rPr>
          <w:rFonts w:hint="default" w:ascii="仿宋_GB2312" w:hAnsi="宋体" w:eastAsia="仿宋_GB2312" w:cs="仿宋_GB2312"/>
          <w:kern w:val="0"/>
          <w:sz w:val="32"/>
          <w:szCs w:val="32"/>
          <w:highlight w:val="none"/>
        </w:rPr>
        <w:t>231,114.23</w:t>
      </w:r>
      <w:r>
        <w:rPr>
          <w:rFonts w:hint="default" w:ascii="仿宋_GB2312" w:hAnsi="ˎ̥" w:eastAsia="仿宋_GB2312" w:cs="仿宋_GB2312"/>
          <w:kern w:val="0"/>
          <w:sz w:val="32"/>
          <w:szCs w:val="32"/>
          <w:highlight w:val="none"/>
        </w:rPr>
        <w:t>万元，占76.9%；上级补助收入</w:t>
      </w:r>
      <w:r>
        <w:rPr>
          <w:rFonts w:hint="default" w:ascii="仿宋_GB2312" w:hAnsi="宋体" w:eastAsia="仿宋_GB2312" w:cs="仿宋_GB2312"/>
          <w:kern w:val="0"/>
          <w:sz w:val="32"/>
          <w:szCs w:val="32"/>
          <w:highlight w:val="none"/>
        </w:rPr>
        <w:t>0.00</w:t>
      </w:r>
      <w:r>
        <w:rPr>
          <w:rFonts w:hint="default" w:ascii="仿宋_GB2312" w:hAnsi="ˎ̥" w:eastAsia="仿宋_GB2312" w:cs="仿宋_GB2312"/>
          <w:kern w:val="0"/>
          <w:sz w:val="32"/>
          <w:szCs w:val="32"/>
          <w:highlight w:val="none"/>
        </w:rPr>
        <w:t>万元，占0%；事业收入</w:t>
      </w:r>
      <w:r>
        <w:rPr>
          <w:rFonts w:hint="default" w:ascii="仿宋_GB2312" w:hAnsi="宋体" w:eastAsia="仿宋_GB2312" w:cs="仿宋_GB2312"/>
          <w:kern w:val="0"/>
          <w:sz w:val="32"/>
          <w:szCs w:val="32"/>
          <w:highlight w:val="none"/>
        </w:rPr>
        <w:t>59,095.47</w:t>
      </w:r>
      <w:r>
        <w:rPr>
          <w:rFonts w:hint="default" w:ascii="仿宋_GB2312" w:hAnsi="ˎ̥" w:eastAsia="仿宋_GB2312" w:cs="仿宋_GB2312"/>
          <w:kern w:val="0"/>
          <w:sz w:val="32"/>
          <w:szCs w:val="32"/>
          <w:highlight w:val="none"/>
        </w:rPr>
        <w:t>万元，占19.</w:t>
      </w:r>
      <w:r>
        <w:rPr>
          <w:rFonts w:hint="eastAsia" w:ascii="仿宋_GB2312" w:hAnsi="ˎ̥" w:eastAsia="仿宋_GB2312" w:cs="仿宋_GB2312"/>
          <w:kern w:val="0"/>
          <w:sz w:val="32"/>
          <w:szCs w:val="32"/>
          <w:highlight w:val="none"/>
          <w:lang w:val="en-US" w:eastAsia="zh-CN"/>
        </w:rPr>
        <w:t>7</w:t>
      </w:r>
      <w:r>
        <w:rPr>
          <w:rFonts w:hint="default" w:ascii="仿宋_GB2312" w:hAnsi="ˎ̥" w:eastAsia="仿宋_GB2312" w:cs="仿宋_GB2312"/>
          <w:kern w:val="0"/>
          <w:sz w:val="32"/>
          <w:szCs w:val="32"/>
          <w:highlight w:val="none"/>
        </w:rPr>
        <w:t>%；经营收入</w:t>
      </w:r>
      <w:r>
        <w:rPr>
          <w:rFonts w:hint="default" w:ascii="仿宋_GB2312" w:hAnsi="宋体" w:eastAsia="仿宋_GB2312" w:cs="仿宋_GB2312"/>
          <w:kern w:val="0"/>
          <w:sz w:val="32"/>
          <w:szCs w:val="32"/>
          <w:highlight w:val="none"/>
        </w:rPr>
        <w:t>80.62</w:t>
      </w:r>
      <w:r>
        <w:rPr>
          <w:rFonts w:hint="default" w:ascii="仿宋_GB2312" w:hAnsi="ˎ̥" w:eastAsia="仿宋_GB2312" w:cs="仿宋_GB2312"/>
          <w:kern w:val="0"/>
          <w:sz w:val="32"/>
          <w:szCs w:val="32"/>
          <w:highlight w:val="none"/>
        </w:rPr>
        <w:t>万元，占0.03%；附属单位上缴收入</w:t>
      </w:r>
      <w:r>
        <w:rPr>
          <w:rFonts w:hint="default" w:ascii="仿宋_GB2312" w:hAnsi="宋体" w:eastAsia="仿宋_GB2312" w:cs="仿宋_GB2312"/>
          <w:kern w:val="0"/>
          <w:sz w:val="32"/>
          <w:szCs w:val="32"/>
          <w:highlight w:val="none"/>
        </w:rPr>
        <w:t>0.00</w:t>
      </w:r>
      <w:r>
        <w:rPr>
          <w:rFonts w:hint="default" w:ascii="仿宋_GB2312" w:hAnsi="ˎ̥" w:eastAsia="仿宋_GB2312" w:cs="仿宋_GB2312"/>
          <w:kern w:val="0"/>
          <w:sz w:val="32"/>
          <w:szCs w:val="32"/>
          <w:highlight w:val="none"/>
        </w:rPr>
        <w:t>万元，占0%；其他收入</w:t>
      </w:r>
      <w:r>
        <w:rPr>
          <w:rFonts w:hint="default" w:ascii="仿宋_GB2312" w:hAnsi="宋体" w:eastAsia="仿宋_GB2312" w:cs="仿宋_GB2312"/>
          <w:kern w:val="0"/>
          <w:sz w:val="32"/>
          <w:szCs w:val="32"/>
          <w:highlight w:val="none"/>
        </w:rPr>
        <w:t>9,957.30</w:t>
      </w:r>
      <w:r>
        <w:rPr>
          <w:rFonts w:hint="default" w:ascii="仿宋_GB2312" w:hAnsi="ˎ̥" w:eastAsia="仿宋_GB2312" w:cs="仿宋_GB2312"/>
          <w:kern w:val="0"/>
          <w:sz w:val="32"/>
          <w:szCs w:val="32"/>
          <w:highlight w:val="none"/>
        </w:rPr>
        <w:t>万元，占3.3%。</w:t>
      </w:r>
      <w:bookmarkEnd w:id="47"/>
    </w:p>
    <w:p>
      <w:pPr>
        <w:pStyle w:val="5"/>
        <w:bidi w:val="0"/>
        <w:rPr>
          <w:rFonts w:hint="eastAsia"/>
        </w:rPr>
      </w:pPr>
      <w:bookmarkStart w:id="48" w:name="_Toc27022"/>
      <w:bookmarkStart w:id="49" w:name="_Toc24878"/>
      <w:bookmarkStart w:id="50" w:name="_Toc24691"/>
      <w:r>
        <w:rPr>
          <w:rFonts w:hint="eastAsia"/>
        </w:rPr>
        <w:t>三、支出决算情况说明</w:t>
      </w:r>
      <w:bookmarkEnd w:id="48"/>
      <w:bookmarkEnd w:id="49"/>
      <w:bookmarkEnd w:id="50"/>
    </w:p>
    <w:p>
      <w:pPr>
        <w:bidi w:val="0"/>
        <w:rPr>
          <w:rFonts w:hint="default"/>
        </w:rPr>
      </w:pPr>
      <w:r>
        <w:rPr>
          <w:rFonts w:hint="default"/>
        </w:rPr>
        <w:t>本年支出合计301,462.47万元，其中：基本支出131,576.26万元，占43.</w:t>
      </w:r>
      <w:r>
        <w:rPr>
          <w:rFonts w:hint="eastAsia"/>
          <w:lang w:val="en-US" w:eastAsia="zh-CN"/>
        </w:rPr>
        <w:t>6</w:t>
      </w:r>
      <w:r>
        <w:rPr>
          <w:rFonts w:hint="default"/>
        </w:rPr>
        <w:t>%；项目支出169,828.26万元，占56.3%；上缴上级支出0.00万元，占0%；经营支出57.96万元，占0.02%；对附属单位补助支出0.00万元，占0%。</w:t>
      </w:r>
    </w:p>
    <w:p>
      <w:pPr>
        <w:pStyle w:val="5"/>
        <w:bidi w:val="0"/>
        <w:rPr>
          <w:rFonts w:hint="eastAsia"/>
        </w:rPr>
      </w:pPr>
      <w:bookmarkStart w:id="51" w:name="_Toc12096"/>
      <w:bookmarkStart w:id="52" w:name="_Toc2894"/>
      <w:bookmarkStart w:id="53" w:name="_Toc12731"/>
      <w:r>
        <w:rPr>
          <w:rFonts w:hint="eastAsia"/>
        </w:rPr>
        <w:t>四、财政拨款收入支出决算总体情况说明</w:t>
      </w:r>
      <w:bookmarkEnd w:id="51"/>
      <w:bookmarkEnd w:id="52"/>
      <w:bookmarkEnd w:id="53"/>
    </w:p>
    <w:p>
      <w:pPr>
        <w:bidi w:val="0"/>
        <w:rPr>
          <w:rFonts w:hint="default"/>
        </w:rPr>
      </w:pPr>
      <w:r>
        <w:rPr>
          <w:rFonts w:hint="default"/>
        </w:rPr>
        <w:t>2022年度财政拨款收入</w:t>
      </w:r>
      <w:r>
        <w:rPr>
          <w:rFonts w:hint="eastAsia"/>
          <w:lang w:val="en-US" w:eastAsia="zh-CN"/>
        </w:rPr>
        <w:t>231,114.23</w:t>
      </w:r>
      <w:r>
        <w:rPr>
          <w:rFonts w:hint="default"/>
        </w:rPr>
        <w:t>万元，支出</w:t>
      </w:r>
      <w:r>
        <w:rPr>
          <w:rFonts w:hint="eastAsia"/>
          <w:lang w:val="en-US" w:eastAsia="zh-CN"/>
        </w:rPr>
        <w:t>224,669.27</w:t>
      </w:r>
      <w:r>
        <w:rPr>
          <w:rFonts w:hint="default"/>
        </w:rPr>
        <w:t>万元。与2021年度相比，财政拨款收入、支出</w:t>
      </w:r>
      <w:r>
        <w:rPr>
          <w:rFonts w:hint="eastAsia"/>
          <w:lang w:val="en-US" w:eastAsia="zh-CN"/>
        </w:rPr>
        <w:t>分别增长11,475.49</w:t>
      </w:r>
      <w:r>
        <w:rPr>
          <w:rFonts w:hint="default"/>
        </w:rPr>
        <w:t>万元</w:t>
      </w:r>
      <w:r>
        <w:rPr>
          <w:rFonts w:hint="eastAsia"/>
          <w:lang w:val="en-US" w:eastAsia="zh-CN"/>
        </w:rPr>
        <w:t>和6,779.06万元</w:t>
      </w:r>
      <w:r>
        <w:rPr>
          <w:rFonts w:hint="default"/>
        </w:rPr>
        <w:t>，增长</w:t>
      </w:r>
      <w:r>
        <w:rPr>
          <w:rFonts w:hint="eastAsia"/>
          <w:lang w:val="en-US" w:eastAsia="zh-CN"/>
        </w:rPr>
        <w:t>5.2</w:t>
      </w:r>
      <w:r>
        <w:rPr>
          <w:rFonts w:hint="default"/>
        </w:rPr>
        <w:t>%</w:t>
      </w:r>
      <w:r>
        <w:rPr>
          <w:rFonts w:hint="eastAsia"/>
          <w:lang w:val="en-US" w:eastAsia="zh-CN"/>
        </w:rPr>
        <w:t>和3.1%</w:t>
      </w:r>
      <w:r>
        <w:rPr>
          <w:rFonts w:hint="default"/>
        </w:rPr>
        <w:t>。主要原因：</w:t>
      </w:r>
      <w:r>
        <w:rPr>
          <w:rFonts w:hint="eastAsia"/>
          <w:lang w:val="en-US" w:eastAsia="zh-CN"/>
        </w:rPr>
        <w:t>政府对海南大学支持力度加大</w:t>
      </w:r>
      <w:r>
        <w:rPr>
          <w:rFonts w:hint="default"/>
        </w:rPr>
        <w:t>。</w:t>
      </w:r>
    </w:p>
    <w:p>
      <w:pPr>
        <w:bidi w:val="0"/>
        <w:rPr>
          <w:rFonts w:hint="default"/>
        </w:rPr>
      </w:pPr>
      <w:r>
        <w:rPr>
          <w:rFonts w:hint="default"/>
        </w:rPr>
        <w:t>财政拨款年初结转结余18,104.09万元，主要是</w:t>
      </w:r>
      <w:r>
        <w:rPr>
          <w:rFonts w:hint="eastAsia"/>
          <w:lang w:val="en-US" w:eastAsia="zh-CN"/>
        </w:rPr>
        <w:t>科研课题的结转资金</w:t>
      </w:r>
      <w:r>
        <w:rPr>
          <w:rFonts w:hint="default"/>
        </w:rPr>
        <w:t>，较2021年度决算数增加1</w:t>
      </w:r>
      <w:r>
        <w:rPr>
          <w:rFonts w:hint="eastAsia"/>
          <w:lang w:val="en-US" w:eastAsia="zh-CN"/>
        </w:rPr>
        <w:t>,</w:t>
      </w:r>
      <w:r>
        <w:rPr>
          <w:rFonts w:hint="default"/>
        </w:rPr>
        <w:t>714.16万元，增长10.5%，主要原因是</w:t>
      </w:r>
      <w:r>
        <w:rPr>
          <w:rFonts w:hint="eastAsia"/>
        </w:rPr>
        <w:t>学校承担的财政支持科研项目资金增加。</w:t>
      </w:r>
    </w:p>
    <w:p>
      <w:pPr>
        <w:bidi w:val="0"/>
        <w:rPr>
          <w:rFonts w:hint="default"/>
        </w:rPr>
      </w:pPr>
      <w:r>
        <w:rPr>
          <w:rFonts w:hint="default"/>
        </w:rPr>
        <w:t>财政拨款年末结转结余24,549.05万元，主要是</w:t>
      </w:r>
      <w:r>
        <w:rPr>
          <w:rFonts w:hint="eastAsia"/>
          <w:lang w:val="en-US" w:eastAsia="zh-CN"/>
        </w:rPr>
        <w:t>科研课题的结转资金</w:t>
      </w:r>
      <w:r>
        <w:rPr>
          <w:rFonts w:hint="default"/>
        </w:rPr>
        <w:t>，较2021年度年末决算数增加6</w:t>
      </w:r>
      <w:r>
        <w:rPr>
          <w:rFonts w:hint="eastAsia"/>
          <w:lang w:val="en-US" w:eastAsia="zh-CN"/>
        </w:rPr>
        <w:t>,</w:t>
      </w:r>
      <w:r>
        <w:rPr>
          <w:rFonts w:hint="default"/>
        </w:rPr>
        <w:t>410.59万元，增长35.3%，主要原因是</w:t>
      </w:r>
      <w:r>
        <w:rPr>
          <w:rFonts w:hint="eastAsia"/>
        </w:rPr>
        <w:t>财政支持</w:t>
      </w:r>
      <w:r>
        <w:rPr>
          <w:rFonts w:hint="eastAsia"/>
          <w:lang w:val="en-US" w:eastAsia="zh-CN"/>
        </w:rPr>
        <w:t>的</w:t>
      </w:r>
      <w:r>
        <w:rPr>
          <w:rFonts w:hint="eastAsia"/>
        </w:rPr>
        <w:t>科研项目资金</w:t>
      </w:r>
      <w:r>
        <w:rPr>
          <w:rFonts w:hint="eastAsia"/>
          <w:lang w:val="en-US" w:eastAsia="zh-CN"/>
        </w:rPr>
        <w:t>逐年</w:t>
      </w:r>
      <w:r>
        <w:rPr>
          <w:rFonts w:hint="eastAsia"/>
        </w:rPr>
        <w:t>增加</w:t>
      </w:r>
      <w:r>
        <w:rPr>
          <w:rFonts w:hint="eastAsia"/>
          <w:lang w:eastAsia="zh-CN"/>
        </w:rPr>
        <w:t>，</w:t>
      </w:r>
      <w:r>
        <w:rPr>
          <w:rFonts w:hint="eastAsia"/>
          <w:lang w:val="en-US" w:eastAsia="zh-CN"/>
        </w:rPr>
        <w:t>考虑到科研项目开展周期性，相关资金会结转至下年</w:t>
      </w:r>
      <w:r>
        <w:rPr>
          <w:rFonts w:hint="default"/>
        </w:rPr>
        <w:t>。</w:t>
      </w:r>
    </w:p>
    <w:p>
      <w:pPr>
        <w:pStyle w:val="5"/>
        <w:bidi w:val="0"/>
        <w:rPr>
          <w:rFonts w:hint="eastAsia"/>
        </w:rPr>
      </w:pPr>
      <w:bookmarkStart w:id="54" w:name="_Toc9913"/>
      <w:bookmarkStart w:id="55" w:name="_Toc9955"/>
      <w:bookmarkStart w:id="56" w:name="_Toc7790"/>
      <w:r>
        <w:rPr>
          <w:rFonts w:hint="eastAsia"/>
        </w:rPr>
        <w:t>五、一般公共预算财政拨款支出决算情况说明</w:t>
      </w:r>
      <w:bookmarkEnd w:id="54"/>
      <w:bookmarkEnd w:id="55"/>
      <w:bookmarkEnd w:id="56"/>
    </w:p>
    <w:p>
      <w:pPr>
        <w:bidi w:val="0"/>
        <w:rPr>
          <w:rFonts w:hint="eastAsia" w:ascii="楷体" w:hAnsi="楷体" w:eastAsia="楷体" w:cs="楷体"/>
          <w:b w:val="0"/>
          <w:bCs w:val="0"/>
        </w:rPr>
      </w:pPr>
      <w:r>
        <w:rPr>
          <w:rFonts w:hint="eastAsia" w:ascii="楷体" w:hAnsi="楷体" w:eastAsia="楷体" w:cs="楷体"/>
          <w:b w:val="0"/>
          <w:bCs w:val="0"/>
        </w:rPr>
        <w:t>（一）一般公共预算财政拨款支出决算总体情况</w:t>
      </w:r>
    </w:p>
    <w:p>
      <w:pPr>
        <w:bidi w:val="0"/>
        <w:rPr>
          <w:rFonts w:hint="default"/>
        </w:rPr>
      </w:pPr>
      <w:r>
        <w:rPr>
          <w:rFonts w:hint="default"/>
        </w:rPr>
        <w:t>2022年度一般公共预算财政拨款支出224,643.85万元，占本年支出合计的74.5%。与2021年度相比，一般公共预算财政拨款支出增加6</w:t>
      </w:r>
      <w:r>
        <w:rPr>
          <w:rFonts w:hint="eastAsia"/>
          <w:lang w:val="en-US" w:eastAsia="zh-CN"/>
        </w:rPr>
        <w:t>,</w:t>
      </w:r>
      <w:r>
        <w:rPr>
          <w:rFonts w:hint="default"/>
        </w:rPr>
        <w:t>753.64万元，增长0.03%，主要原因</w:t>
      </w:r>
      <w:r>
        <w:rPr>
          <w:rFonts w:hint="eastAsia"/>
          <w:lang w:val="en-US" w:eastAsia="zh-CN"/>
        </w:rPr>
        <w:t>是一般公共预算财政拨款支出基本支出较上年增长了0.08%</w:t>
      </w:r>
      <w:r>
        <w:rPr>
          <w:rFonts w:hint="default"/>
        </w:rPr>
        <w:t>。</w:t>
      </w:r>
    </w:p>
    <w:p>
      <w:pPr>
        <w:bidi w:val="0"/>
        <w:spacing w:line="288" w:lineRule="auto"/>
        <w:ind w:firstLine="880"/>
        <w:rPr>
          <w:rFonts w:hint="eastAsia" w:ascii="楷体" w:hAnsi="楷体" w:eastAsia="楷体" w:cs="楷体"/>
          <w:b w:val="0"/>
          <w:bCs w:val="0"/>
        </w:rPr>
      </w:pPr>
      <w:r>
        <w:rPr>
          <w:rFonts w:hint="eastAsia" w:ascii="楷体" w:hAnsi="楷体" w:eastAsia="楷体" w:cs="楷体"/>
          <w:b w:val="0"/>
          <w:bCs w:val="0"/>
        </w:rPr>
        <w:t>（二）一般公共预算财政拨款支出决算结构情况</w:t>
      </w:r>
    </w:p>
    <w:p>
      <w:pPr>
        <w:bidi w:val="0"/>
        <w:rPr>
          <w:rFonts w:hint="default"/>
        </w:rPr>
      </w:pPr>
      <w:r>
        <w:rPr>
          <w:rFonts w:hint="default"/>
        </w:rPr>
        <w:t>2022年度一般公共预算财政拨款支出224,643.85万元，主要用于以下方面：一般公共服务（类）支出15.75万元，占0.01%；教育（类）支出187</w:t>
      </w:r>
      <w:r>
        <w:rPr>
          <w:rFonts w:hint="eastAsia"/>
          <w:lang w:val="en-US" w:eastAsia="zh-CN"/>
        </w:rPr>
        <w:t>,</w:t>
      </w:r>
      <w:r>
        <w:rPr>
          <w:rFonts w:hint="default"/>
        </w:rPr>
        <w:t>822.86万元，占83.6%；科学技术（类）支出10</w:t>
      </w:r>
      <w:r>
        <w:rPr>
          <w:rFonts w:hint="eastAsia"/>
          <w:lang w:val="en-US" w:eastAsia="zh-CN"/>
        </w:rPr>
        <w:t>,</w:t>
      </w:r>
      <w:r>
        <w:rPr>
          <w:rFonts w:hint="default"/>
        </w:rPr>
        <w:t>438.64万元，占4.</w:t>
      </w:r>
      <w:r>
        <w:rPr>
          <w:rFonts w:hint="eastAsia"/>
          <w:lang w:val="en-US" w:eastAsia="zh-CN"/>
        </w:rPr>
        <w:t>6</w:t>
      </w:r>
      <w:r>
        <w:rPr>
          <w:rFonts w:hint="default"/>
        </w:rPr>
        <w:t>%；社会保障和就业（类）支出10</w:t>
      </w:r>
      <w:r>
        <w:rPr>
          <w:rFonts w:hint="eastAsia"/>
          <w:lang w:val="en-US" w:eastAsia="zh-CN"/>
        </w:rPr>
        <w:t>,</w:t>
      </w:r>
      <w:r>
        <w:rPr>
          <w:rFonts w:hint="default"/>
        </w:rPr>
        <w:t>632.15万元，占4.7%；卫生健康（类）支出3</w:t>
      </w:r>
      <w:r>
        <w:rPr>
          <w:rFonts w:hint="eastAsia"/>
          <w:lang w:val="en-US" w:eastAsia="zh-CN"/>
        </w:rPr>
        <w:t>,</w:t>
      </w:r>
      <w:r>
        <w:rPr>
          <w:rFonts w:hint="default"/>
        </w:rPr>
        <w:t>299.46万元，占1.5%；农林水（类）支出104.34万元，占0.05%；住房保障（类）支出5</w:t>
      </w:r>
      <w:r>
        <w:rPr>
          <w:rFonts w:hint="eastAsia"/>
          <w:lang w:val="en-US" w:eastAsia="zh-CN"/>
        </w:rPr>
        <w:t>,</w:t>
      </w:r>
      <w:r>
        <w:rPr>
          <w:rFonts w:hint="default"/>
        </w:rPr>
        <w:t>143.27万元，占2.3%；其他（类）支出7</w:t>
      </w:r>
      <w:r>
        <w:rPr>
          <w:rFonts w:hint="eastAsia"/>
          <w:lang w:val="en-US" w:eastAsia="zh-CN"/>
        </w:rPr>
        <w:t>,</w:t>
      </w:r>
      <w:r>
        <w:rPr>
          <w:rFonts w:hint="default"/>
        </w:rPr>
        <w:t>187.37万元，占3.2%；。</w:t>
      </w:r>
    </w:p>
    <w:p>
      <w:pPr>
        <w:bidi w:val="0"/>
        <w:spacing w:line="288" w:lineRule="auto"/>
        <w:ind w:firstLine="880"/>
        <w:rPr>
          <w:rFonts w:hint="eastAsia" w:ascii="楷体" w:hAnsi="楷体" w:eastAsia="楷体" w:cs="楷体"/>
          <w:b w:val="0"/>
          <w:bCs w:val="0"/>
        </w:rPr>
      </w:pPr>
      <w:r>
        <w:rPr>
          <w:rFonts w:hint="eastAsia" w:ascii="楷体" w:hAnsi="楷体" w:eastAsia="楷体" w:cs="楷体"/>
          <w:b w:val="0"/>
          <w:bCs w:val="0"/>
        </w:rPr>
        <w:t>（三）一般公共预算财政拨款支出决算具体情况</w:t>
      </w:r>
    </w:p>
    <w:p>
      <w:pPr>
        <w:bidi w:val="0"/>
        <w:rPr>
          <w:rFonts w:hint="default"/>
        </w:rPr>
      </w:pPr>
      <w:r>
        <w:rPr>
          <w:rFonts w:hint="default"/>
        </w:rPr>
        <w:t>2022年度一般公共预算财政拨款支出年初预算为214,491.24万元，支出决算为224,643.85万元，完成年初预算的104.7%。其中：</w:t>
      </w:r>
    </w:p>
    <w:p>
      <w:pPr>
        <w:bidi w:val="0"/>
        <w:spacing w:line="288" w:lineRule="auto"/>
        <w:ind w:firstLine="880"/>
        <w:rPr>
          <w:rFonts w:hint="default" w:ascii="楷体" w:hAnsi="楷体" w:eastAsia="楷体" w:cs="楷体"/>
          <w:b w:val="0"/>
          <w:bCs w:val="0"/>
        </w:rPr>
      </w:pPr>
      <w:r>
        <w:rPr>
          <w:rFonts w:hint="default" w:ascii="楷体" w:hAnsi="楷体" w:eastAsia="楷体" w:cs="楷体"/>
          <w:b w:val="0"/>
          <w:bCs w:val="0"/>
        </w:rPr>
        <w:t>1</w:t>
      </w:r>
      <w:r>
        <w:rPr>
          <w:rFonts w:hint="eastAsia" w:ascii="楷体" w:hAnsi="楷体" w:eastAsia="楷体" w:cs="楷体"/>
          <w:b w:val="0"/>
          <w:bCs w:val="0"/>
          <w:lang w:val="en-US" w:eastAsia="zh-CN"/>
        </w:rPr>
        <w:t>.</w:t>
      </w:r>
      <w:r>
        <w:rPr>
          <w:rFonts w:hint="default" w:ascii="楷体" w:hAnsi="楷体" w:eastAsia="楷体" w:cs="楷体"/>
          <w:b w:val="0"/>
          <w:bCs w:val="0"/>
        </w:rPr>
        <w:t>一般公共服务（类）知识产权事务（款）其他知识产权事务（项）</w:t>
      </w:r>
    </w:p>
    <w:p>
      <w:pPr>
        <w:bidi w:val="0"/>
        <w:rPr>
          <w:rFonts w:hint="default"/>
        </w:rPr>
      </w:pPr>
      <w:r>
        <w:rPr>
          <w:rFonts w:hint="default"/>
        </w:rPr>
        <w:t>年初预算为0万元，支出决算为15.75万元，决算数大于预算数的主要原因</w:t>
      </w:r>
      <w:r>
        <w:rPr>
          <w:rFonts w:hint="eastAsia"/>
          <w:lang w:val="en-US" w:eastAsia="zh-CN"/>
        </w:rPr>
        <w:t>:2022年度支出了以前年度科研项目累计结转的资金</w:t>
      </w:r>
      <w:r>
        <w:rPr>
          <w:rFonts w:hint="default"/>
        </w:rPr>
        <w:t>。</w:t>
      </w:r>
    </w:p>
    <w:p>
      <w:pPr>
        <w:bidi w:val="0"/>
        <w:spacing w:line="288" w:lineRule="auto"/>
        <w:ind w:firstLine="880"/>
        <w:rPr>
          <w:rFonts w:hint="default" w:ascii="楷体" w:hAnsi="楷体" w:eastAsia="楷体" w:cs="楷体"/>
          <w:b w:val="0"/>
          <w:bCs w:val="0"/>
        </w:rPr>
      </w:pPr>
      <w:r>
        <w:rPr>
          <w:rFonts w:hint="eastAsia" w:ascii="楷体" w:hAnsi="楷体" w:eastAsia="楷体" w:cs="楷体"/>
          <w:b w:val="0"/>
          <w:bCs w:val="0"/>
          <w:lang w:val="en-US" w:eastAsia="zh-CN"/>
        </w:rPr>
        <w:t>2.</w:t>
      </w:r>
      <w:r>
        <w:rPr>
          <w:rFonts w:hint="default" w:ascii="楷体" w:hAnsi="楷体" w:eastAsia="楷体" w:cs="楷体"/>
          <w:b w:val="0"/>
          <w:bCs w:val="0"/>
        </w:rPr>
        <w:t>教育（类）普通教育（款）学前教育（项）</w:t>
      </w:r>
    </w:p>
    <w:p>
      <w:pPr>
        <w:bidi w:val="0"/>
        <w:rPr>
          <w:rFonts w:hint="default"/>
        </w:rPr>
      </w:pPr>
      <w:r>
        <w:rPr>
          <w:rFonts w:hint="default"/>
        </w:rPr>
        <w:t>年初预算为1</w:t>
      </w:r>
      <w:r>
        <w:rPr>
          <w:rFonts w:hint="eastAsia"/>
          <w:lang w:val="en-US" w:eastAsia="zh-CN"/>
        </w:rPr>
        <w:t>,</w:t>
      </w:r>
      <w:r>
        <w:rPr>
          <w:rFonts w:hint="default"/>
        </w:rPr>
        <w:t>194.76万元，支出决算为1</w:t>
      </w:r>
      <w:r>
        <w:rPr>
          <w:rFonts w:hint="eastAsia"/>
          <w:lang w:val="en-US" w:eastAsia="zh-CN"/>
        </w:rPr>
        <w:t>,</w:t>
      </w:r>
      <w:r>
        <w:rPr>
          <w:rFonts w:hint="default"/>
        </w:rPr>
        <w:t>262.69万元，完成年初预算的105.7%。决算数大于预算数的主要原因</w:t>
      </w:r>
      <w:r>
        <w:rPr>
          <w:rFonts w:hint="eastAsia"/>
          <w:lang w:val="en-US" w:eastAsia="zh-CN"/>
        </w:rPr>
        <w:t>:</w:t>
      </w:r>
      <w:r>
        <w:rPr>
          <w:rFonts w:hint="eastAsia"/>
        </w:rPr>
        <w:t>海南大学幼儿园202</w:t>
      </w:r>
      <w:r>
        <w:rPr>
          <w:rFonts w:hint="eastAsia"/>
          <w:lang w:val="en-US" w:eastAsia="zh-CN"/>
        </w:rPr>
        <w:t>2</w:t>
      </w:r>
      <w:r>
        <w:rPr>
          <w:rFonts w:hint="eastAsia"/>
        </w:rPr>
        <w:t>年中追加了在编人员经费</w:t>
      </w:r>
      <w:r>
        <w:rPr>
          <w:rFonts w:hint="default"/>
        </w:rPr>
        <w:t>。</w:t>
      </w:r>
    </w:p>
    <w:p>
      <w:pPr>
        <w:bidi w:val="0"/>
        <w:spacing w:line="288" w:lineRule="auto"/>
        <w:ind w:firstLine="880"/>
        <w:rPr>
          <w:rFonts w:hint="default"/>
        </w:rPr>
      </w:pPr>
      <w:r>
        <w:rPr>
          <w:rFonts w:hint="eastAsia" w:ascii="楷体" w:hAnsi="楷体" w:eastAsia="楷体" w:cs="楷体"/>
          <w:b w:val="0"/>
          <w:bCs w:val="0"/>
          <w:lang w:val="en-US" w:eastAsia="zh-CN"/>
        </w:rPr>
        <w:t>3.</w:t>
      </w:r>
      <w:r>
        <w:rPr>
          <w:rFonts w:hint="default" w:ascii="楷体" w:hAnsi="楷体" w:eastAsia="楷体" w:cs="楷体"/>
          <w:b w:val="0"/>
          <w:bCs w:val="0"/>
          <w:lang w:val="en-US" w:eastAsia="zh-CN"/>
        </w:rPr>
        <w:t>教育（类）普通教育（款）高等教育（项）</w:t>
      </w:r>
    </w:p>
    <w:p>
      <w:pPr>
        <w:bidi w:val="0"/>
        <w:rPr>
          <w:rFonts w:hint="default"/>
          <w:lang w:val="en-US"/>
        </w:rPr>
      </w:pPr>
      <w:r>
        <w:rPr>
          <w:rFonts w:hint="default"/>
        </w:rPr>
        <w:t>年初预算为178</w:t>
      </w:r>
      <w:r>
        <w:rPr>
          <w:rFonts w:hint="eastAsia"/>
          <w:lang w:val="en-US" w:eastAsia="zh-CN"/>
        </w:rPr>
        <w:t>,</w:t>
      </w:r>
      <w:r>
        <w:rPr>
          <w:rFonts w:hint="default"/>
        </w:rPr>
        <w:t>432.96万元，支出决算为186</w:t>
      </w:r>
      <w:r>
        <w:rPr>
          <w:rFonts w:hint="eastAsia"/>
          <w:lang w:val="en-US" w:eastAsia="zh-CN"/>
        </w:rPr>
        <w:t>,</w:t>
      </w:r>
      <w:r>
        <w:rPr>
          <w:rFonts w:hint="default"/>
        </w:rPr>
        <w:t>468.44万元，完成年初预算的104.5%。决算数大于预算数的主要原因</w:t>
      </w:r>
      <w:r>
        <w:rPr>
          <w:rFonts w:hint="eastAsia"/>
          <w:lang w:val="en-US" w:eastAsia="zh-CN"/>
        </w:rPr>
        <w:t>:海南大学在2022年度中加大了高等教育项目的建设。</w:t>
      </w:r>
    </w:p>
    <w:p>
      <w:pPr>
        <w:bidi w:val="0"/>
        <w:spacing w:line="288" w:lineRule="auto"/>
        <w:ind w:firstLine="880"/>
        <w:rPr>
          <w:rFonts w:hint="default"/>
        </w:rPr>
      </w:pPr>
      <w:r>
        <w:rPr>
          <w:rFonts w:hint="default" w:ascii="楷体" w:hAnsi="楷体" w:eastAsia="楷体" w:cs="楷体"/>
          <w:b w:val="0"/>
          <w:bCs w:val="0"/>
          <w:lang w:val="en-US" w:eastAsia="zh-CN"/>
        </w:rPr>
        <w:t>4.教育（类）成人教育（款）成人高等教育（项）</w:t>
      </w:r>
    </w:p>
    <w:p>
      <w:pPr>
        <w:bidi w:val="0"/>
        <w:rPr>
          <w:rFonts w:hint="default"/>
        </w:rPr>
      </w:pPr>
      <w:r>
        <w:rPr>
          <w:rFonts w:hint="default"/>
        </w:rPr>
        <w:t>年初预算为92.15万元，支出决算为91.73万元，完成年初预算的99.5%。</w:t>
      </w:r>
    </w:p>
    <w:p>
      <w:pPr>
        <w:bidi w:val="0"/>
        <w:rPr>
          <w:rFonts w:hint="default"/>
        </w:rPr>
      </w:pPr>
      <w:r>
        <w:rPr>
          <w:rFonts w:hint="default" w:ascii="楷体" w:hAnsi="楷体" w:eastAsia="楷体" w:cs="楷体"/>
          <w:b w:val="0"/>
          <w:bCs w:val="0"/>
          <w:lang w:val="en-US" w:eastAsia="zh-CN"/>
        </w:rPr>
        <w:t>5.科学技术（类）基础研究（款）自然科学基金（项）</w:t>
      </w:r>
    </w:p>
    <w:p>
      <w:pPr>
        <w:bidi w:val="0"/>
        <w:rPr>
          <w:rFonts w:hint="default" w:ascii="楷体" w:hAnsi="楷体" w:eastAsia="楷体" w:cs="楷体"/>
          <w:b w:val="0"/>
          <w:bCs w:val="0"/>
          <w:lang w:val="en-US" w:eastAsia="zh-CN"/>
        </w:rPr>
      </w:pPr>
      <w:r>
        <w:rPr>
          <w:rFonts w:hint="default"/>
        </w:rPr>
        <w:t>年初预算为523.5</w:t>
      </w:r>
      <w:r>
        <w:rPr>
          <w:rFonts w:hint="eastAsia"/>
          <w:lang w:val="en-US" w:eastAsia="zh-CN"/>
        </w:rPr>
        <w:t>0</w:t>
      </w:r>
      <w:r>
        <w:rPr>
          <w:rFonts w:hint="default"/>
        </w:rPr>
        <w:t>万元，支出决算为648.69万元，完成年初预算的123.9%。决算数大于预算数的主要原因</w:t>
      </w:r>
      <w:r>
        <w:rPr>
          <w:rFonts w:hint="eastAsia"/>
          <w:lang w:eastAsia="zh-CN"/>
        </w:rPr>
        <w:t>：</w:t>
      </w:r>
      <w:r>
        <w:rPr>
          <w:rFonts w:hint="eastAsia"/>
          <w:lang w:val="en-US" w:eastAsia="zh-CN"/>
        </w:rPr>
        <w:t>除了年初预算外，本年还支出了上年累计结转的资金。</w:t>
      </w:r>
    </w:p>
    <w:p>
      <w:pPr>
        <w:bidi w:val="0"/>
        <w:rPr>
          <w:rFonts w:hint="default"/>
        </w:rPr>
      </w:pPr>
      <w:r>
        <w:rPr>
          <w:rFonts w:hint="default" w:ascii="楷体" w:hAnsi="楷体" w:eastAsia="楷体" w:cs="楷体"/>
          <w:b w:val="0"/>
          <w:bCs w:val="0"/>
          <w:lang w:val="en-US" w:eastAsia="zh-CN"/>
        </w:rPr>
        <w:t>6.科学技术（类）基础研究（款）实验室及相关设施（项）</w:t>
      </w:r>
    </w:p>
    <w:p>
      <w:pPr>
        <w:bidi w:val="0"/>
        <w:rPr>
          <w:rFonts w:hint="default" w:ascii="楷体" w:hAnsi="楷体" w:eastAsia="楷体" w:cs="楷体"/>
          <w:b w:val="0"/>
          <w:bCs w:val="0"/>
          <w:lang w:val="en-US" w:eastAsia="zh-CN"/>
        </w:rPr>
      </w:pPr>
      <w:r>
        <w:rPr>
          <w:rFonts w:hint="default"/>
        </w:rPr>
        <w:t>年初预算为0万元，支出决算为1</w:t>
      </w:r>
      <w:r>
        <w:rPr>
          <w:rFonts w:hint="eastAsia"/>
          <w:lang w:val="en-US" w:eastAsia="zh-CN"/>
        </w:rPr>
        <w:t>,</w:t>
      </w:r>
      <w:r>
        <w:rPr>
          <w:rFonts w:hint="default"/>
        </w:rPr>
        <w:t>237.61万元，决算数大于预算数的主要原因：</w:t>
      </w:r>
      <w:r>
        <w:rPr>
          <w:rFonts w:hint="eastAsia"/>
          <w:lang w:val="en-US" w:eastAsia="zh-CN"/>
        </w:rPr>
        <w:t>科研项目上年度仍有结转资金，本年度支出了上年累计结转的资金</w:t>
      </w:r>
      <w:r>
        <w:rPr>
          <w:rFonts w:hint="default"/>
        </w:rPr>
        <w:t>。</w:t>
      </w:r>
    </w:p>
    <w:p>
      <w:pPr>
        <w:bidi w:val="0"/>
        <w:rPr>
          <w:rFonts w:hint="default"/>
        </w:rPr>
      </w:pPr>
      <w:r>
        <w:rPr>
          <w:rFonts w:hint="default" w:ascii="楷体" w:hAnsi="楷体" w:eastAsia="楷体" w:cs="楷体"/>
          <w:b w:val="0"/>
          <w:bCs w:val="0"/>
          <w:lang w:val="en-US" w:eastAsia="zh-CN"/>
        </w:rPr>
        <w:t>7.科学技术（类）基础研究（款）科技人才队伍建设（项）</w:t>
      </w:r>
    </w:p>
    <w:p>
      <w:pPr>
        <w:bidi w:val="0"/>
        <w:rPr>
          <w:rFonts w:hint="default" w:ascii="楷体" w:hAnsi="楷体" w:eastAsia="楷体" w:cs="楷体"/>
          <w:b w:val="0"/>
          <w:bCs w:val="0"/>
          <w:lang w:val="en-US" w:eastAsia="zh-CN"/>
        </w:rPr>
      </w:pPr>
      <w:r>
        <w:rPr>
          <w:rFonts w:hint="default"/>
        </w:rPr>
        <w:t>年初预算为1</w:t>
      </w:r>
      <w:r>
        <w:rPr>
          <w:rFonts w:hint="eastAsia"/>
          <w:lang w:val="en-US" w:eastAsia="zh-CN"/>
        </w:rPr>
        <w:t>,</w:t>
      </w:r>
      <w:r>
        <w:rPr>
          <w:rFonts w:hint="default"/>
        </w:rPr>
        <w:t>509万元，支出决算为350.67万元，完成年初预算的23.3%。</w:t>
      </w:r>
    </w:p>
    <w:p>
      <w:pPr>
        <w:bidi w:val="0"/>
        <w:rPr>
          <w:rFonts w:hint="default"/>
        </w:rPr>
      </w:pPr>
      <w:r>
        <w:rPr>
          <w:rFonts w:hint="default" w:ascii="楷体" w:hAnsi="楷体" w:eastAsia="楷体" w:cs="楷体"/>
          <w:b w:val="0"/>
          <w:bCs w:val="0"/>
          <w:lang w:val="en-US" w:eastAsia="zh-CN"/>
        </w:rPr>
        <w:t>8.科学技术（类）应用研究（款）社会公益研究（项）</w:t>
      </w:r>
    </w:p>
    <w:p>
      <w:pPr>
        <w:bidi w:val="0"/>
        <w:rPr>
          <w:rFonts w:hint="default" w:ascii="楷体" w:hAnsi="楷体" w:eastAsia="楷体" w:cs="楷体"/>
          <w:b w:val="0"/>
          <w:bCs w:val="0"/>
          <w:lang w:val="en-US" w:eastAsia="zh-CN"/>
        </w:rPr>
      </w:pPr>
      <w:r>
        <w:rPr>
          <w:rFonts w:hint="default"/>
        </w:rPr>
        <w:t>年初预算为0万元，支出决算为317.81万元，决算数</w:t>
      </w:r>
      <w:r>
        <w:rPr>
          <w:rFonts w:hint="eastAsia"/>
          <w:lang w:val="en-US" w:eastAsia="zh-CN"/>
        </w:rPr>
        <w:t>大于</w:t>
      </w:r>
      <w:r>
        <w:rPr>
          <w:rFonts w:hint="default"/>
        </w:rPr>
        <w:t>预算数的主要原因</w:t>
      </w:r>
      <w:r>
        <w:rPr>
          <w:rFonts w:hint="eastAsia"/>
          <w:lang w:eastAsia="zh-CN"/>
        </w:rPr>
        <w:t>：</w:t>
      </w:r>
      <w:r>
        <w:rPr>
          <w:rFonts w:hint="eastAsia"/>
          <w:lang w:val="en-US" w:eastAsia="zh-CN"/>
        </w:rPr>
        <w:t>科研项目上年度仍有结转资金，本年度支出了上年累计结转的资金</w:t>
      </w:r>
      <w:r>
        <w:rPr>
          <w:rFonts w:hint="default"/>
        </w:rPr>
        <w:t>。</w:t>
      </w:r>
    </w:p>
    <w:p>
      <w:pPr>
        <w:bidi w:val="0"/>
        <w:rPr>
          <w:rFonts w:hint="default"/>
        </w:rPr>
      </w:pPr>
      <w:r>
        <w:rPr>
          <w:rFonts w:hint="eastAsia" w:ascii="楷体" w:hAnsi="楷体" w:eastAsia="楷体" w:cs="楷体"/>
          <w:b w:val="0"/>
          <w:bCs w:val="0"/>
          <w:lang w:val="en-US" w:eastAsia="zh-CN"/>
        </w:rPr>
        <w:t>9</w:t>
      </w:r>
      <w:r>
        <w:rPr>
          <w:rFonts w:hint="default" w:ascii="楷体" w:hAnsi="楷体" w:eastAsia="楷体" w:cs="楷体"/>
          <w:b w:val="0"/>
          <w:bCs w:val="0"/>
          <w:lang w:val="en-US" w:eastAsia="zh-CN"/>
        </w:rPr>
        <w:t>.科学技术（类）科技条件与服务（款）科技条件专项（项）</w:t>
      </w:r>
    </w:p>
    <w:p>
      <w:pPr>
        <w:bidi w:val="0"/>
        <w:rPr>
          <w:rFonts w:hint="default" w:ascii="楷体" w:hAnsi="楷体" w:eastAsia="楷体" w:cs="楷体"/>
          <w:b w:val="0"/>
          <w:bCs w:val="0"/>
          <w:lang w:val="en-US" w:eastAsia="zh-CN"/>
        </w:rPr>
      </w:pPr>
      <w:r>
        <w:rPr>
          <w:rFonts w:hint="default"/>
        </w:rPr>
        <w:t>年初预算为430万元，支出决算为1</w:t>
      </w:r>
      <w:r>
        <w:rPr>
          <w:rFonts w:hint="eastAsia"/>
          <w:lang w:val="en-US" w:eastAsia="zh-CN"/>
        </w:rPr>
        <w:t>,</w:t>
      </w:r>
      <w:r>
        <w:rPr>
          <w:rFonts w:hint="default"/>
        </w:rPr>
        <w:t>460.42万元，完成年初预算的339.6%。决算数大于预算数的主要原因：</w:t>
      </w:r>
      <w:r>
        <w:rPr>
          <w:rFonts w:hint="eastAsia"/>
          <w:lang w:val="en-US" w:eastAsia="zh-CN"/>
        </w:rPr>
        <w:t>除当年度财政拨款外，以前</w:t>
      </w:r>
      <w:r>
        <w:rPr>
          <w:rFonts w:hint="eastAsia"/>
        </w:rPr>
        <w:t>年度科研经费由网上指标转入实拨账户，支出了累计</w:t>
      </w:r>
      <w:r>
        <w:rPr>
          <w:rFonts w:hint="eastAsia"/>
          <w:lang w:val="en-US" w:eastAsia="zh-CN"/>
        </w:rPr>
        <w:t>结转的资金</w:t>
      </w:r>
      <w:r>
        <w:rPr>
          <w:rFonts w:hint="default"/>
        </w:rPr>
        <w:t>。</w:t>
      </w:r>
    </w:p>
    <w:p>
      <w:pPr>
        <w:bidi w:val="0"/>
        <w:rPr>
          <w:rFonts w:hint="default"/>
        </w:rPr>
      </w:pPr>
      <w:r>
        <w:rPr>
          <w:rFonts w:hint="eastAsia" w:ascii="楷体" w:hAnsi="楷体" w:eastAsia="楷体" w:cs="楷体"/>
          <w:b w:val="0"/>
          <w:bCs w:val="0"/>
          <w:lang w:val="en-US" w:eastAsia="zh-CN"/>
        </w:rPr>
        <w:t>10</w:t>
      </w:r>
      <w:r>
        <w:rPr>
          <w:rFonts w:hint="default" w:ascii="楷体" w:hAnsi="楷体" w:eastAsia="楷体" w:cs="楷体"/>
          <w:b w:val="0"/>
          <w:bCs w:val="0"/>
          <w:lang w:val="en-US" w:eastAsia="zh-CN"/>
        </w:rPr>
        <w:t>.科学技术（类）社会科学（款）社会科学研究（项）</w:t>
      </w:r>
    </w:p>
    <w:p>
      <w:pPr>
        <w:bidi w:val="0"/>
        <w:rPr>
          <w:rFonts w:hint="default" w:ascii="楷体" w:hAnsi="楷体" w:eastAsia="楷体" w:cs="楷体"/>
          <w:b w:val="0"/>
          <w:bCs w:val="0"/>
          <w:lang w:val="en-US" w:eastAsia="zh-CN"/>
        </w:rPr>
      </w:pPr>
      <w:r>
        <w:rPr>
          <w:rFonts w:hint="default"/>
        </w:rPr>
        <w:t>年初预算为1</w:t>
      </w:r>
      <w:r>
        <w:rPr>
          <w:rFonts w:hint="eastAsia"/>
          <w:lang w:val="en-US" w:eastAsia="zh-CN"/>
        </w:rPr>
        <w:t>,</w:t>
      </w:r>
      <w:r>
        <w:rPr>
          <w:rFonts w:hint="default"/>
        </w:rPr>
        <w:t>000万元，支出决算为861.55万元，完成年初预算的86.2%。</w:t>
      </w:r>
    </w:p>
    <w:p>
      <w:pPr>
        <w:bidi w:val="0"/>
        <w:rPr>
          <w:rFonts w:hint="default"/>
        </w:rPr>
      </w:pPr>
      <w:r>
        <w:rPr>
          <w:rFonts w:hint="eastAsia" w:ascii="楷体" w:hAnsi="楷体" w:eastAsia="楷体" w:cs="楷体"/>
          <w:b w:val="0"/>
          <w:bCs w:val="0"/>
          <w:lang w:val="en-US" w:eastAsia="zh-CN"/>
        </w:rPr>
        <w:t>11</w:t>
      </w:r>
      <w:r>
        <w:rPr>
          <w:rFonts w:hint="default" w:ascii="楷体" w:hAnsi="楷体" w:eastAsia="楷体" w:cs="楷体"/>
          <w:b w:val="0"/>
          <w:bCs w:val="0"/>
          <w:lang w:val="en-US" w:eastAsia="zh-CN"/>
        </w:rPr>
        <w:t>.科学技术（类）科学技术普及（款）科普活动（项）</w:t>
      </w:r>
    </w:p>
    <w:p>
      <w:pPr>
        <w:bidi w:val="0"/>
        <w:rPr>
          <w:rFonts w:hint="default" w:ascii="楷体" w:hAnsi="楷体" w:eastAsia="楷体" w:cs="楷体"/>
          <w:b w:val="0"/>
          <w:bCs w:val="0"/>
          <w:lang w:val="en-US" w:eastAsia="zh-CN"/>
        </w:rPr>
      </w:pPr>
      <w:r>
        <w:rPr>
          <w:rFonts w:hint="default"/>
        </w:rPr>
        <w:t>年初预算为0万元，支出决算为0.58万元，决算数大于预算数的主要原因：</w:t>
      </w:r>
      <w:r>
        <w:rPr>
          <w:rFonts w:hint="eastAsia"/>
          <w:lang w:val="en-US" w:eastAsia="zh-CN"/>
        </w:rPr>
        <w:t>科研项目支出了上年累计结转的资金</w:t>
      </w:r>
      <w:r>
        <w:rPr>
          <w:rFonts w:hint="default"/>
        </w:rPr>
        <w:t>。</w:t>
      </w:r>
    </w:p>
    <w:p>
      <w:pPr>
        <w:bidi w:val="0"/>
        <w:rPr>
          <w:rFonts w:hint="default"/>
        </w:rPr>
      </w:pPr>
      <w:r>
        <w:rPr>
          <w:rFonts w:hint="eastAsia" w:ascii="楷体" w:hAnsi="楷体" w:eastAsia="楷体" w:cs="楷体"/>
          <w:b w:val="0"/>
          <w:bCs w:val="0"/>
          <w:lang w:val="en-US" w:eastAsia="zh-CN"/>
        </w:rPr>
        <w:t>12</w:t>
      </w:r>
      <w:r>
        <w:rPr>
          <w:rFonts w:hint="default" w:ascii="楷体" w:hAnsi="楷体" w:eastAsia="楷体" w:cs="楷体"/>
          <w:b w:val="0"/>
          <w:bCs w:val="0"/>
          <w:lang w:val="en-US" w:eastAsia="zh-CN"/>
        </w:rPr>
        <w:t>.科学技术（类）科技交流与合作（款）其他科技交流与合作（项）</w:t>
      </w:r>
    </w:p>
    <w:p>
      <w:pPr>
        <w:bidi w:val="0"/>
        <w:rPr>
          <w:rFonts w:hint="default" w:ascii="楷体" w:hAnsi="楷体" w:eastAsia="楷体" w:cs="楷体"/>
          <w:b w:val="0"/>
          <w:bCs w:val="0"/>
          <w:lang w:val="en-US" w:eastAsia="zh-CN"/>
        </w:rPr>
      </w:pPr>
      <w:r>
        <w:rPr>
          <w:rFonts w:hint="default"/>
        </w:rPr>
        <w:t>年初预算为24</w:t>
      </w:r>
      <w:r>
        <w:rPr>
          <w:rFonts w:hint="eastAsia"/>
          <w:lang w:val="en-US" w:eastAsia="zh-CN"/>
        </w:rPr>
        <w:t>5.00</w:t>
      </w:r>
      <w:r>
        <w:rPr>
          <w:rFonts w:hint="default"/>
        </w:rPr>
        <w:t>万元，支出决算为26.15万元，完成年初预算的10.7%。</w:t>
      </w:r>
    </w:p>
    <w:p>
      <w:pPr>
        <w:bidi w:val="0"/>
        <w:rPr>
          <w:rFonts w:hint="default"/>
        </w:rPr>
      </w:pPr>
      <w:r>
        <w:rPr>
          <w:rFonts w:hint="eastAsia" w:ascii="楷体" w:hAnsi="楷体" w:eastAsia="楷体" w:cs="楷体"/>
          <w:b w:val="0"/>
          <w:bCs w:val="0"/>
          <w:lang w:val="en-US" w:eastAsia="zh-CN"/>
        </w:rPr>
        <w:t>13</w:t>
      </w:r>
      <w:r>
        <w:rPr>
          <w:rFonts w:hint="default" w:ascii="楷体" w:hAnsi="楷体" w:eastAsia="楷体" w:cs="楷体"/>
          <w:b w:val="0"/>
          <w:bCs w:val="0"/>
          <w:lang w:val="en-US" w:eastAsia="zh-CN"/>
        </w:rPr>
        <w:t>.科学技术（类）科技重大项目（款）科技重大专项（项）</w:t>
      </w:r>
    </w:p>
    <w:p>
      <w:pPr>
        <w:bidi w:val="0"/>
        <w:rPr>
          <w:rFonts w:hint="default"/>
          <w:lang w:val="en-US" w:eastAsia="zh-CN"/>
        </w:rPr>
      </w:pPr>
      <w:r>
        <w:rPr>
          <w:rFonts w:hint="default"/>
        </w:rPr>
        <w:t>年初预算为2</w:t>
      </w:r>
      <w:r>
        <w:rPr>
          <w:rFonts w:hint="eastAsia"/>
          <w:lang w:val="en-US" w:eastAsia="zh-CN"/>
        </w:rPr>
        <w:t>,</w:t>
      </w:r>
      <w:r>
        <w:rPr>
          <w:rFonts w:hint="default"/>
        </w:rPr>
        <w:t>21</w:t>
      </w:r>
      <w:r>
        <w:rPr>
          <w:rFonts w:hint="eastAsia"/>
          <w:lang w:val="en-US" w:eastAsia="zh-CN"/>
        </w:rPr>
        <w:t>0.00</w:t>
      </w:r>
      <w:r>
        <w:rPr>
          <w:rFonts w:hint="default"/>
        </w:rPr>
        <w:t>万元，支出决算为2</w:t>
      </w:r>
      <w:r>
        <w:rPr>
          <w:rFonts w:hint="eastAsia"/>
          <w:lang w:val="en-US" w:eastAsia="zh-CN"/>
        </w:rPr>
        <w:t>,</w:t>
      </w:r>
      <w:r>
        <w:rPr>
          <w:rFonts w:hint="default"/>
        </w:rPr>
        <w:t>891.36万元，完成年初预算的130.8%。决算数大于预算数的主要原因</w:t>
      </w:r>
      <w:r>
        <w:rPr>
          <w:rFonts w:hint="eastAsia"/>
          <w:lang w:eastAsia="zh-CN"/>
        </w:rPr>
        <w:t>：</w:t>
      </w:r>
      <w:r>
        <w:rPr>
          <w:rFonts w:hint="eastAsia"/>
          <w:lang w:val="en-US" w:eastAsia="zh-CN"/>
        </w:rPr>
        <w:t>除年初预算外，本年支出上年累计结转的资金。</w:t>
      </w:r>
    </w:p>
    <w:p>
      <w:pPr>
        <w:bidi w:val="0"/>
        <w:rPr>
          <w:rFonts w:hint="default"/>
        </w:rPr>
      </w:pPr>
      <w:r>
        <w:rPr>
          <w:rFonts w:hint="eastAsia" w:ascii="楷体" w:hAnsi="楷体" w:eastAsia="楷体" w:cs="楷体"/>
          <w:b w:val="0"/>
          <w:bCs w:val="0"/>
          <w:lang w:val="en-US" w:eastAsia="zh-CN"/>
        </w:rPr>
        <w:t>14</w:t>
      </w:r>
      <w:r>
        <w:rPr>
          <w:rFonts w:hint="default" w:ascii="楷体" w:hAnsi="楷体" w:eastAsia="楷体" w:cs="楷体"/>
          <w:b w:val="0"/>
          <w:bCs w:val="0"/>
          <w:lang w:val="en-US" w:eastAsia="zh-CN"/>
        </w:rPr>
        <w:t>.科学技术（类）科技重大项目（款）重点研发计划（项）</w:t>
      </w:r>
    </w:p>
    <w:p>
      <w:pPr>
        <w:bidi w:val="0"/>
        <w:rPr>
          <w:rFonts w:hint="default"/>
        </w:rPr>
      </w:pPr>
      <w:r>
        <w:rPr>
          <w:rFonts w:hint="default"/>
        </w:rPr>
        <w:t>年初预算为3,991.59万元，支出决算为2</w:t>
      </w:r>
      <w:r>
        <w:rPr>
          <w:rFonts w:hint="eastAsia"/>
          <w:lang w:val="en-US" w:eastAsia="zh-CN"/>
        </w:rPr>
        <w:t>,</w:t>
      </w:r>
      <w:r>
        <w:rPr>
          <w:rFonts w:hint="default"/>
        </w:rPr>
        <w:t>389.18万元，完成年初预算的59.9%。</w:t>
      </w:r>
    </w:p>
    <w:p>
      <w:pPr>
        <w:bidi w:val="0"/>
        <w:spacing w:line="288" w:lineRule="auto"/>
        <w:ind w:firstLine="880"/>
        <w:rPr>
          <w:rFonts w:hint="default"/>
        </w:rPr>
      </w:pPr>
      <w:r>
        <w:rPr>
          <w:rFonts w:hint="eastAsia" w:ascii="楷体" w:hAnsi="楷体" w:eastAsia="楷体" w:cs="楷体"/>
          <w:b w:val="0"/>
          <w:bCs w:val="0"/>
          <w:lang w:val="en-US" w:eastAsia="zh-CN"/>
        </w:rPr>
        <w:t>15</w:t>
      </w:r>
      <w:r>
        <w:rPr>
          <w:rFonts w:hint="default" w:ascii="楷体" w:hAnsi="楷体" w:eastAsia="楷体" w:cs="楷体"/>
          <w:b w:val="0"/>
          <w:bCs w:val="0"/>
          <w:lang w:val="en-US" w:eastAsia="zh-CN"/>
        </w:rPr>
        <w:t>.科学技术（类）其他科学技术（款）其他科学技术（项）</w:t>
      </w:r>
    </w:p>
    <w:p>
      <w:pPr>
        <w:bidi w:val="0"/>
        <w:rPr>
          <w:rFonts w:hint="default"/>
        </w:rPr>
      </w:pPr>
      <w:r>
        <w:rPr>
          <w:rFonts w:hint="default"/>
        </w:rPr>
        <w:t>年初预算为</w:t>
      </w:r>
      <w:r>
        <w:rPr>
          <w:rFonts w:hint="eastAsia"/>
          <w:lang w:val="en-US" w:eastAsia="zh-CN"/>
        </w:rPr>
        <w:t>115</w:t>
      </w:r>
      <w:r>
        <w:rPr>
          <w:rFonts w:hint="default"/>
        </w:rPr>
        <w:t>万元，支出决算为254.62万元，完成年初预算的221.4%。决算数大于预算数的主要原因</w:t>
      </w:r>
      <w:r>
        <w:rPr>
          <w:rFonts w:hint="eastAsia"/>
          <w:lang w:eastAsia="zh-CN"/>
        </w:rPr>
        <w:t>：</w:t>
      </w:r>
      <w:r>
        <w:rPr>
          <w:rFonts w:hint="eastAsia"/>
          <w:lang w:val="en-US" w:eastAsia="zh-CN"/>
        </w:rPr>
        <w:t>以</w:t>
      </w:r>
      <w:r>
        <w:rPr>
          <w:rFonts w:hint="eastAsia"/>
        </w:rPr>
        <w:t>前年度科研经费由网上指标转入实拨账户，支出了上年累计</w:t>
      </w:r>
      <w:r>
        <w:rPr>
          <w:rFonts w:hint="eastAsia"/>
          <w:lang w:val="en-US" w:eastAsia="zh-CN"/>
        </w:rPr>
        <w:t>结转的资金</w:t>
      </w:r>
      <w:r>
        <w:rPr>
          <w:rFonts w:hint="default"/>
        </w:rPr>
        <w:t>。</w:t>
      </w:r>
    </w:p>
    <w:p>
      <w:pPr>
        <w:bidi w:val="0"/>
        <w:spacing w:line="288" w:lineRule="auto"/>
        <w:ind w:firstLine="880"/>
        <w:rPr>
          <w:rFonts w:hint="default"/>
        </w:rPr>
      </w:pPr>
      <w:r>
        <w:rPr>
          <w:rFonts w:hint="eastAsia" w:ascii="楷体" w:hAnsi="楷体" w:eastAsia="楷体" w:cs="楷体"/>
          <w:b w:val="0"/>
          <w:bCs w:val="0"/>
          <w:lang w:val="en-US" w:eastAsia="zh-CN"/>
        </w:rPr>
        <w:t>16</w:t>
      </w:r>
      <w:r>
        <w:rPr>
          <w:rFonts w:hint="default" w:ascii="楷体" w:hAnsi="楷体" w:eastAsia="楷体" w:cs="楷体"/>
          <w:b w:val="0"/>
          <w:bCs w:val="0"/>
          <w:lang w:val="en-US" w:eastAsia="zh-CN"/>
        </w:rPr>
        <w:t>.社会保障和就业（类）行政事业单位养老（款）事业单位离退休（项）</w:t>
      </w:r>
    </w:p>
    <w:p>
      <w:pPr>
        <w:bidi w:val="0"/>
        <w:rPr>
          <w:rFonts w:hint="default"/>
          <w:lang w:val="en-US" w:eastAsia="zh-CN"/>
        </w:rPr>
      </w:pPr>
      <w:r>
        <w:rPr>
          <w:rFonts w:hint="default"/>
        </w:rPr>
        <w:t>年初预算为37万元，支出决算为50.92万元，完成年初预算的137.6%。决算数大于预算数的主要原因</w:t>
      </w:r>
      <w:r>
        <w:rPr>
          <w:rFonts w:hint="eastAsia"/>
          <w:lang w:eastAsia="zh-CN"/>
        </w:rPr>
        <w:t>：</w:t>
      </w:r>
      <w:r>
        <w:rPr>
          <w:rFonts w:hint="eastAsia"/>
          <w:lang w:val="en-US" w:eastAsia="zh-CN"/>
        </w:rPr>
        <w:t>退休人员增加，相关人员经费支出增加，从其余科目调剂指标到该项目支出。</w:t>
      </w:r>
    </w:p>
    <w:p>
      <w:pPr>
        <w:bidi w:val="0"/>
        <w:spacing w:line="288" w:lineRule="auto"/>
        <w:ind w:firstLine="880"/>
        <w:rPr>
          <w:rFonts w:hint="default"/>
        </w:rPr>
      </w:pPr>
      <w:r>
        <w:rPr>
          <w:rFonts w:hint="eastAsia" w:ascii="楷体" w:hAnsi="楷体" w:eastAsia="楷体" w:cs="楷体"/>
          <w:b w:val="0"/>
          <w:bCs w:val="0"/>
          <w:lang w:val="en-US" w:eastAsia="zh-CN"/>
        </w:rPr>
        <w:t>17</w:t>
      </w:r>
      <w:r>
        <w:rPr>
          <w:rFonts w:hint="default" w:ascii="楷体" w:hAnsi="楷体" w:eastAsia="楷体" w:cs="楷体"/>
          <w:b w:val="0"/>
          <w:bCs w:val="0"/>
          <w:lang w:val="en-US" w:eastAsia="zh-CN"/>
        </w:rPr>
        <w:t>.社会保障和就业支出（类）行政事业单位养老支出（款）机关事业单位基本养老保险缴费（项）</w:t>
      </w:r>
    </w:p>
    <w:p>
      <w:pPr>
        <w:bidi w:val="0"/>
        <w:rPr>
          <w:rFonts w:hint="default"/>
        </w:rPr>
      </w:pPr>
      <w:r>
        <w:rPr>
          <w:rFonts w:hint="default"/>
        </w:rPr>
        <w:t>年初预算为6</w:t>
      </w:r>
      <w:r>
        <w:rPr>
          <w:rFonts w:hint="eastAsia"/>
          <w:lang w:val="en-US" w:eastAsia="zh-CN"/>
        </w:rPr>
        <w:t>,</w:t>
      </w:r>
      <w:r>
        <w:rPr>
          <w:rFonts w:hint="default"/>
        </w:rPr>
        <w:t>830.15万元，支出决算为7</w:t>
      </w:r>
      <w:r>
        <w:rPr>
          <w:rFonts w:hint="eastAsia"/>
          <w:lang w:val="en-US" w:eastAsia="zh-CN"/>
        </w:rPr>
        <w:t>,</w:t>
      </w:r>
      <w:r>
        <w:rPr>
          <w:rFonts w:hint="default"/>
        </w:rPr>
        <w:t>020.85万元，完成年初预算的102.8%。决算数</w:t>
      </w:r>
      <w:r>
        <w:rPr>
          <w:rFonts w:hint="eastAsia"/>
          <w:lang w:val="en-US" w:eastAsia="zh-CN"/>
        </w:rPr>
        <w:t>大于</w:t>
      </w:r>
      <w:r>
        <w:rPr>
          <w:rFonts w:hint="default"/>
        </w:rPr>
        <w:t>预算数的主要原因</w:t>
      </w:r>
      <w:r>
        <w:rPr>
          <w:rFonts w:hint="eastAsia"/>
          <w:lang w:eastAsia="zh-CN"/>
        </w:rPr>
        <w:t>：</w:t>
      </w:r>
      <w:r>
        <w:rPr>
          <w:rFonts w:hint="eastAsia"/>
          <w:lang w:val="en-US" w:eastAsia="zh-CN"/>
        </w:rPr>
        <w:t>退休人员增加，相关人员经费支出增加，从其余科目调剂指标到该项目支出。</w:t>
      </w:r>
    </w:p>
    <w:p>
      <w:pPr>
        <w:bidi w:val="0"/>
        <w:spacing w:line="288" w:lineRule="auto"/>
        <w:ind w:firstLine="880"/>
        <w:rPr>
          <w:rFonts w:hint="default"/>
        </w:rPr>
      </w:pPr>
      <w:r>
        <w:rPr>
          <w:rFonts w:hint="eastAsia" w:ascii="楷体" w:hAnsi="楷体" w:eastAsia="楷体" w:cs="楷体"/>
          <w:b w:val="0"/>
          <w:bCs w:val="0"/>
          <w:lang w:val="en-US" w:eastAsia="zh-CN"/>
        </w:rPr>
        <w:t>18</w:t>
      </w:r>
      <w:r>
        <w:rPr>
          <w:rFonts w:hint="default" w:ascii="楷体" w:hAnsi="楷体" w:eastAsia="楷体" w:cs="楷体"/>
          <w:b w:val="0"/>
          <w:bCs w:val="0"/>
          <w:lang w:val="en-US" w:eastAsia="zh-CN"/>
        </w:rPr>
        <w:t>.社会保障和就业（类）行政事业单位养老（款）机关事业单位职业年金缴费（项）</w:t>
      </w:r>
    </w:p>
    <w:p>
      <w:pPr>
        <w:bidi w:val="0"/>
        <w:rPr>
          <w:rFonts w:hint="default"/>
        </w:rPr>
      </w:pPr>
      <w:r>
        <w:rPr>
          <w:rFonts w:hint="default"/>
        </w:rPr>
        <w:t>年初预算为2</w:t>
      </w:r>
      <w:r>
        <w:rPr>
          <w:rFonts w:hint="eastAsia"/>
          <w:lang w:val="en-US" w:eastAsia="zh-CN"/>
        </w:rPr>
        <w:t>,</w:t>
      </w:r>
      <w:r>
        <w:rPr>
          <w:rFonts w:hint="default"/>
        </w:rPr>
        <w:t>967万元，支出决算为3</w:t>
      </w:r>
      <w:r>
        <w:rPr>
          <w:rFonts w:hint="eastAsia"/>
          <w:lang w:val="en-US" w:eastAsia="zh-CN"/>
        </w:rPr>
        <w:t>,</w:t>
      </w:r>
      <w:r>
        <w:rPr>
          <w:rFonts w:hint="default"/>
        </w:rPr>
        <w:t>506.33万元，完成年初预算的118.1%。决算数大于预算数的主要原因</w:t>
      </w:r>
      <w:r>
        <w:rPr>
          <w:rFonts w:hint="eastAsia"/>
          <w:lang w:eastAsia="zh-CN"/>
        </w:rPr>
        <w:t>：</w:t>
      </w:r>
      <w:r>
        <w:rPr>
          <w:rFonts w:hint="eastAsia"/>
          <w:lang w:val="en-US" w:eastAsia="zh-CN"/>
        </w:rPr>
        <w:t>退休人员增加，相关人员经费支出增加，从其余科目调剂指标到该项目支出。</w:t>
      </w:r>
    </w:p>
    <w:p>
      <w:pPr>
        <w:bidi w:val="0"/>
        <w:spacing w:line="288" w:lineRule="auto"/>
        <w:ind w:firstLine="880"/>
        <w:rPr>
          <w:rFonts w:hint="default"/>
        </w:rPr>
      </w:pPr>
      <w:r>
        <w:rPr>
          <w:rFonts w:hint="eastAsia" w:ascii="楷体" w:hAnsi="楷体" w:eastAsia="楷体" w:cs="楷体"/>
          <w:b w:val="0"/>
          <w:bCs w:val="0"/>
          <w:lang w:val="en-US" w:eastAsia="zh-CN"/>
        </w:rPr>
        <w:t>19</w:t>
      </w:r>
      <w:r>
        <w:rPr>
          <w:rFonts w:hint="default" w:ascii="楷体" w:hAnsi="楷体" w:eastAsia="楷体" w:cs="楷体"/>
          <w:b w:val="0"/>
          <w:bCs w:val="0"/>
          <w:lang w:val="en-US" w:eastAsia="zh-CN"/>
        </w:rPr>
        <w:t>.社会保障和就业（类）抚恤（款）死亡抚恤（项）</w:t>
      </w:r>
    </w:p>
    <w:p>
      <w:pPr>
        <w:bidi w:val="0"/>
        <w:rPr>
          <w:rFonts w:hint="default"/>
        </w:rPr>
      </w:pPr>
      <w:r>
        <w:rPr>
          <w:rFonts w:hint="default"/>
        </w:rPr>
        <w:t>年初预算为20.47万元，支出决算为39.05万元，完成年初预算的190.8%。决算数大于预算数的主要原因</w:t>
      </w:r>
      <w:r>
        <w:rPr>
          <w:rFonts w:hint="eastAsia"/>
          <w:lang w:eastAsia="zh-CN"/>
        </w:rPr>
        <w:t>：</w:t>
      </w:r>
      <w:r>
        <w:rPr>
          <w:rFonts w:hint="eastAsia"/>
          <w:lang w:val="en-US" w:eastAsia="zh-CN"/>
        </w:rPr>
        <w:t>年内死亡人数较预期有所增加，调剂指标至该项目支出</w:t>
      </w:r>
      <w:r>
        <w:rPr>
          <w:rFonts w:hint="default"/>
        </w:rPr>
        <w:t>。</w:t>
      </w:r>
    </w:p>
    <w:p>
      <w:pPr>
        <w:bidi w:val="0"/>
        <w:spacing w:line="288" w:lineRule="auto"/>
        <w:ind w:firstLine="880"/>
        <w:rPr>
          <w:rFonts w:hint="default"/>
        </w:rPr>
      </w:pPr>
      <w:r>
        <w:rPr>
          <w:rFonts w:hint="eastAsia" w:ascii="楷体" w:hAnsi="楷体" w:eastAsia="楷体" w:cs="楷体"/>
          <w:b w:val="0"/>
          <w:bCs w:val="0"/>
          <w:lang w:val="en-US" w:eastAsia="zh-CN"/>
        </w:rPr>
        <w:t>20</w:t>
      </w:r>
      <w:r>
        <w:rPr>
          <w:rFonts w:hint="default" w:ascii="楷体" w:hAnsi="楷体" w:eastAsia="楷体" w:cs="楷体"/>
          <w:b w:val="0"/>
          <w:bCs w:val="0"/>
          <w:lang w:val="en-US" w:eastAsia="zh-CN"/>
        </w:rPr>
        <w:t>.社会保障和就业（类）抚恤（款）其他优抚（项）</w:t>
      </w:r>
    </w:p>
    <w:p>
      <w:pPr>
        <w:bidi w:val="0"/>
        <w:rPr>
          <w:rFonts w:hint="default"/>
        </w:rPr>
      </w:pPr>
      <w:r>
        <w:rPr>
          <w:rFonts w:hint="default"/>
        </w:rPr>
        <w:t>年初预算为15万元，支</w:t>
      </w:r>
      <w:r>
        <w:rPr>
          <w:rFonts w:hint="eastAsia"/>
          <w:lang w:val="en-US" w:eastAsia="zh-CN"/>
        </w:rPr>
        <w:t>出决算为15万元，</w:t>
      </w:r>
      <w:r>
        <w:rPr>
          <w:rFonts w:hint="default"/>
        </w:rPr>
        <w:t>完成年初预算的100%。</w:t>
      </w:r>
    </w:p>
    <w:p>
      <w:pPr>
        <w:bidi w:val="0"/>
        <w:spacing w:line="288" w:lineRule="auto"/>
        <w:ind w:firstLine="880"/>
        <w:rPr>
          <w:rFonts w:hint="default"/>
        </w:rPr>
      </w:pPr>
      <w:r>
        <w:rPr>
          <w:rFonts w:hint="eastAsia" w:ascii="楷体" w:hAnsi="楷体" w:eastAsia="楷体" w:cs="楷体"/>
          <w:b w:val="0"/>
          <w:bCs w:val="0"/>
          <w:lang w:val="en-US" w:eastAsia="zh-CN"/>
        </w:rPr>
        <w:t>21</w:t>
      </w:r>
      <w:r>
        <w:rPr>
          <w:rFonts w:hint="default" w:ascii="楷体" w:hAnsi="楷体" w:eastAsia="楷体" w:cs="楷体"/>
          <w:b w:val="0"/>
          <w:bCs w:val="0"/>
          <w:lang w:val="en-US" w:eastAsia="zh-CN"/>
        </w:rPr>
        <w:t>.卫生健康（类）公共卫生（款）重大公共卫生服务（项）</w:t>
      </w:r>
    </w:p>
    <w:p>
      <w:pPr>
        <w:bidi w:val="0"/>
        <w:rPr>
          <w:rFonts w:hint="default"/>
        </w:rPr>
      </w:pPr>
      <w:r>
        <w:rPr>
          <w:rFonts w:hint="default"/>
        </w:rPr>
        <w:t>年初预算为2.12万元，支出决算为2.</w:t>
      </w:r>
      <w:r>
        <w:rPr>
          <w:rFonts w:hint="eastAsia"/>
          <w:lang w:val="en-US" w:eastAsia="zh-CN"/>
        </w:rPr>
        <w:t>10</w:t>
      </w:r>
      <w:r>
        <w:rPr>
          <w:rFonts w:hint="default"/>
        </w:rPr>
        <w:t>万元，完成年初预算的99.1%。</w:t>
      </w:r>
    </w:p>
    <w:p>
      <w:pPr>
        <w:bidi w:val="0"/>
        <w:spacing w:line="288" w:lineRule="auto"/>
        <w:ind w:firstLine="880"/>
        <w:rPr>
          <w:rFonts w:hint="default"/>
        </w:rPr>
      </w:pPr>
      <w:r>
        <w:rPr>
          <w:rFonts w:hint="eastAsia" w:ascii="楷体" w:hAnsi="楷体" w:eastAsia="楷体" w:cs="楷体"/>
          <w:b w:val="0"/>
          <w:bCs w:val="0"/>
          <w:lang w:val="en-US" w:eastAsia="zh-CN"/>
        </w:rPr>
        <w:t>22</w:t>
      </w:r>
      <w:r>
        <w:rPr>
          <w:rFonts w:hint="default" w:ascii="楷体" w:hAnsi="楷体" w:eastAsia="楷体" w:cs="楷体"/>
          <w:b w:val="0"/>
          <w:bCs w:val="0"/>
          <w:lang w:val="en-US" w:eastAsia="zh-CN"/>
        </w:rPr>
        <w:t>.卫生健康（类）行政事业单位医疗（款）事业单位医疗（项）</w:t>
      </w:r>
    </w:p>
    <w:p>
      <w:pPr>
        <w:bidi w:val="0"/>
        <w:rPr>
          <w:rFonts w:hint="default"/>
        </w:rPr>
      </w:pPr>
      <w:r>
        <w:rPr>
          <w:rFonts w:hint="default"/>
        </w:rPr>
        <w:t>年初预算为3</w:t>
      </w:r>
      <w:r>
        <w:rPr>
          <w:rFonts w:hint="eastAsia"/>
          <w:lang w:val="en-US" w:eastAsia="zh-CN"/>
        </w:rPr>
        <w:t>,</w:t>
      </w:r>
      <w:r>
        <w:rPr>
          <w:rFonts w:hint="default"/>
        </w:rPr>
        <w:t>577.36万元，支出决算为3</w:t>
      </w:r>
      <w:r>
        <w:rPr>
          <w:rFonts w:hint="eastAsia"/>
          <w:lang w:val="en-US" w:eastAsia="zh-CN"/>
        </w:rPr>
        <w:t>,</w:t>
      </w:r>
      <w:r>
        <w:rPr>
          <w:rFonts w:hint="default"/>
        </w:rPr>
        <w:t>297.36万元，完成年初预算的92.2%。</w:t>
      </w:r>
    </w:p>
    <w:p>
      <w:pPr>
        <w:bidi w:val="0"/>
        <w:spacing w:line="288" w:lineRule="auto"/>
        <w:ind w:firstLine="880"/>
        <w:rPr>
          <w:rFonts w:hint="default"/>
        </w:rPr>
      </w:pPr>
      <w:r>
        <w:rPr>
          <w:rFonts w:hint="eastAsia" w:ascii="楷体" w:hAnsi="楷体" w:eastAsia="楷体" w:cs="楷体"/>
          <w:b w:val="0"/>
          <w:bCs w:val="0"/>
          <w:lang w:val="en-US" w:eastAsia="zh-CN"/>
        </w:rPr>
        <w:t>23</w:t>
      </w:r>
      <w:r>
        <w:rPr>
          <w:rFonts w:hint="default" w:ascii="楷体" w:hAnsi="楷体" w:eastAsia="楷体" w:cs="楷体"/>
          <w:b w:val="0"/>
          <w:bCs w:val="0"/>
          <w:lang w:val="en-US" w:eastAsia="zh-CN"/>
        </w:rPr>
        <w:t>.农林水（类）林业和草原（款）森林资源培育（项）</w:t>
      </w:r>
    </w:p>
    <w:p>
      <w:pPr>
        <w:bidi w:val="0"/>
        <w:rPr>
          <w:rFonts w:hint="eastAsia"/>
          <w:lang w:eastAsia="zh-CN"/>
        </w:rPr>
      </w:pPr>
      <w:r>
        <w:rPr>
          <w:rFonts w:hint="default"/>
        </w:rPr>
        <w:t>年初预算为2.08万元，支出决算为104.34万元，完成年初预算的5</w:t>
      </w:r>
      <w:r>
        <w:rPr>
          <w:rFonts w:hint="eastAsia"/>
          <w:lang w:val="en-US" w:eastAsia="zh-CN"/>
        </w:rPr>
        <w:t>,</w:t>
      </w:r>
      <w:r>
        <w:rPr>
          <w:rFonts w:hint="default"/>
        </w:rPr>
        <w:t>016.3%。决算数大于预算数的主要原因：</w:t>
      </w:r>
      <w:r>
        <w:rPr>
          <w:rFonts w:hint="eastAsia"/>
          <w:lang w:val="en-US" w:eastAsia="zh-CN"/>
        </w:rPr>
        <w:t>以前年度</w:t>
      </w:r>
      <w:r>
        <w:rPr>
          <w:rFonts w:hint="default"/>
        </w:rPr>
        <w:t>科研经费由网上指标转入实拨账户，</w:t>
      </w:r>
      <w:r>
        <w:rPr>
          <w:rFonts w:hint="eastAsia"/>
          <w:lang w:val="en-US" w:eastAsia="zh-CN"/>
        </w:rPr>
        <w:t>支出了以前年度结转的资金</w:t>
      </w:r>
      <w:r>
        <w:rPr>
          <w:rFonts w:hint="eastAsia"/>
          <w:lang w:eastAsia="zh-CN"/>
        </w:rPr>
        <w:t>。</w:t>
      </w:r>
    </w:p>
    <w:p>
      <w:pPr>
        <w:bidi w:val="0"/>
        <w:spacing w:line="288" w:lineRule="auto"/>
        <w:ind w:firstLine="880"/>
        <w:rPr>
          <w:rFonts w:hint="default"/>
        </w:rPr>
      </w:pPr>
      <w:r>
        <w:rPr>
          <w:rFonts w:hint="eastAsia" w:ascii="楷体" w:hAnsi="楷体" w:eastAsia="楷体" w:cs="楷体"/>
          <w:b w:val="0"/>
          <w:bCs w:val="0"/>
          <w:lang w:val="en-US" w:eastAsia="zh-CN"/>
        </w:rPr>
        <w:t>24</w:t>
      </w:r>
      <w:r>
        <w:rPr>
          <w:rFonts w:hint="default" w:ascii="楷体" w:hAnsi="楷体" w:eastAsia="楷体" w:cs="楷体"/>
          <w:b w:val="0"/>
          <w:bCs w:val="0"/>
          <w:lang w:val="en-US" w:eastAsia="zh-CN"/>
        </w:rPr>
        <w:t>.住房保障（类）住房改革（款）住房公积金（项）</w:t>
      </w:r>
    </w:p>
    <w:p>
      <w:pPr>
        <w:bidi w:val="0"/>
        <w:rPr>
          <w:rFonts w:hint="default"/>
        </w:rPr>
      </w:pPr>
      <w:r>
        <w:rPr>
          <w:rFonts w:hint="default"/>
        </w:rPr>
        <w:t>年初预算为4,108.72万元，支出决算为5</w:t>
      </w:r>
      <w:r>
        <w:rPr>
          <w:rFonts w:hint="eastAsia"/>
          <w:lang w:val="en-US" w:eastAsia="zh-CN"/>
        </w:rPr>
        <w:t>,</w:t>
      </w:r>
      <w:r>
        <w:rPr>
          <w:rFonts w:hint="default"/>
        </w:rPr>
        <w:t>143.27万元，完成年初预算的125.2%。决算数大于预算数的主要原因</w:t>
      </w:r>
      <w:r>
        <w:rPr>
          <w:rFonts w:hint="eastAsia"/>
          <w:lang w:eastAsia="zh-CN"/>
        </w:rPr>
        <w:t>：</w:t>
      </w:r>
      <w:r>
        <w:rPr>
          <w:rFonts w:hint="eastAsia"/>
          <w:lang w:val="en-US" w:eastAsia="zh-CN"/>
        </w:rPr>
        <w:t>年内引进人员增加，相关经费开支增加，调剂其他指标至该项目支出</w:t>
      </w:r>
      <w:r>
        <w:rPr>
          <w:rFonts w:hint="default"/>
        </w:rPr>
        <w:t>。</w:t>
      </w:r>
    </w:p>
    <w:p>
      <w:pPr>
        <w:bidi w:val="0"/>
        <w:spacing w:line="288" w:lineRule="auto"/>
        <w:ind w:firstLine="880"/>
        <w:rPr>
          <w:rFonts w:hint="default"/>
        </w:rPr>
      </w:pPr>
      <w:r>
        <w:rPr>
          <w:rFonts w:hint="eastAsia" w:ascii="楷体" w:hAnsi="楷体" w:eastAsia="楷体" w:cs="楷体"/>
          <w:b w:val="0"/>
          <w:bCs w:val="0"/>
          <w:lang w:val="en-US" w:eastAsia="zh-CN"/>
        </w:rPr>
        <w:t>25</w:t>
      </w:r>
      <w:r>
        <w:rPr>
          <w:rFonts w:hint="default" w:ascii="楷体" w:hAnsi="楷体" w:eastAsia="楷体" w:cs="楷体"/>
          <w:b w:val="0"/>
          <w:bCs w:val="0"/>
          <w:lang w:val="en-US" w:eastAsia="zh-CN"/>
        </w:rPr>
        <w:t>.其他（类）其他（款）其他（项）</w:t>
      </w:r>
    </w:p>
    <w:p>
      <w:pPr>
        <w:bidi w:val="0"/>
        <w:rPr>
          <w:rFonts w:hint="eastAsia"/>
          <w:lang w:val="en-US" w:eastAsia="zh-CN"/>
        </w:rPr>
      </w:pPr>
      <w:r>
        <w:rPr>
          <w:rFonts w:hint="default"/>
        </w:rPr>
        <w:t>年初预算为7,187.37万元，支出决算为7</w:t>
      </w:r>
      <w:r>
        <w:rPr>
          <w:rFonts w:hint="eastAsia"/>
          <w:lang w:val="en-US" w:eastAsia="zh-CN"/>
        </w:rPr>
        <w:t>,</w:t>
      </w:r>
      <w:r>
        <w:rPr>
          <w:rFonts w:hint="default"/>
        </w:rPr>
        <w:t>187.37万元，完成年初预算的100%。</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textAlignment w:val="auto"/>
        <w:rPr>
          <w:rFonts w:hint="default" w:ascii="仿宋_GB2312" w:hAnsi="ˎ̥" w:eastAsia="仿宋_GB2312" w:cs="仿宋_GB2312"/>
          <w:kern w:val="0"/>
          <w:sz w:val="32"/>
          <w:szCs w:val="32"/>
        </w:rPr>
      </w:pPr>
    </w:p>
    <w:p>
      <w:pPr>
        <w:pStyle w:val="5"/>
        <w:bidi w:val="0"/>
        <w:rPr>
          <w:rFonts w:hint="eastAsia"/>
        </w:rPr>
      </w:pPr>
      <w:bookmarkStart w:id="57" w:name="_Toc27262"/>
      <w:bookmarkStart w:id="58" w:name="_Toc19259"/>
      <w:bookmarkStart w:id="59" w:name="_Toc30506"/>
      <w:r>
        <w:rPr>
          <w:rFonts w:hint="eastAsia"/>
        </w:rPr>
        <w:t>六、一般公共预算财政拨款基本支出决算情况说明</w:t>
      </w:r>
      <w:bookmarkEnd w:id="57"/>
      <w:bookmarkEnd w:id="58"/>
      <w:bookmarkEnd w:id="59"/>
    </w:p>
    <w:p>
      <w:pPr>
        <w:bidi w:val="0"/>
        <w:rPr>
          <w:rFonts w:hint="eastAsia"/>
          <w:lang w:eastAsia="zh-CN"/>
        </w:rPr>
      </w:pPr>
      <w:r>
        <w:rPr>
          <w:rFonts w:hint="default"/>
        </w:rPr>
        <w:t>2022年度财政拨款基本支出86,707.52万元，其中：人员经费71,739.52万元，主要包括：工资福利支出中的基本工资、津贴补贴、奖金、绩效工资、机关事业单位基本养老保险缴费、职业年金缴费、职工基本医疗保险缴费、其他社会保障缴费、住房公积金、医疗费、其他工资福利支出；对个人和家庭的补助中的离休费、抚恤金、生活补助、助学金、奖励金、其他对个人和家庭的补助。公用经费14,968.00万元，主要包括：商品和服务支出中的办公费、印刷费、咨询费、手续费、水费、电费、邮电费、取暖费、物业管理费、差旅费、维修（护）费、租赁费、会议费、培训费、公务接待费、专用材料费、劳务费、委托业务费、工会经费、福利费、其他交通费用、税金及附加费用、其他商品和服务支出；债务利息及费用支出中的国外债务付息；资本性支出中的房屋建筑物构建、办公设备购置、专用设备购置、大型修缮、信息网络及软件购置更新、其他资本性支出等</w:t>
      </w:r>
      <w:r>
        <w:rPr>
          <w:rFonts w:hint="eastAsia"/>
          <w:lang w:eastAsia="zh-CN"/>
        </w:rPr>
        <w:t>。</w:t>
      </w:r>
    </w:p>
    <w:p>
      <w:pPr>
        <w:pStyle w:val="5"/>
        <w:bidi w:val="0"/>
        <w:rPr>
          <w:rFonts w:hint="eastAsia"/>
        </w:rPr>
      </w:pPr>
      <w:bookmarkStart w:id="60" w:name="_Toc3859"/>
      <w:bookmarkStart w:id="61" w:name="_Toc27892"/>
      <w:bookmarkStart w:id="62" w:name="_Toc21011"/>
      <w:r>
        <w:rPr>
          <w:rFonts w:hint="eastAsia"/>
        </w:rPr>
        <w:t>七、政府性基金预算财政拨款支出决算情况说明</w:t>
      </w:r>
      <w:bookmarkEnd w:id="60"/>
      <w:bookmarkEnd w:id="61"/>
      <w:bookmarkEnd w:id="62"/>
    </w:p>
    <w:p>
      <w:pPr>
        <w:bidi w:val="0"/>
        <w:spacing w:line="288" w:lineRule="auto"/>
        <w:ind w:firstLine="880"/>
        <w:rPr>
          <w:rFonts w:hint="eastAsia" w:ascii="楷体" w:hAnsi="楷体" w:eastAsia="楷体" w:cs="楷体"/>
          <w:b w:val="0"/>
          <w:bCs w:val="0"/>
          <w:lang w:val="en-US" w:eastAsia="zh-CN"/>
        </w:rPr>
      </w:pPr>
      <w:r>
        <w:rPr>
          <w:rFonts w:hint="eastAsia" w:ascii="楷体" w:hAnsi="楷体" w:eastAsia="楷体" w:cs="楷体"/>
          <w:b w:val="0"/>
          <w:bCs w:val="0"/>
          <w:lang w:val="en-US" w:eastAsia="zh-CN"/>
        </w:rPr>
        <w:t>（一）政府性基金预算财政拨款支出决算总体情况</w:t>
      </w:r>
    </w:p>
    <w:p>
      <w:pPr>
        <w:bidi w:val="0"/>
        <w:rPr>
          <w:rFonts w:hint="default"/>
        </w:rPr>
      </w:pPr>
      <w:r>
        <w:rPr>
          <w:rFonts w:hint="default"/>
        </w:rPr>
        <w:t>2022年度政府性基金预算财政拨款支出25.42万元，占本年支出合计的0.008%。与2021年度相比，政府性基金预算财政拨款支出增加25.42万元</w:t>
      </w:r>
      <w:r>
        <w:rPr>
          <w:rFonts w:hint="eastAsia"/>
          <w:lang w:eastAsia="zh-CN"/>
        </w:rPr>
        <w:t>，</w:t>
      </w:r>
      <w:r>
        <w:rPr>
          <w:rFonts w:hint="default"/>
        </w:rPr>
        <w:t>主要原因</w:t>
      </w:r>
      <w:r>
        <w:rPr>
          <w:rFonts w:hint="eastAsia"/>
          <w:lang w:val="en-US" w:eastAsia="zh-CN"/>
        </w:rPr>
        <w:t>是财政年中下达了2022年中央专项彩票公益金支持大学生创新创业项目资金。</w:t>
      </w:r>
    </w:p>
    <w:p>
      <w:pPr>
        <w:bidi w:val="0"/>
        <w:spacing w:line="288" w:lineRule="auto"/>
        <w:ind w:firstLine="880"/>
        <w:rPr>
          <w:rFonts w:hint="eastAsia"/>
        </w:rPr>
      </w:pPr>
      <w:r>
        <w:rPr>
          <w:rFonts w:hint="eastAsia" w:ascii="楷体" w:hAnsi="楷体" w:eastAsia="楷体" w:cs="楷体"/>
          <w:b w:val="0"/>
          <w:bCs w:val="0"/>
          <w:lang w:val="en-US" w:eastAsia="zh-CN"/>
        </w:rPr>
        <w:t>（二）政府性基金预算财政拨款支出决算结构情况</w:t>
      </w:r>
    </w:p>
    <w:p>
      <w:pPr>
        <w:bidi w:val="0"/>
        <w:rPr>
          <w:rFonts w:hint="eastAsia"/>
          <w:lang w:eastAsia="zh-CN"/>
        </w:rPr>
      </w:pPr>
      <w:r>
        <w:rPr>
          <w:rFonts w:hint="default"/>
        </w:rPr>
        <w:t>2022年度政府性基金预算财政拨款支出25.42万元，主要用于以下方面：其他（类）支出25.42万元，占100%</w:t>
      </w:r>
      <w:r>
        <w:rPr>
          <w:rFonts w:hint="eastAsia"/>
          <w:lang w:eastAsia="zh-CN"/>
        </w:rPr>
        <w:t>。</w:t>
      </w:r>
    </w:p>
    <w:p>
      <w:pPr>
        <w:bidi w:val="0"/>
        <w:spacing w:line="288" w:lineRule="auto"/>
        <w:ind w:firstLine="880"/>
        <w:rPr>
          <w:rFonts w:hint="eastAsia"/>
        </w:rPr>
      </w:pPr>
      <w:r>
        <w:rPr>
          <w:rFonts w:hint="eastAsia" w:ascii="楷体" w:hAnsi="楷体" w:eastAsia="楷体" w:cs="楷体"/>
          <w:b w:val="0"/>
          <w:bCs w:val="0"/>
          <w:lang w:val="en-US" w:eastAsia="zh-CN"/>
        </w:rPr>
        <w:t>（三）政府性基金预算财政拨款支出决算具体情况</w:t>
      </w:r>
    </w:p>
    <w:p>
      <w:pPr>
        <w:bidi w:val="0"/>
        <w:rPr>
          <w:rFonts w:hint="default"/>
        </w:rPr>
      </w:pPr>
      <w:r>
        <w:rPr>
          <w:rFonts w:hint="default"/>
        </w:rPr>
        <w:t>2022年度政府性基金预算财政拨款支出年初预算为0万元，支出决算为25.42万元，其中：</w:t>
      </w:r>
    </w:p>
    <w:p>
      <w:pPr>
        <w:bidi w:val="0"/>
        <w:spacing w:line="288" w:lineRule="auto"/>
        <w:ind w:firstLine="880"/>
        <w:rPr>
          <w:rFonts w:hint="default"/>
        </w:rPr>
      </w:pPr>
      <w:r>
        <w:rPr>
          <w:rFonts w:hint="default" w:ascii="楷体" w:hAnsi="楷体" w:eastAsia="楷体" w:cs="楷体"/>
          <w:b w:val="0"/>
          <w:bCs w:val="0"/>
          <w:lang w:val="en-US" w:eastAsia="zh-CN"/>
        </w:rPr>
        <w:t>1.其他（类）彩票公益金安排的支出（款）用于教育事业的彩票公益金支出（项）</w:t>
      </w:r>
    </w:p>
    <w:p>
      <w:pPr>
        <w:bidi w:val="0"/>
        <w:rPr>
          <w:rFonts w:hint="eastAsia"/>
          <w:lang w:val="en-US" w:eastAsia="zh-CN"/>
        </w:rPr>
      </w:pPr>
      <w:r>
        <w:rPr>
          <w:rFonts w:hint="default"/>
        </w:rPr>
        <w:t>年初预算为0万元，支出决算为25.42万元</w:t>
      </w:r>
      <w:r>
        <w:rPr>
          <w:rFonts w:hint="eastAsia"/>
          <w:lang w:eastAsia="zh-CN"/>
        </w:rPr>
        <w:t>，</w:t>
      </w:r>
      <w:r>
        <w:rPr>
          <w:rFonts w:hint="default"/>
        </w:rPr>
        <w:t>决算数大于预算数的主要原因</w:t>
      </w:r>
      <w:r>
        <w:rPr>
          <w:rFonts w:hint="eastAsia"/>
          <w:lang w:eastAsia="zh-CN"/>
        </w:rPr>
        <w:t>：</w:t>
      </w:r>
      <w:r>
        <w:rPr>
          <w:rFonts w:hint="eastAsia"/>
          <w:lang w:val="en-US" w:eastAsia="zh-CN"/>
        </w:rPr>
        <w:t>财政年中下达了中央专项彩票公益金支持大学生创新创业项目资金。</w:t>
      </w:r>
    </w:p>
    <w:p>
      <w:pPr>
        <w:pStyle w:val="5"/>
        <w:bidi w:val="0"/>
        <w:rPr>
          <w:rFonts w:hint="eastAsia"/>
        </w:rPr>
      </w:pPr>
      <w:bookmarkStart w:id="63" w:name="_Toc19706"/>
      <w:bookmarkStart w:id="64" w:name="_Toc11863"/>
      <w:bookmarkStart w:id="65" w:name="_Toc6061"/>
      <w:r>
        <w:rPr>
          <w:rFonts w:hint="eastAsia"/>
        </w:rPr>
        <w:t>八、国有资本经营预算财政拨款支出决算情况说明</w:t>
      </w:r>
      <w:bookmarkEnd w:id="63"/>
      <w:bookmarkEnd w:id="64"/>
      <w:bookmarkEnd w:id="65"/>
    </w:p>
    <w:p>
      <w:pPr>
        <w:bidi w:val="0"/>
        <w:spacing w:line="288" w:lineRule="auto"/>
        <w:ind w:firstLine="880"/>
        <w:rPr>
          <w:rFonts w:hint="eastAsia"/>
        </w:rPr>
      </w:pPr>
      <w:r>
        <w:rPr>
          <w:rFonts w:hint="eastAsia" w:ascii="楷体" w:hAnsi="楷体" w:eastAsia="楷体" w:cs="楷体"/>
          <w:b w:val="0"/>
          <w:bCs w:val="0"/>
          <w:lang w:val="en-US" w:eastAsia="zh-CN"/>
        </w:rPr>
        <w:t>（一）国有资本经营预算财政拨款支出决算总体情况</w:t>
      </w:r>
    </w:p>
    <w:p>
      <w:pPr>
        <w:bidi w:val="0"/>
        <w:rPr>
          <w:rFonts w:hint="default"/>
        </w:rPr>
      </w:pPr>
      <w:r>
        <w:rPr>
          <w:rFonts w:hint="default"/>
        </w:rPr>
        <w:t>2022年度国有资本经营预算财政拨款支出</w:t>
      </w:r>
      <w:r>
        <w:rPr>
          <w:rFonts w:hint="eastAsia"/>
          <w:lang w:val="en-US" w:eastAsia="zh-CN"/>
        </w:rPr>
        <w:t>0</w:t>
      </w:r>
      <w:r>
        <w:rPr>
          <w:rFonts w:hint="default"/>
        </w:rPr>
        <w:t>万元，占本年支出合计的</w:t>
      </w:r>
      <w:r>
        <w:rPr>
          <w:rFonts w:hint="eastAsia"/>
          <w:lang w:val="en-US" w:eastAsia="zh-CN"/>
        </w:rPr>
        <w:t>0</w:t>
      </w:r>
      <w:r>
        <w:rPr>
          <w:rFonts w:hint="default"/>
        </w:rPr>
        <w:t>%。</w:t>
      </w:r>
    </w:p>
    <w:p>
      <w:pPr>
        <w:bidi w:val="0"/>
        <w:spacing w:line="288" w:lineRule="auto"/>
        <w:ind w:firstLine="880"/>
        <w:rPr>
          <w:rFonts w:hint="eastAsia"/>
        </w:rPr>
      </w:pPr>
      <w:r>
        <w:rPr>
          <w:rFonts w:hint="eastAsia" w:ascii="楷体" w:hAnsi="楷体" w:eastAsia="楷体" w:cs="楷体"/>
          <w:b w:val="0"/>
          <w:bCs w:val="0"/>
          <w:lang w:val="en-US" w:eastAsia="zh-CN"/>
        </w:rPr>
        <w:t>（二）国有资本经营预算财政拨款支出决算结构情况</w:t>
      </w:r>
    </w:p>
    <w:p>
      <w:pPr>
        <w:bidi w:val="0"/>
        <w:rPr>
          <w:rFonts w:hint="eastAsia"/>
          <w:lang w:eastAsia="zh-CN"/>
        </w:rPr>
      </w:pPr>
      <w:r>
        <w:rPr>
          <w:rFonts w:hint="default"/>
        </w:rPr>
        <w:t>2022年度国有资本经营预算财政拨款支出</w:t>
      </w:r>
      <w:r>
        <w:rPr>
          <w:rFonts w:hint="eastAsia"/>
          <w:lang w:val="en-US" w:eastAsia="zh-CN"/>
        </w:rPr>
        <w:t>0</w:t>
      </w:r>
      <w:r>
        <w:rPr>
          <w:rFonts w:hint="default"/>
        </w:rPr>
        <w:t>万元</w:t>
      </w:r>
      <w:r>
        <w:rPr>
          <w:rFonts w:hint="eastAsia"/>
          <w:lang w:eastAsia="zh-CN"/>
        </w:rPr>
        <w:t>。</w:t>
      </w:r>
    </w:p>
    <w:p>
      <w:pPr>
        <w:bidi w:val="0"/>
        <w:spacing w:line="288" w:lineRule="auto"/>
        <w:ind w:firstLine="880"/>
        <w:rPr>
          <w:rFonts w:hint="eastAsia"/>
        </w:rPr>
      </w:pPr>
      <w:r>
        <w:rPr>
          <w:rFonts w:hint="eastAsia" w:ascii="楷体" w:hAnsi="楷体" w:eastAsia="楷体" w:cs="楷体"/>
          <w:b w:val="0"/>
          <w:bCs w:val="0"/>
          <w:lang w:val="en-US" w:eastAsia="zh-CN"/>
        </w:rPr>
        <w:t>（三）国有资本经营预算财政拨款支出决算具体情况</w:t>
      </w:r>
    </w:p>
    <w:p>
      <w:pPr>
        <w:bidi w:val="0"/>
        <w:rPr>
          <w:rFonts w:hint="eastAsia"/>
          <w:lang w:eastAsia="zh-CN"/>
        </w:rPr>
      </w:pPr>
      <w:r>
        <w:rPr>
          <w:rFonts w:hint="default"/>
        </w:rPr>
        <w:t>2022年度国有资本经营预算财政拨款支出年初预算为</w:t>
      </w:r>
      <w:r>
        <w:rPr>
          <w:rFonts w:hint="eastAsia"/>
          <w:lang w:val="en-US" w:eastAsia="zh-CN"/>
        </w:rPr>
        <w:t>0</w:t>
      </w:r>
      <w:r>
        <w:rPr>
          <w:rFonts w:hint="default"/>
        </w:rPr>
        <w:t>万元，支出决算为</w:t>
      </w:r>
      <w:r>
        <w:rPr>
          <w:rFonts w:hint="eastAsia"/>
          <w:lang w:val="en-US" w:eastAsia="zh-CN"/>
        </w:rPr>
        <w:t>0</w:t>
      </w:r>
      <w:r>
        <w:rPr>
          <w:rFonts w:hint="default"/>
        </w:rPr>
        <w:t>万元</w:t>
      </w:r>
      <w:r>
        <w:rPr>
          <w:rFonts w:hint="eastAsia"/>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textAlignment w:val="auto"/>
        <w:rPr>
          <w:rFonts w:hint="default" w:ascii="仿宋_GB2312" w:hAnsi="ˎ̥" w:eastAsia="仿宋_GB2312" w:cs="仿宋_GB2312"/>
          <w:kern w:val="0"/>
          <w:sz w:val="32"/>
          <w:szCs w:val="32"/>
        </w:rPr>
      </w:pPr>
    </w:p>
    <w:p>
      <w:pPr>
        <w:pStyle w:val="5"/>
        <w:bidi w:val="0"/>
        <w:rPr>
          <w:rFonts w:hint="default"/>
        </w:rPr>
      </w:pPr>
      <w:bookmarkStart w:id="66" w:name="_Toc8692"/>
      <w:bookmarkStart w:id="67" w:name="_Toc17543"/>
      <w:bookmarkStart w:id="68" w:name="_Toc10444"/>
      <w:r>
        <w:rPr>
          <w:rFonts w:hint="eastAsia"/>
        </w:rPr>
        <w:t>九、财政拨款“三公”经费支出决算情况说明</w:t>
      </w:r>
      <w:bookmarkEnd w:id="66"/>
      <w:bookmarkEnd w:id="67"/>
      <w:bookmarkEnd w:id="68"/>
    </w:p>
    <w:p>
      <w:pPr>
        <w:bidi w:val="0"/>
        <w:spacing w:line="288" w:lineRule="auto"/>
        <w:ind w:firstLine="880"/>
        <w:rPr>
          <w:rFonts w:hint="eastAsia"/>
        </w:rPr>
      </w:pPr>
      <w:r>
        <w:rPr>
          <w:rFonts w:hint="eastAsia" w:ascii="楷体" w:hAnsi="楷体" w:eastAsia="楷体" w:cs="楷体"/>
          <w:b w:val="0"/>
          <w:bCs w:val="0"/>
          <w:lang w:val="en-US" w:eastAsia="zh-CN"/>
        </w:rPr>
        <w:t>（一）财政拨款“三公”经费支出决算总体情况说明</w:t>
      </w:r>
    </w:p>
    <w:p>
      <w:pPr>
        <w:bidi w:val="0"/>
        <w:rPr>
          <w:rFonts w:hint="default"/>
        </w:rPr>
      </w:pPr>
      <w:r>
        <w:rPr>
          <w:rFonts w:hint="default"/>
        </w:rPr>
        <w:t xml:space="preserve"> 2022年度财政拨款</w:t>
      </w:r>
      <w:r>
        <w:rPr>
          <w:rFonts w:hint="eastAsia"/>
          <w:lang w:eastAsia="zh-CN"/>
        </w:rPr>
        <w:t>“</w:t>
      </w:r>
      <w:r>
        <w:rPr>
          <w:rFonts w:hint="eastAsia"/>
          <w:lang w:val="en-US" w:eastAsia="zh-CN"/>
        </w:rPr>
        <w:t>三公</w:t>
      </w:r>
      <w:r>
        <w:rPr>
          <w:rFonts w:hint="eastAsia"/>
          <w:lang w:eastAsia="zh-CN"/>
        </w:rPr>
        <w:t>”</w:t>
      </w:r>
      <w:r>
        <w:rPr>
          <w:rFonts w:hint="default"/>
        </w:rPr>
        <w:t>经费支出预算为26.84万元，支出决算为7.16万元，完成预算的</w:t>
      </w:r>
      <w:r>
        <w:rPr>
          <w:rFonts w:hint="eastAsia"/>
          <w:lang w:val="en-US" w:eastAsia="zh-CN"/>
        </w:rPr>
        <w:t>26.7</w:t>
      </w:r>
      <w:r>
        <w:rPr>
          <w:rFonts w:hint="default"/>
        </w:rPr>
        <w:t>%。</w:t>
      </w:r>
    </w:p>
    <w:p>
      <w:pPr>
        <w:bidi w:val="0"/>
        <w:spacing w:line="288" w:lineRule="auto"/>
        <w:ind w:firstLine="880"/>
        <w:rPr>
          <w:rFonts w:hint="eastAsia"/>
        </w:rPr>
      </w:pPr>
      <w:r>
        <w:rPr>
          <w:rFonts w:hint="eastAsia" w:ascii="楷体" w:hAnsi="楷体" w:eastAsia="楷体" w:cs="楷体"/>
          <w:b w:val="0"/>
          <w:bCs w:val="0"/>
          <w:lang w:val="en-US" w:eastAsia="zh-CN"/>
        </w:rPr>
        <w:t>（二）财政拨款“三公”经费支出决算具体情况说明</w:t>
      </w:r>
    </w:p>
    <w:p>
      <w:pPr>
        <w:bidi w:val="0"/>
        <w:rPr>
          <w:rFonts w:hint="default"/>
        </w:rPr>
      </w:pPr>
      <w:r>
        <w:rPr>
          <w:rFonts w:hint="default"/>
        </w:rPr>
        <w:t>2022年度财政拨款</w:t>
      </w:r>
      <w:r>
        <w:rPr>
          <w:rFonts w:hint="eastAsia"/>
        </w:rPr>
        <w:t>“三公”</w:t>
      </w:r>
      <w:r>
        <w:rPr>
          <w:rFonts w:hint="default"/>
        </w:rPr>
        <w:t>经费支出决算中，因公出国（境）费支出决算</w:t>
      </w:r>
      <w:r>
        <w:rPr>
          <w:rFonts w:hint="eastAsia"/>
          <w:lang w:val="en-US" w:eastAsia="zh-CN"/>
        </w:rPr>
        <w:t>0</w:t>
      </w:r>
      <w:r>
        <w:rPr>
          <w:rFonts w:hint="default"/>
        </w:rPr>
        <w:t>万元，</w:t>
      </w:r>
      <w:r>
        <w:rPr>
          <w:rFonts w:hint="eastAsia"/>
          <w:lang w:val="en-US" w:eastAsia="zh-CN"/>
        </w:rPr>
        <w:t>占0.0</w:t>
      </w:r>
      <w:r>
        <w:rPr>
          <w:rFonts w:hint="default"/>
        </w:rPr>
        <w:t>%；公务用车购置及运行维护费支出决算2.35万元，占</w:t>
      </w:r>
      <w:r>
        <w:rPr>
          <w:rFonts w:hint="eastAsia"/>
          <w:lang w:val="en-US" w:eastAsia="zh-CN"/>
        </w:rPr>
        <w:t>32.8</w:t>
      </w:r>
      <w:r>
        <w:rPr>
          <w:rFonts w:hint="default"/>
        </w:rPr>
        <w:t>%；公务接待费支出决算4.80万元，占</w:t>
      </w:r>
      <w:r>
        <w:rPr>
          <w:rFonts w:hint="eastAsia"/>
          <w:lang w:val="en-US" w:eastAsia="zh-CN"/>
        </w:rPr>
        <w:t>67.0</w:t>
      </w:r>
      <w:r>
        <w:rPr>
          <w:rFonts w:hint="default"/>
        </w:rPr>
        <w:t>%。具体情况如下：</w:t>
      </w:r>
    </w:p>
    <w:p>
      <w:pPr>
        <w:bidi w:val="0"/>
        <w:rPr>
          <w:rFonts w:hint="default"/>
        </w:rPr>
      </w:pPr>
      <w:r>
        <w:rPr>
          <w:rFonts w:hint="default"/>
        </w:rPr>
        <w:t>1.因公出国（境）费支出</w:t>
      </w:r>
      <w:r>
        <w:rPr>
          <w:rFonts w:hint="eastAsia"/>
          <w:lang w:val="en-US" w:eastAsia="zh-CN"/>
        </w:rPr>
        <w:t>0</w:t>
      </w:r>
      <w:r>
        <w:rPr>
          <w:rFonts w:hint="default"/>
        </w:rPr>
        <w:t>万元。全年安排因公出国（境）团组</w:t>
      </w:r>
      <w:r>
        <w:rPr>
          <w:rFonts w:hint="eastAsia"/>
          <w:lang w:val="en-US" w:eastAsia="zh-CN"/>
        </w:rPr>
        <w:t>0</w:t>
      </w:r>
      <w:r>
        <w:rPr>
          <w:rFonts w:hint="default"/>
        </w:rPr>
        <w:t>个，因公出国（境）</w:t>
      </w:r>
      <w:r>
        <w:rPr>
          <w:rFonts w:hint="eastAsia"/>
          <w:lang w:val="en-US" w:eastAsia="zh-CN"/>
        </w:rPr>
        <w:t>0</w:t>
      </w:r>
      <w:r>
        <w:rPr>
          <w:rFonts w:hint="default"/>
        </w:rPr>
        <w:t>人次。</w:t>
      </w:r>
    </w:p>
    <w:p>
      <w:pPr>
        <w:bidi w:val="0"/>
        <w:rPr>
          <w:rFonts w:hint="default"/>
        </w:rPr>
      </w:pPr>
      <w:r>
        <w:rPr>
          <w:rFonts w:hint="default"/>
        </w:rPr>
        <w:t>2.公务用车购置及运行维护费支出2.35万元。其中：</w:t>
      </w:r>
    </w:p>
    <w:p>
      <w:pPr>
        <w:bidi w:val="0"/>
        <w:rPr>
          <w:rFonts w:hint="default"/>
        </w:rPr>
      </w:pPr>
      <w:r>
        <w:rPr>
          <w:rFonts w:hint="default"/>
        </w:rPr>
        <w:t>公务用车购置支出</w:t>
      </w:r>
      <w:r>
        <w:rPr>
          <w:rFonts w:hint="eastAsia"/>
          <w:lang w:val="en-US" w:eastAsia="zh-CN"/>
        </w:rPr>
        <w:t>0</w:t>
      </w:r>
      <w:r>
        <w:rPr>
          <w:rFonts w:hint="default"/>
        </w:rPr>
        <w:t>万元，全年购置公务用车</w:t>
      </w:r>
      <w:r>
        <w:rPr>
          <w:rFonts w:hint="eastAsia"/>
          <w:lang w:val="en-US" w:eastAsia="zh-CN"/>
        </w:rPr>
        <w:t>0</w:t>
      </w:r>
      <w:r>
        <w:rPr>
          <w:rFonts w:hint="default"/>
        </w:rPr>
        <w:t>辆，年末公务用车保有量</w:t>
      </w:r>
      <w:r>
        <w:rPr>
          <w:rFonts w:hint="eastAsia"/>
          <w:lang w:val="en-US" w:eastAsia="zh-CN"/>
        </w:rPr>
        <w:t>22</w:t>
      </w:r>
      <w:r>
        <w:rPr>
          <w:rFonts w:hint="default"/>
        </w:rPr>
        <w:t>辆。</w:t>
      </w:r>
    </w:p>
    <w:p>
      <w:pPr>
        <w:bidi w:val="0"/>
        <w:rPr>
          <w:rFonts w:hint="default"/>
        </w:rPr>
      </w:pPr>
      <w:r>
        <w:rPr>
          <w:rFonts w:hint="default"/>
        </w:rPr>
        <w:t>公务用车运行维护费支出2.35万元，主要</w:t>
      </w:r>
      <w:r>
        <w:rPr>
          <w:rFonts w:hint="eastAsia"/>
          <w:lang w:val="en-US" w:eastAsia="zh-CN"/>
        </w:rPr>
        <w:t>用于车辆的维修保养、保险等</w:t>
      </w:r>
      <w:r>
        <w:rPr>
          <w:rFonts w:hint="default"/>
        </w:rPr>
        <w:t>。</w:t>
      </w:r>
    </w:p>
    <w:p>
      <w:pPr>
        <w:bidi w:val="0"/>
        <w:rPr>
          <w:rFonts w:hint="default"/>
          <w:lang w:val="en-US" w:eastAsia="zh-CN"/>
        </w:rPr>
      </w:pPr>
      <w:r>
        <w:rPr>
          <w:rFonts w:hint="default"/>
        </w:rPr>
        <w:t>公务用车购置及运行费支出决算数</w:t>
      </w:r>
      <w:r>
        <w:rPr>
          <w:rFonts w:hint="eastAsia"/>
          <w:lang w:val="en-US" w:eastAsia="zh-CN"/>
        </w:rPr>
        <w:t>与</w:t>
      </w:r>
      <w:r>
        <w:rPr>
          <w:rFonts w:hint="default"/>
        </w:rPr>
        <w:t>预算数</w:t>
      </w:r>
      <w:r>
        <w:rPr>
          <w:rFonts w:hint="eastAsia"/>
          <w:lang w:val="en-US" w:eastAsia="zh-CN"/>
        </w:rPr>
        <w:t>相符，无增减变化。</w:t>
      </w:r>
    </w:p>
    <w:p>
      <w:pPr>
        <w:bidi w:val="0"/>
        <w:rPr>
          <w:rFonts w:hint="default"/>
        </w:rPr>
      </w:pPr>
      <w:r>
        <w:rPr>
          <w:rFonts w:hint="default"/>
        </w:rPr>
        <w:t>3.公务接待费支出4.80万元，其中：</w:t>
      </w:r>
    </w:p>
    <w:p>
      <w:pPr>
        <w:bidi w:val="0"/>
        <w:rPr>
          <w:rFonts w:hint="default"/>
          <w:lang w:val="en-US" w:eastAsia="zh-CN"/>
        </w:rPr>
      </w:pPr>
      <w:r>
        <w:rPr>
          <w:rFonts w:hint="default"/>
        </w:rPr>
        <w:t>国内接待费支出</w:t>
      </w:r>
      <w:r>
        <w:rPr>
          <w:rFonts w:hint="eastAsia"/>
          <w:lang w:val="en-US" w:eastAsia="zh-CN"/>
        </w:rPr>
        <w:t>4.80</w:t>
      </w:r>
      <w:r>
        <w:rPr>
          <w:rFonts w:hint="default"/>
        </w:rPr>
        <w:t>万元，国内公务接待</w:t>
      </w:r>
      <w:r>
        <w:rPr>
          <w:rFonts w:hint="eastAsia"/>
          <w:lang w:val="en-US" w:eastAsia="zh-CN"/>
        </w:rPr>
        <w:t>32</w:t>
      </w:r>
      <w:r>
        <w:rPr>
          <w:rFonts w:hint="default"/>
        </w:rPr>
        <w:t>批次，接待</w:t>
      </w:r>
      <w:r>
        <w:rPr>
          <w:rFonts w:hint="eastAsia"/>
          <w:lang w:val="en-US" w:eastAsia="zh-CN"/>
        </w:rPr>
        <w:t>150</w:t>
      </w:r>
      <w:r>
        <w:rPr>
          <w:rFonts w:hint="default"/>
        </w:rPr>
        <w:t>人次；主要用于</w:t>
      </w:r>
      <w:r>
        <w:rPr>
          <w:rFonts w:hint="eastAsia"/>
          <w:lang w:val="en-US" w:eastAsia="zh-CN"/>
        </w:rPr>
        <w:t>接待餐费、住宿费等。</w:t>
      </w:r>
    </w:p>
    <w:p>
      <w:pPr>
        <w:bidi w:val="0"/>
        <w:rPr>
          <w:rFonts w:hint="eastAsia"/>
          <w:lang w:eastAsia="zh-CN"/>
        </w:rPr>
      </w:pPr>
      <w:r>
        <w:rPr>
          <w:rFonts w:hint="default"/>
        </w:rPr>
        <w:t>国（境）外接待费支出</w:t>
      </w:r>
      <w:r>
        <w:rPr>
          <w:rFonts w:hint="eastAsia"/>
          <w:lang w:val="en-US" w:eastAsia="zh-CN"/>
        </w:rPr>
        <w:t>0</w:t>
      </w:r>
      <w:r>
        <w:rPr>
          <w:rFonts w:hint="default"/>
        </w:rPr>
        <w:t>万元，国（境）外公务接待</w:t>
      </w:r>
      <w:r>
        <w:rPr>
          <w:rFonts w:hint="eastAsia"/>
          <w:lang w:val="en-US" w:eastAsia="zh-CN"/>
        </w:rPr>
        <w:t>0</w:t>
      </w:r>
      <w:r>
        <w:rPr>
          <w:rFonts w:hint="default"/>
        </w:rPr>
        <w:t>批次，接待</w:t>
      </w:r>
      <w:r>
        <w:rPr>
          <w:rFonts w:hint="eastAsia"/>
          <w:lang w:val="en-US" w:eastAsia="zh-CN"/>
        </w:rPr>
        <w:t>0</w:t>
      </w:r>
      <w:r>
        <w:rPr>
          <w:rFonts w:hint="default"/>
        </w:rPr>
        <w:t>人次</w:t>
      </w:r>
      <w:r>
        <w:rPr>
          <w:rFonts w:hint="eastAsia"/>
          <w:lang w:eastAsia="zh-CN"/>
        </w:rPr>
        <w:t>。</w:t>
      </w:r>
    </w:p>
    <w:p>
      <w:pPr>
        <w:bidi w:val="0"/>
        <w:rPr>
          <w:rFonts w:hint="default"/>
          <w:lang w:val="en-US" w:eastAsia="zh-CN"/>
        </w:rPr>
      </w:pPr>
      <w:r>
        <w:rPr>
          <w:rFonts w:hint="default"/>
        </w:rPr>
        <w:t>公务接待费支出决算数比预算数减</w:t>
      </w:r>
      <w:r>
        <w:rPr>
          <w:rFonts w:hint="eastAsia"/>
          <w:lang w:val="en-US" w:eastAsia="zh-CN"/>
        </w:rPr>
        <w:t>少4.69</w:t>
      </w:r>
      <w:r>
        <w:rPr>
          <w:rFonts w:hint="default"/>
        </w:rPr>
        <w:t>万元，下降</w:t>
      </w:r>
      <w:r>
        <w:rPr>
          <w:rFonts w:hint="eastAsia"/>
          <w:lang w:val="en-US" w:eastAsia="zh-CN"/>
        </w:rPr>
        <w:t>49.4</w:t>
      </w:r>
      <w:r>
        <w:rPr>
          <w:rFonts w:hint="default"/>
        </w:rPr>
        <w:t>%。主要原因</w:t>
      </w:r>
      <w:r>
        <w:rPr>
          <w:rFonts w:hint="eastAsia"/>
          <w:lang w:val="en-US" w:eastAsia="zh-CN"/>
        </w:rPr>
        <w:t>是疫情原因导致公务接待减少。</w:t>
      </w:r>
    </w:p>
    <w:p>
      <w:pPr>
        <w:pStyle w:val="5"/>
        <w:bidi w:val="0"/>
        <w:rPr>
          <w:rFonts w:hint="eastAsia"/>
        </w:rPr>
      </w:pPr>
      <w:bookmarkStart w:id="69" w:name="_Toc24793"/>
      <w:bookmarkStart w:id="70" w:name="_Toc8561"/>
      <w:bookmarkStart w:id="71" w:name="_Toc10637"/>
      <w:r>
        <w:rPr>
          <w:rFonts w:hint="eastAsia"/>
        </w:rPr>
        <w:t>十、预算绩效情况说明</w:t>
      </w:r>
      <w:bookmarkEnd w:id="69"/>
      <w:bookmarkEnd w:id="70"/>
      <w:bookmarkEnd w:id="71"/>
    </w:p>
    <w:p>
      <w:pPr>
        <w:bidi w:val="0"/>
        <w:spacing w:line="288" w:lineRule="auto"/>
        <w:ind w:firstLine="880"/>
        <w:rPr>
          <w:rFonts w:hint="eastAsia" w:ascii="楷体" w:hAnsi="楷体" w:eastAsia="楷体" w:cs="楷体"/>
          <w:b w:val="0"/>
          <w:bCs w:val="0"/>
          <w:lang w:val="en-US" w:eastAsia="zh-CN"/>
        </w:rPr>
      </w:pPr>
      <w:r>
        <w:rPr>
          <w:rFonts w:hint="eastAsia" w:ascii="楷体" w:hAnsi="楷体" w:eastAsia="楷体" w:cs="楷体"/>
          <w:b w:val="0"/>
          <w:bCs w:val="0"/>
          <w:lang w:val="en-US" w:eastAsia="zh-CN"/>
        </w:rPr>
        <w:t>（一）绩效管理工作开展情况</w:t>
      </w:r>
    </w:p>
    <w:p>
      <w:pPr>
        <w:bidi w:val="0"/>
        <w:rPr>
          <w:rFonts w:hint="eastAsia"/>
        </w:rPr>
      </w:pPr>
      <w:r>
        <w:rPr>
          <w:rFonts w:hint="eastAsia"/>
          <w:lang w:val="en-US" w:eastAsia="zh-CN"/>
        </w:rPr>
        <w:t>根据海南省财政厅关于开展2023年省直单位预算绩效管理工作的通知》（琼财绩〔2023〕155号）规定：2022年度所有预算项目（不含基本支出）纳入绩效自评范围，各部门（单位）对项目的自评结果主要通过项目支出绩效自评表的形式反映。其中，所有项目均需填报《绩效自评表》，500万元以上（含500万元）的特定目标类项目须同时提交《绩效自评报告》。</w:t>
      </w:r>
      <w:r>
        <w:rPr>
          <w:rFonts w:hint="eastAsia"/>
        </w:rPr>
        <w:t>我校对符合要求的</w:t>
      </w:r>
      <w:r>
        <w:rPr>
          <w:rFonts w:hint="eastAsia"/>
          <w:lang w:val="en-US" w:eastAsia="zh-CN"/>
        </w:rPr>
        <w:t>56</w:t>
      </w:r>
      <w:r>
        <w:rPr>
          <w:rFonts w:hint="eastAsia"/>
        </w:rPr>
        <w:t>个项目进行了自评，</w:t>
      </w:r>
      <w:r>
        <w:rPr>
          <w:rFonts w:hint="default"/>
        </w:rPr>
        <w:t>其中，2022年度一般公共预算</w:t>
      </w:r>
      <w:r>
        <w:rPr>
          <w:rFonts w:hint="eastAsia"/>
          <w:lang w:val="en-US" w:eastAsia="zh-CN"/>
        </w:rPr>
        <w:t>55</w:t>
      </w:r>
      <w:r>
        <w:rPr>
          <w:rFonts w:hint="default"/>
        </w:rPr>
        <w:t>个，共涉及资金</w:t>
      </w:r>
      <w:r>
        <w:rPr>
          <w:rFonts w:hint="eastAsia"/>
          <w:lang w:val="en-US" w:eastAsia="zh-CN"/>
        </w:rPr>
        <w:t>177494.08</w:t>
      </w:r>
      <w:r>
        <w:rPr>
          <w:rFonts w:hint="default"/>
        </w:rPr>
        <w:t>万元，占一般公共预算项目支出总额的</w:t>
      </w:r>
      <w:r>
        <w:rPr>
          <w:rFonts w:hint="eastAsia"/>
          <w:lang w:val="en-US" w:eastAsia="zh-CN"/>
        </w:rPr>
        <w:t>79</w:t>
      </w:r>
      <w:r>
        <w:rPr>
          <w:rFonts w:hint="default"/>
        </w:rPr>
        <w:t>%</w:t>
      </w:r>
      <w:r>
        <w:rPr>
          <w:rFonts w:hint="eastAsia"/>
          <w:lang w:eastAsia="zh-CN"/>
        </w:rPr>
        <w:t>；</w:t>
      </w:r>
      <w:r>
        <w:rPr>
          <w:rFonts w:hint="default"/>
        </w:rPr>
        <w:t>2022年度政府性基金预算自评项目</w:t>
      </w:r>
      <w:r>
        <w:rPr>
          <w:rFonts w:hint="eastAsia"/>
          <w:lang w:val="en-US" w:eastAsia="zh-CN"/>
        </w:rPr>
        <w:t>1个</w:t>
      </w:r>
      <w:r>
        <w:rPr>
          <w:rFonts w:hint="default"/>
        </w:rPr>
        <w:t>，共涉及资</w:t>
      </w:r>
      <w:r>
        <w:rPr>
          <w:rFonts w:hint="eastAsia"/>
          <w:lang w:val="en-US" w:eastAsia="zh-CN"/>
        </w:rPr>
        <w:t>25.42</w:t>
      </w:r>
      <w:r>
        <w:rPr>
          <w:rFonts w:hint="default"/>
        </w:rPr>
        <w:t>万元，占政府性基金预算项目支出总额的</w:t>
      </w:r>
      <w:r>
        <w:rPr>
          <w:rFonts w:hint="eastAsia"/>
          <w:lang w:val="en-US" w:eastAsia="zh-CN"/>
        </w:rPr>
        <w:t>100</w:t>
      </w:r>
      <w:r>
        <w:rPr>
          <w:rFonts w:hint="default"/>
        </w:rPr>
        <w:t>%</w:t>
      </w:r>
      <w:r>
        <w:rPr>
          <w:rFonts w:hint="eastAsia"/>
        </w:rPr>
        <w:t>。</w:t>
      </w:r>
    </w:p>
    <w:p>
      <w:pPr>
        <w:bidi w:val="0"/>
        <w:spacing w:line="288" w:lineRule="auto"/>
        <w:ind w:firstLine="880"/>
        <w:rPr>
          <w:rFonts w:hint="eastAsia" w:ascii="楷体" w:hAnsi="楷体" w:eastAsia="楷体" w:cs="楷体"/>
          <w:b w:val="0"/>
          <w:bCs w:val="0"/>
          <w:lang w:val="en-US" w:eastAsia="zh-CN"/>
        </w:rPr>
      </w:pPr>
      <w:r>
        <w:rPr>
          <w:rFonts w:hint="eastAsia" w:ascii="楷体" w:hAnsi="楷体" w:eastAsia="楷体" w:cs="楷体"/>
          <w:b w:val="0"/>
          <w:bCs w:val="0"/>
          <w:lang w:val="en-US" w:eastAsia="zh-CN"/>
        </w:rPr>
        <w:t>（二）部门决算中项目绩效自评结果</w:t>
      </w:r>
    </w:p>
    <w:p>
      <w:pPr>
        <w:bidi w:val="0"/>
        <w:rPr>
          <w:rFonts w:hint="eastAsia"/>
        </w:rPr>
      </w:pPr>
      <w:r>
        <w:rPr>
          <w:rFonts w:hint="eastAsia"/>
        </w:rPr>
        <w:t>我单位根据省财政厅的要求，对学校除</w:t>
      </w:r>
      <w:r>
        <w:rPr>
          <w:rFonts w:hint="eastAsia"/>
          <w:lang w:val="en-US" w:eastAsia="zh-CN"/>
        </w:rPr>
        <w:t>基本支出及涉密项目</w:t>
      </w:r>
      <w:r>
        <w:rPr>
          <w:rFonts w:hint="eastAsia"/>
        </w:rPr>
        <w:t>外的其他</w:t>
      </w:r>
      <w:r>
        <w:rPr>
          <w:rFonts w:hint="eastAsia"/>
          <w:lang w:val="en-US" w:eastAsia="zh-CN"/>
        </w:rPr>
        <w:t>55</w:t>
      </w:r>
      <w:r>
        <w:rPr>
          <w:rFonts w:hint="eastAsia"/>
        </w:rPr>
        <w:t>个项目绩效自评结果均进行了对外公开，其中</w:t>
      </w:r>
      <w:r>
        <w:rPr>
          <w:rFonts w:hint="eastAsia"/>
          <w:lang w:val="en-US" w:eastAsia="zh-CN"/>
        </w:rPr>
        <w:t>25</w:t>
      </w:r>
      <w:r>
        <w:rPr>
          <w:rFonts w:hint="eastAsia"/>
        </w:rPr>
        <w:t>个500万元以上项目同时公开了绩效自评报告。在省本级部门决算中反映高水平大学和一流学科建设、支持地方高校改革发展资金、学生资助补助经费、学生事务补助、海南大学密码科研实验环境平台建设</w:t>
      </w:r>
      <w:r>
        <w:rPr>
          <w:rFonts w:hint="eastAsia"/>
          <w:lang w:eastAsia="zh-CN"/>
        </w:rPr>
        <w:t>、高等学校发展资金项目、信息系统运行维护、教育系统党建思政质量提升工程、海南自贸港政策宣讲解读培训项目、大中专学校全日制在校学生价格临时补贴、选派来琼挂职干部保障、酒店业人才培养、普及中小学生游泳教育项目、海南省特色印记工程、公办高校争取社会捐赠配比资金奖励项目、海南省东坡文化研究与传播中心发展建设项目、国家级创新创业学院</w:t>
      </w:r>
      <w:r>
        <w:rPr>
          <w:rFonts w:hint="eastAsia"/>
        </w:rPr>
        <w:t>等</w:t>
      </w:r>
      <w:r>
        <w:rPr>
          <w:rFonts w:hint="eastAsia"/>
          <w:lang w:val="en-US" w:eastAsia="zh-CN"/>
        </w:rPr>
        <w:t>55</w:t>
      </w:r>
      <w:r>
        <w:rPr>
          <w:rFonts w:hint="eastAsia"/>
        </w:rPr>
        <w:t>个项目绩效自评结果。</w:t>
      </w:r>
    </w:p>
    <w:p>
      <w:pPr>
        <w:bidi w:val="0"/>
        <w:rPr>
          <w:rFonts w:hint="eastAsia"/>
        </w:rPr>
      </w:pPr>
      <w:r>
        <w:rPr>
          <w:rFonts w:hint="eastAsia"/>
        </w:rPr>
        <w:t>1、高水平大学和一流学科建设项目绩效自评综述</w:t>
      </w:r>
    </w:p>
    <w:p>
      <w:pPr>
        <w:bidi w:val="0"/>
        <w:rPr>
          <w:rFonts w:hint="eastAsia"/>
        </w:rPr>
      </w:pPr>
      <w:r>
        <w:rPr>
          <w:rFonts w:hint="eastAsia"/>
        </w:rPr>
        <w:t>根据年初设定的绩效目标，项目自评得分为</w:t>
      </w:r>
      <w:r>
        <w:rPr>
          <w:rFonts w:hint="eastAsia"/>
          <w:lang w:val="en-US" w:eastAsia="zh-CN"/>
        </w:rPr>
        <w:t>92.89</w:t>
      </w:r>
      <w:r>
        <w:rPr>
          <w:rFonts w:hint="eastAsia"/>
        </w:rPr>
        <w:t>分。资金总额年初预算数975,332,300元，全年预算数975,332,300元。其中：财政资金年初预算数236,002,300元，全年预算数236,002,300元；专户资金年初预算数10,000,000元，全年预算数10,000,000元；单位资金年初预算数729,330,000元，全年预算数729,330,000元。</w:t>
      </w:r>
    </w:p>
    <w:p>
      <w:pPr>
        <w:bidi w:val="0"/>
        <w:rPr>
          <w:rFonts w:hint="eastAsia"/>
        </w:rPr>
      </w:pPr>
      <w:r>
        <w:rPr>
          <w:rFonts w:hint="eastAsia"/>
        </w:rPr>
        <w:t>资金总额全年执行数672,156,987.09元，执行率68.92%。</w:t>
      </w:r>
    </w:p>
    <w:p>
      <w:pPr>
        <w:bidi w:val="0"/>
        <w:rPr>
          <w:rFonts w:hint="eastAsia"/>
        </w:rPr>
      </w:pPr>
      <w:r>
        <w:rPr>
          <w:rFonts w:hint="eastAsia"/>
        </w:rPr>
        <w:t>其中：财政资金全年执行数235,773,709.44元，执行率99.9%；专户资金全年执行数9,938,399.71元，执行率99.38%。</w:t>
      </w:r>
    </w:p>
    <w:p>
      <w:pPr>
        <w:bidi w:val="0"/>
        <w:rPr>
          <w:rFonts w:hint="eastAsia"/>
        </w:rPr>
      </w:pPr>
      <w:r>
        <w:rPr>
          <w:rFonts w:hint="eastAsia"/>
        </w:rPr>
        <w:t>项目绩效目标完成情况：总体上，该项目严格按照预算实施，各项工作有序开展，实效符合预期要求，基本完成年度工作任务。具体成效如下：购置教学仪器设备及教学软件达到2072台/套，举办大中小型校园招聘会达到114场次，开展学术交流活动达到74次，支持攻读博士人数（增量）29人，书院建设数量15座，实验室条件提升改造数量达到32个，发表SCI论文480篇，立项科研项目1449个，新引进人才数量301人，新增国家级、部级项目数量724个，在国内主流媒体刊载学校专题报道（专版）5篇；基建维修改造工作按计划推进，及时解决工程尾款和质保金，避免拖欠工程款引发纠纷；后勤保障类项目已按合同和预算内容实施完成，其工作实效符合预期要求，总体完成质量达到合格要求；校园公共服务设施条件基本改善，保障师生的正常生活、教学秩序，师生满意度达到95%。</w:t>
      </w:r>
    </w:p>
    <w:p>
      <w:pPr>
        <w:bidi w:val="0"/>
        <w:rPr>
          <w:rFonts w:hint="eastAsia"/>
        </w:rPr>
      </w:pPr>
      <w:r>
        <w:rPr>
          <w:rFonts w:hint="eastAsia"/>
        </w:rPr>
        <w:t>综上，项目总体如期保质保量完成各项目标任务。</w:t>
      </w:r>
    </w:p>
    <w:p>
      <w:pPr>
        <w:bidi w:val="0"/>
      </w:pPr>
      <w:r>
        <w:rPr>
          <w:rFonts w:hint="eastAsia"/>
        </w:rPr>
        <w:t>具体情况见表1。</w:t>
      </w:r>
    </w:p>
    <w:p>
      <w:pPr>
        <w:bidi w:val="0"/>
        <w:jc w:val="center"/>
        <w:rPr>
          <w:rFonts w:hint="eastAsia"/>
          <w:lang w:eastAsia="zh-CN"/>
        </w:rPr>
      </w:pPr>
      <w:r>
        <w:rPr>
          <w:rFonts w:hint="eastAsia" w:ascii="仿宋" w:hAnsi="仿宋" w:eastAsia="仿宋" w:cs="仿宋"/>
          <w:sz w:val="28"/>
          <w:szCs w:val="28"/>
        </w:rPr>
        <w:t xml:space="preserve">表1   </w:t>
      </w:r>
      <w:r>
        <w:rPr>
          <w:rFonts w:hint="eastAsia" w:ascii="仿宋" w:hAnsi="仿宋" w:eastAsia="仿宋" w:cs="仿宋"/>
          <w:sz w:val="28"/>
          <w:szCs w:val="28"/>
          <w:lang w:eastAsia="zh-CN"/>
        </w:rPr>
        <w:t>项目绩效自评表</w:t>
      </w:r>
    </w:p>
    <w:tbl>
      <w:tblPr>
        <w:tblStyle w:val="16"/>
        <w:tblW w:w="5000" w:type="pct"/>
        <w:jc w:val="center"/>
        <w:tblLayout w:type="autofit"/>
        <w:tblCellMar>
          <w:top w:w="0" w:type="dxa"/>
          <w:left w:w="108" w:type="dxa"/>
          <w:bottom w:w="0" w:type="dxa"/>
          <w:right w:w="108" w:type="dxa"/>
        </w:tblCellMar>
      </w:tblPr>
      <w:tblGrid>
        <w:gridCol w:w="1393"/>
        <w:gridCol w:w="1557"/>
        <w:gridCol w:w="2538"/>
        <w:gridCol w:w="1521"/>
        <w:gridCol w:w="1522"/>
      </w:tblGrid>
      <w:tr>
        <w:tblPrEx>
          <w:tblCellMar>
            <w:top w:w="0" w:type="dxa"/>
            <w:left w:w="108" w:type="dxa"/>
            <w:bottom w:w="0" w:type="dxa"/>
            <w:right w:w="108" w:type="dxa"/>
          </w:tblCellMar>
        </w:tblPrEx>
        <w:trPr>
          <w:trHeight w:val="855" w:hRule="atLeast"/>
          <w:jc w:val="center"/>
        </w:trPr>
        <w:tc>
          <w:tcPr>
            <w:tcW w:w="81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一级指标</w:t>
            </w:r>
          </w:p>
        </w:tc>
        <w:tc>
          <w:tcPr>
            <w:tcW w:w="912" w:type="pct"/>
            <w:tcBorders>
              <w:top w:val="single" w:color="auto" w:sz="4" w:space="0"/>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二级指标</w:t>
            </w:r>
          </w:p>
        </w:tc>
        <w:tc>
          <w:tcPr>
            <w:tcW w:w="1487" w:type="pct"/>
            <w:tcBorders>
              <w:top w:val="single" w:color="auto" w:sz="4" w:space="0"/>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三级指标</w:t>
            </w:r>
          </w:p>
        </w:tc>
        <w:tc>
          <w:tcPr>
            <w:tcW w:w="891"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年度指标值</w:t>
            </w:r>
          </w:p>
        </w:tc>
        <w:tc>
          <w:tcPr>
            <w:tcW w:w="892" w:type="pct"/>
            <w:tcBorders>
              <w:top w:val="single" w:color="auto" w:sz="4" w:space="0"/>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产出指标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数量指标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高层次人才培训人数</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60人</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3人</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产出指标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数量指标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购置教学仪器设备及教学软件</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2000台/套</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2072台/套</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产出指标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数量指标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举办大中小型校园招聘会</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80场次</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114场次</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产出指标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数量指标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开展科研学术交流</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120次</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74次</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产出指标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数量指标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支持攻读博士人数（增量）</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16人</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29人</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社会效益指标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书院建设数量</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10座</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15座</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可持续发展指标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升级改造实验室数量</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24个</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32个</w:t>
            </w:r>
          </w:p>
        </w:tc>
      </w:tr>
      <w:tr>
        <w:tblPrEx>
          <w:tblCellMar>
            <w:top w:w="0" w:type="dxa"/>
            <w:left w:w="108" w:type="dxa"/>
            <w:bottom w:w="0" w:type="dxa"/>
            <w:right w:w="108" w:type="dxa"/>
          </w:tblCellMar>
        </w:tblPrEx>
        <w:trPr>
          <w:trHeight w:val="558"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可持续影响</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发表SCI论文</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350篇</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480篇</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可持续影响</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立项科研项目</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800个</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1449个</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可持续影响</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新引进人才数量</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200人</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301人</w:t>
            </w:r>
          </w:p>
        </w:tc>
      </w:tr>
      <w:tr>
        <w:tblPrEx>
          <w:tblCellMar>
            <w:top w:w="0" w:type="dxa"/>
            <w:left w:w="108" w:type="dxa"/>
            <w:bottom w:w="0" w:type="dxa"/>
            <w:right w:w="108" w:type="dxa"/>
          </w:tblCellMar>
        </w:tblPrEx>
        <w:trPr>
          <w:trHeight w:val="68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可持续影响</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新增国家级、部级项目数量</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25个</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724个</w:t>
            </w:r>
          </w:p>
        </w:tc>
      </w:tr>
      <w:tr>
        <w:tblPrEx>
          <w:tblCellMar>
            <w:top w:w="0" w:type="dxa"/>
            <w:left w:w="108" w:type="dxa"/>
            <w:bottom w:w="0" w:type="dxa"/>
            <w:right w:w="108" w:type="dxa"/>
          </w:tblCellMar>
        </w:tblPrEx>
        <w:trPr>
          <w:trHeight w:val="632"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可持续影响</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在国内主流媒体刊载学校专题报道（专版）</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5篇</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5篇</w:t>
            </w:r>
          </w:p>
        </w:tc>
      </w:tr>
      <w:tr>
        <w:tblPrEx>
          <w:tblCellMar>
            <w:top w:w="0" w:type="dxa"/>
            <w:left w:w="108" w:type="dxa"/>
            <w:bottom w:w="0" w:type="dxa"/>
            <w:right w:w="108" w:type="dxa"/>
          </w:tblCellMar>
        </w:tblPrEx>
        <w:trPr>
          <w:trHeight w:val="68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满意度指标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服务对象满意度</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师生满意度</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92%</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sz w:val="21"/>
                <w:szCs w:val="21"/>
              </w:rPr>
            </w:pPr>
            <w:r>
              <w:rPr>
                <w:rFonts w:hint="eastAsia" w:ascii="仿宋" w:hAnsi="仿宋" w:eastAsia="仿宋" w:cs="仿宋"/>
                <w:sz w:val="21"/>
                <w:szCs w:val="21"/>
              </w:rPr>
              <w:t>95%</w:t>
            </w:r>
          </w:p>
        </w:tc>
      </w:tr>
    </w:tbl>
    <w:p>
      <w:pPr>
        <w:bidi w:val="0"/>
      </w:pPr>
      <w:r>
        <w:rPr>
          <w:rFonts w:hint="eastAsia"/>
        </w:rPr>
        <w:t>发现的主要问题、原因及建议：</w:t>
      </w:r>
    </w:p>
    <w:p>
      <w:pPr>
        <w:bidi w:val="0"/>
        <w:rPr>
          <w:rFonts w:hint="eastAsia"/>
        </w:rPr>
      </w:pPr>
      <w:r>
        <w:rPr>
          <w:rFonts w:hint="eastAsia"/>
        </w:rPr>
        <w:t>（1）部分项目设备的采购过程长，招投标流程、审核手续繁琐，招投标流程启动较晚，对项目资金执行进度有较大的影响。</w:t>
      </w:r>
    </w:p>
    <w:p>
      <w:pPr>
        <w:bidi w:val="0"/>
        <w:rPr>
          <w:rFonts w:hint="eastAsia"/>
        </w:rPr>
      </w:pPr>
      <w:r>
        <w:rPr>
          <w:rFonts w:hint="eastAsia"/>
        </w:rPr>
        <w:t>建议：在严格规范的基础上，简化设备采购审批程序，缩短采购时间，加快采购执行力度；及时督促相关科研项目负责人及时开展研究，严格参照海南省、海南大学科研项目经费管理办法，合理、合规、灵活使用经费；多采用线上线下相结合多形式开展相关的采购活动，提前做好采购计划，合理有序完成设备采购工作。</w:t>
      </w:r>
    </w:p>
    <w:p>
      <w:pPr>
        <w:bidi w:val="0"/>
      </w:pPr>
      <w:r>
        <w:rPr>
          <w:rFonts w:hint="eastAsia"/>
        </w:rPr>
        <w:t>（2）教育信息化基础设施支撑水平不足，教育教学模式创新能力有待提升，优质教育资源供给能力有待提高。</w:t>
      </w:r>
    </w:p>
    <w:p>
      <w:pPr>
        <w:bidi w:val="0"/>
        <w:rPr>
          <w:rFonts w:hint="eastAsia"/>
        </w:rPr>
      </w:pPr>
      <w:r>
        <w:rPr>
          <w:rFonts w:hint="eastAsia"/>
        </w:rPr>
        <w:t>建议：将教育信息化作为加快推进教育现代化的重要抓手，积极筹措资金，推进智慧校园建设，打造线上线下融合的教学环境，支撑学校一流学科、一流专业、一流课程建设，重视现代教育技术手段的普及、推广和应用，深化网络学习空间融合应用，借助网络信息平台制定相应的培训办法，改进目前的培训方式和技巧，加快推进教育技术手段的普及、和推广进度。</w:t>
      </w:r>
    </w:p>
    <w:p>
      <w:pPr>
        <w:bidi w:val="0"/>
      </w:pPr>
      <w:r>
        <w:rPr>
          <w:rFonts w:hint="eastAsia"/>
        </w:rPr>
        <w:t>2、支持地方高校改革发展资金项目绩效自评综述</w:t>
      </w:r>
    </w:p>
    <w:p>
      <w:pPr>
        <w:bidi w:val="0"/>
        <w:rPr>
          <w:rFonts w:hint="eastAsia"/>
          <w:lang w:eastAsia="zh-CN"/>
        </w:rPr>
      </w:pPr>
      <w:r>
        <w:rPr>
          <w:rFonts w:hint="eastAsia"/>
        </w:rPr>
        <w:t>根据年初设定的绩效目标，项目自评得分为</w:t>
      </w:r>
      <w:r>
        <w:rPr>
          <w:rFonts w:hint="eastAsia"/>
          <w:lang w:val="en-US" w:eastAsia="zh-CN"/>
        </w:rPr>
        <w:t>97.69</w:t>
      </w:r>
      <w:r>
        <w:rPr>
          <w:rFonts w:hint="eastAsia"/>
        </w:rPr>
        <w:t>分。资金总额年初预算数187,410,000元，全年预算数218,380,000元。其中：财政资金年初预算数187,410,000元，全年预算数218,380,000元</w:t>
      </w:r>
      <w:r>
        <w:rPr>
          <w:rFonts w:hint="eastAsia"/>
          <w:lang w:eastAsia="zh-CN"/>
        </w:rPr>
        <w:t>。</w:t>
      </w:r>
    </w:p>
    <w:p>
      <w:pPr>
        <w:bidi w:val="0"/>
        <w:rPr>
          <w:rFonts w:hint="eastAsia"/>
        </w:rPr>
      </w:pPr>
      <w:r>
        <w:rPr>
          <w:rFonts w:hint="eastAsia"/>
        </w:rPr>
        <w:t>资金总额全年执行数205,520,597.40元，执行率94.11%。</w:t>
      </w:r>
    </w:p>
    <w:p>
      <w:pPr>
        <w:bidi w:val="0"/>
        <w:rPr>
          <w:rFonts w:hint="eastAsia"/>
          <w:lang w:eastAsia="zh-CN"/>
        </w:rPr>
      </w:pPr>
      <w:r>
        <w:rPr>
          <w:rFonts w:hint="eastAsia"/>
        </w:rPr>
        <w:t>其中：财政资金全年执行数205,520,597.40元，执行率94.11%</w:t>
      </w:r>
      <w:r>
        <w:rPr>
          <w:rFonts w:hint="eastAsia"/>
          <w:lang w:eastAsia="zh-CN"/>
        </w:rPr>
        <w:t>。</w:t>
      </w:r>
    </w:p>
    <w:p>
      <w:pPr>
        <w:bidi w:val="0"/>
        <w:rPr>
          <w:rFonts w:hint="eastAsia"/>
        </w:rPr>
      </w:pPr>
      <w:r>
        <w:rPr>
          <w:rFonts w:hint="eastAsia"/>
        </w:rPr>
        <w:t>项目绩效目标完成情况：整体来看，各子项目工作开展有序，完成质量符合预期要求。主要包括：出版自编教材8部、创新创业项目数量100个、购买纸质图书数量达到3.998万册、购置中外文数据库35个、聘请冬季小</w:t>
      </w:r>
      <w:r>
        <w:rPr>
          <w:rFonts w:hint="eastAsia"/>
          <w:lang w:val="en-US" w:eastAsia="zh-CN"/>
        </w:rPr>
        <w:t>学期</w:t>
      </w:r>
      <w:r>
        <w:rPr>
          <w:rFonts w:hint="eastAsia"/>
        </w:rPr>
        <w:t>专家75位、招收博士生数量376名、资助金课及商务英语课程数量101门、发表SSCI、SCI、国际期刊论文689篇、建设及改造实验室数量32个、教学成果培育（省级+国家级）项目12个、立项国家社科基金项目27项、学生获得NIIT软件工程师（DNIIT）国际认证证书人数173人、引进国际优质教育课程资源85门、引进人才人数301人、资助校级本科教学改革项目123个。</w:t>
      </w:r>
    </w:p>
    <w:p>
      <w:pPr>
        <w:bidi w:val="0"/>
      </w:pPr>
      <w:r>
        <w:rPr>
          <w:rFonts w:hint="eastAsia"/>
        </w:rPr>
        <w:t>具体完成情况见表2。</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表2 </w:t>
      </w:r>
      <w:r>
        <w:rPr>
          <w:rFonts w:hint="eastAsia" w:ascii="仿宋" w:hAnsi="仿宋" w:eastAsia="仿宋" w:cs="仿宋"/>
          <w:sz w:val="28"/>
          <w:szCs w:val="28"/>
          <w:lang w:eastAsia="zh-CN"/>
        </w:rPr>
        <w:t>项目绩效自评表</w:t>
      </w:r>
    </w:p>
    <w:tbl>
      <w:tblPr>
        <w:tblStyle w:val="16"/>
        <w:tblW w:w="8160" w:type="dxa"/>
        <w:tblInd w:w="93" w:type="dxa"/>
        <w:tblLayout w:type="autofit"/>
        <w:tblCellMar>
          <w:top w:w="0" w:type="dxa"/>
          <w:left w:w="108" w:type="dxa"/>
          <w:bottom w:w="0" w:type="dxa"/>
          <w:right w:w="108" w:type="dxa"/>
        </w:tblCellMar>
      </w:tblPr>
      <w:tblGrid>
        <w:gridCol w:w="1437"/>
        <w:gridCol w:w="1437"/>
        <w:gridCol w:w="2734"/>
        <w:gridCol w:w="1171"/>
        <w:gridCol w:w="1381"/>
      </w:tblGrid>
      <w:tr>
        <w:tblPrEx>
          <w:tblCellMar>
            <w:top w:w="0" w:type="dxa"/>
            <w:left w:w="108" w:type="dxa"/>
            <w:bottom w:w="0" w:type="dxa"/>
            <w:right w:w="108" w:type="dxa"/>
          </w:tblCellMar>
        </w:tblPrEx>
        <w:trPr>
          <w:trHeight w:val="78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出版自编教材</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7部</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8部</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创新创业项目数量</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20个</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100个</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购置纸质图书</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5万册</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3.998万册</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购置中外文数据库</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25个</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35个</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聘请冬季小学期专家</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80人</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75人</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招收博士生数量</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300人</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376人</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资助金课及商务英语课程数量</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60门</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101门</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发表SSCI、SCI、国际期刊论文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230篇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689篇</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建设及改造实验室数量</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12个</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32个</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教学成果培育（省级+国家级）项目</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9个</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12个</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立项国家社科基金项目</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20项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27项</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学生获得NIIT软件工程师（DNIIT）国际认证证书人数</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100人</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173人</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引进国际优质教育课程资源</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15门</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85门</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引进人才人数</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100人</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301人</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资助校级本科教学改革项目</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80个</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123个</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92%</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p>
        </w:tc>
      </w:tr>
    </w:tbl>
    <w:p>
      <w:pPr>
        <w:bidi w:val="0"/>
      </w:pPr>
      <w:r>
        <w:rPr>
          <w:rFonts w:hint="eastAsia"/>
        </w:rPr>
        <w:t>发现的主要问题、原因及建议：</w:t>
      </w:r>
    </w:p>
    <w:p>
      <w:pPr>
        <w:bidi w:val="0"/>
        <w:rPr>
          <w:rFonts w:hint="eastAsia"/>
        </w:rPr>
      </w:pPr>
      <w:r>
        <w:rPr>
          <w:rFonts w:hint="eastAsia"/>
        </w:rPr>
        <w:t>（1）实验教学信息化程度低，师生的实验教学程度不符合学校发展要求，师生缺乏信息化课程。</w:t>
      </w:r>
    </w:p>
    <w:p>
      <w:pPr>
        <w:bidi w:val="0"/>
        <w:rPr>
          <w:rFonts w:hint="eastAsia"/>
        </w:rPr>
      </w:pPr>
      <w:r>
        <w:rPr>
          <w:rFonts w:hint="eastAsia"/>
        </w:rPr>
        <w:t>建议：加强实验教学的信息化管理。建立实验全程智能管理系统，建设网络化教学资源库，逐步实现网上辅助教学（示范实验教学演示系统）和实验室管理的规范化、网络化、时效化，实现课堂实验教学远程监控与督导，提高实验教学平台管理水平；完善实验教学质量监控体系，提高实验质量，完善实验教学环节质量监控体系和质量标准，加强对实验教学的质量监控和对指导教师的教学质量考评。</w:t>
      </w:r>
    </w:p>
    <w:p>
      <w:pPr>
        <w:bidi w:val="0"/>
        <w:rPr>
          <w:rFonts w:hint="eastAsia"/>
        </w:rPr>
      </w:pPr>
      <w:r>
        <w:rPr>
          <w:rFonts w:hint="eastAsia"/>
        </w:rPr>
        <w:t>（2）部分项目设备的采购过程长，招投标流程、审核手续繁琐，招投标流程启动较晚，对项目资金执行进度有较大的影响。</w:t>
      </w:r>
    </w:p>
    <w:p>
      <w:pPr>
        <w:bidi w:val="0"/>
        <w:rPr>
          <w:rFonts w:hint="eastAsia"/>
        </w:rPr>
      </w:pPr>
      <w:r>
        <w:rPr>
          <w:rFonts w:hint="eastAsia"/>
        </w:rPr>
        <w:t>建议：在严格规范的基础上，简化设备采购审批程序，缩短采购时间，加快采购执行力度；及时督促相关科研项目负责人及时开展研究，严格参照海南省、海南大学科研项目经费管理办法，合理、合规、灵活使用经费；多采用线上线下相结合多形式开展相关的采购活动，提前做好采购计划，合理有序完成设备采购工作。</w:t>
      </w:r>
    </w:p>
    <w:p>
      <w:pPr>
        <w:bidi w:val="0"/>
      </w:pPr>
      <w:r>
        <w:rPr>
          <w:rFonts w:hint="eastAsia"/>
        </w:rPr>
        <w:t>3、学生资助补助经费项目绩效自评综述</w:t>
      </w:r>
    </w:p>
    <w:p>
      <w:pPr>
        <w:bidi w:val="0"/>
        <w:rPr>
          <w:rFonts w:hint="eastAsia"/>
          <w:lang w:eastAsia="zh-CN"/>
        </w:rPr>
      </w:pPr>
      <w:r>
        <w:rPr>
          <w:rFonts w:hint="eastAsia"/>
        </w:rPr>
        <w:t>根据年初设定的绩效目标，项目自评得分为</w:t>
      </w:r>
      <w:r>
        <w:rPr>
          <w:rFonts w:hint="eastAsia"/>
          <w:lang w:val="en-US" w:eastAsia="zh-CN"/>
        </w:rPr>
        <w:t>99.79</w:t>
      </w:r>
      <w:r>
        <w:rPr>
          <w:rFonts w:hint="eastAsia"/>
        </w:rPr>
        <w:t>分。项目资金总额年初预算数115,767,000元，全年预算数126,671,000元。其中：财政资金年初预算数115,767,000元，全年预算数126,671,000元</w:t>
      </w:r>
      <w:r>
        <w:rPr>
          <w:rFonts w:hint="eastAsia"/>
          <w:lang w:eastAsia="zh-CN"/>
        </w:rPr>
        <w:t>。</w:t>
      </w:r>
    </w:p>
    <w:p>
      <w:pPr>
        <w:bidi w:val="0"/>
        <w:rPr>
          <w:rFonts w:hint="eastAsia"/>
        </w:rPr>
      </w:pPr>
      <w:r>
        <w:rPr>
          <w:rFonts w:hint="eastAsia"/>
        </w:rPr>
        <w:t>资金总额全年执行数124,040,581.24元，</w:t>
      </w:r>
      <w:r>
        <w:rPr>
          <w:rFonts w:hint="eastAsia"/>
          <w:lang w:val="en-US" w:eastAsia="zh-CN"/>
        </w:rPr>
        <w:t>执</w:t>
      </w:r>
      <w:r>
        <w:rPr>
          <w:rFonts w:hint="eastAsia"/>
        </w:rPr>
        <w:t>行率97.92%。</w:t>
      </w:r>
    </w:p>
    <w:p>
      <w:pPr>
        <w:bidi w:val="0"/>
        <w:rPr>
          <w:rFonts w:hint="eastAsia"/>
          <w:lang w:eastAsia="zh-CN"/>
        </w:rPr>
      </w:pPr>
      <w:r>
        <w:rPr>
          <w:rFonts w:hint="eastAsia"/>
        </w:rPr>
        <w:t>其中：财政资金全年执行数124,040,581.24元，执行率97.92%</w:t>
      </w:r>
      <w:r>
        <w:rPr>
          <w:rFonts w:hint="eastAsia"/>
          <w:lang w:eastAsia="zh-CN"/>
        </w:rPr>
        <w:t>。</w:t>
      </w:r>
    </w:p>
    <w:p>
      <w:pPr>
        <w:bidi w:val="0"/>
        <w:rPr>
          <w:rFonts w:hint="eastAsia"/>
        </w:rPr>
      </w:pPr>
      <w:r>
        <w:rPr>
          <w:rFonts w:hint="eastAsia"/>
        </w:rPr>
        <w:t>项目绩效目标完成情况：本项目产出指标为按时发放率≥90%，实际均在上级文件要求的日期前发放，按时率为100%，达到预期产出指标；在效益指标上，预期资助学生10000人，实际资助学生12553人，达到预期效益指标；在满意度指标上，受资助学生满意达到92%以上，达到预期满意度指标。</w:t>
      </w:r>
    </w:p>
    <w:p>
      <w:pPr>
        <w:bidi w:val="0"/>
      </w:pPr>
      <w:r>
        <w:rPr>
          <w:rFonts w:hint="eastAsia"/>
        </w:rPr>
        <w:t>具体完成情况见表3。</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表3 </w:t>
      </w:r>
      <w:r>
        <w:rPr>
          <w:rFonts w:hint="eastAsia" w:ascii="仿宋" w:hAnsi="仿宋" w:eastAsia="仿宋" w:cs="仿宋"/>
          <w:sz w:val="28"/>
          <w:szCs w:val="28"/>
          <w:lang w:eastAsia="zh-CN"/>
        </w:rPr>
        <w:t>项目绩效自评表</w:t>
      </w:r>
    </w:p>
    <w:tbl>
      <w:tblPr>
        <w:tblStyle w:val="16"/>
        <w:tblW w:w="47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1778"/>
        <w:gridCol w:w="1741"/>
        <w:gridCol w:w="1507"/>
        <w:gridCol w:w="1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957"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1094"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071"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927"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948"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57"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094"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1071"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按时发放率</w:t>
            </w:r>
          </w:p>
        </w:tc>
        <w:tc>
          <w:tcPr>
            <w:tcW w:w="927"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90%</w:t>
            </w:r>
          </w:p>
        </w:tc>
        <w:tc>
          <w:tcPr>
            <w:tcW w:w="948"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957"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094"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经济效益指标</w:t>
            </w:r>
          </w:p>
        </w:tc>
        <w:tc>
          <w:tcPr>
            <w:tcW w:w="1071"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受资助人数</w:t>
            </w:r>
          </w:p>
        </w:tc>
        <w:tc>
          <w:tcPr>
            <w:tcW w:w="927"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10000人</w:t>
            </w:r>
          </w:p>
        </w:tc>
        <w:tc>
          <w:tcPr>
            <w:tcW w:w="948"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12553人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957"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满意度指标</w:t>
            </w:r>
          </w:p>
        </w:tc>
        <w:tc>
          <w:tcPr>
            <w:tcW w:w="1094"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服务对象满意度指标</w:t>
            </w:r>
          </w:p>
        </w:tc>
        <w:tc>
          <w:tcPr>
            <w:tcW w:w="1071"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受资学生满意度</w:t>
            </w:r>
          </w:p>
        </w:tc>
        <w:tc>
          <w:tcPr>
            <w:tcW w:w="927"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92%</w:t>
            </w:r>
          </w:p>
        </w:tc>
        <w:tc>
          <w:tcPr>
            <w:tcW w:w="948" w:type="pct"/>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p>
        </w:tc>
      </w:tr>
    </w:tbl>
    <w:p>
      <w:pPr>
        <w:bidi w:val="0"/>
        <w:rPr>
          <w:rFonts w:hint="eastAsia"/>
        </w:rPr>
      </w:pPr>
      <w:r>
        <w:rPr>
          <w:rFonts w:hint="eastAsia"/>
        </w:rPr>
        <w:t>发现的主要问题、原因及建议：</w:t>
      </w:r>
    </w:p>
    <w:p>
      <w:pPr>
        <w:bidi w:val="0"/>
        <w:rPr>
          <w:rFonts w:hint="eastAsia"/>
        </w:rPr>
      </w:pPr>
      <w:r>
        <w:rPr>
          <w:rFonts w:hint="eastAsia"/>
        </w:rPr>
        <w:t>1.在项目执行过程中，一定要遵守管理制度，严格按照项目管理制度及财务管理制度实施；同时要制定并执行实施计划，按照项目任务书规定，尽可能制订完善的实施计划，做好任务分解、分工与执行。</w:t>
      </w:r>
    </w:p>
    <w:p>
      <w:pPr>
        <w:bidi w:val="0"/>
        <w:rPr>
          <w:rFonts w:hint="eastAsia"/>
        </w:rPr>
      </w:pPr>
      <w:r>
        <w:rPr>
          <w:rFonts w:hint="eastAsia"/>
        </w:rPr>
        <w:t>2.建议根据国家、海南省相关要求，完善奖助学金管理办法，确保奖助学金评选、发放流程的规范性、准确性、及时性，保障经费执行效率。</w:t>
      </w:r>
    </w:p>
    <w:p>
      <w:pPr>
        <w:bidi w:val="0"/>
        <w:rPr>
          <w:rFonts w:hint="eastAsia"/>
        </w:rPr>
      </w:pPr>
      <w:r>
        <w:rPr>
          <w:rFonts w:hint="eastAsia"/>
        </w:rPr>
        <w:t>4、学生事务补助项目绩效自评综述</w:t>
      </w:r>
    </w:p>
    <w:p>
      <w:pPr>
        <w:bidi w:val="0"/>
      </w:pPr>
      <w:r>
        <w:rPr>
          <w:rFonts w:hint="eastAsia"/>
        </w:rPr>
        <w:t>根据年初设定的绩效目标，项目自评得分为99.9</w:t>
      </w:r>
      <w:r>
        <w:rPr>
          <w:rFonts w:hint="eastAsia"/>
          <w:lang w:val="en-US" w:eastAsia="zh-CN"/>
        </w:rPr>
        <w:t>3</w:t>
      </w:r>
      <w:r>
        <w:rPr>
          <w:rFonts w:hint="eastAsia"/>
        </w:rPr>
        <w:t>分。资金总额年初预算数106,977,500元，资金总额全年预算数106,977,500元。其中：财政资金年初预算数86,977,500元，财政资金全年预算数86,977,500元；专户资金年初预算数20,000,000元，专户资金全年预算数20,000,000元。</w:t>
      </w:r>
    </w:p>
    <w:p>
      <w:pPr>
        <w:bidi w:val="0"/>
      </w:pPr>
      <w:r>
        <w:rPr>
          <w:rFonts w:hint="eastAsia"/>
        </w:rPr>
        <w:t>资金总额全年执行数106,214,184.87元，资金总额执行率99.29%</w:t>
      </w:r>
      <w:r>
        <w:rPr>
          <w:rFonts w:hint="eastAsia"/>
          <w:lang w:eastAsia="zh-CN"/>
        </w:rPr>
        <w:t>。</w:t>
      </w:r>
      <w:r>
        <w:rPr>
          <w:rFonts w:hint="eastAsia"/>
        </w:rPr>
        <w:t>其中：财政资金全年执行数86,351,744.87元，财政资金执行率99.28%；专户资金全年执行数19,862,440元，专户资金执行率99.31%。</w:t>
      </w:r>
    </w:p>
    <w:p>
      <w:pPr>
        <w:bidi w:val="0"/>
        <w:rPr>
          <w:rFonts w:hint="eastAsia"/>
          <w:lang w:eastAsia="zh-CN"/>
        </w:rPr>
      </w:pPr>
      <w:r>
        <w:rPr>
          <w:rFonts w:hint="eastAsia"/>
        </w:rPr>
        <w:t>项目绩效目标完成情况：本项目中，研究生奖补助学类项目目标资助在校研究生8943人，实际资助10485人次；目标资助在校本科生33000人，实际资助40416人，达到预期产出指标。本项目中，预期奖补助金执行率92%，实际执行率92.13%，达到预期目标。本项目预期奖补助学生满意度95%，实际受资助学生满意度98%以上，达到预期目标</w:t>
      </w:r>
      <w:r>
        <w:rPr>
          <w:rFonts w:hint="eastAsia"/>
          <w:lang w:eastAsia="zh-CN"/>
        </w:rPr>
        <w:t>。</w:t>
      </w:r>
    </w:p>
    <w:p>
      <w:pPr>
        <w:bidi w:val="0"/>
      </w:pPr>
      <w:r>
        <w:rPr>
          <w:rFonts w:hint="eastAsia"/>
        </w:rPr>
        <w:t>具体完成情况见表4。</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表4 </w:t>
      </w:r>
      <w:r>
        <w:rPr>
          <w:rFonts w:hint="eastAsia" w:ascii="仿宋" w:hAnsi="仿宋" w:eastAsia="仿宋" w:cs="仿宋"/>
          <w:sz w:val="28"/>
          <w:szCs w:val="28"/>
          <w:lang w:eastAsia="zh-CN"/>
        </w:rPr>
        <w:t>项目绩效自评表</w:t>
      </w:r>
    </w:p>
    <w:tbl>
      <w:tblPr>
        <w:tblStyle w:val="16"/>
        <w:tblpPr w:leftFromText="180" w:rightFromText="180" w:vertAnchor="text" w:tblpXSpec="center" w:tblpY="1"/>
        <w:tblOverlap w:val="never"/>
        <w:tblW w:w="8311" w:type="dxa"/>
        <w:jc w:val="center"/>
        <w:tblLayout w:type="autofit"/>
        <w:tblCellMar>
          <w:top w:w="0" w:type="dxa"/>
          <w:left w:w="108" w:type="dxa"/>
          <w:bottom w:w="0" w:type="dxa"/>
          <w:right w:w="108" w:type="dxa"/>
        </w:tblCellMar>
      </w:tblPr>
      <w:tblGrid>
        <w:gridCol w:w="1493"/>
        <w:gridCol w:w="1635"/>
        <w:gridCol w:w="2033"/>
        <w:gridCol w:w="1590"/>
        <w:gridCol w:w="1560"/>
      </w:tblGrid>
      <w:tr>
        <w:tblPrEx>
          <w:tblCellMar>
            <w:top w:w="0" w:type="dxa"/>
            <w:left w:w="108" w:type="dxa"/>
            <w:bottom w:w="0" w:type="dxa"/>
            <w:right w:w="108" w:type="dxa"/>
          </w:tblCellMar>
        </w:tblPrEx>
        <w:trPr>
          <w:trHeight w:val="597" w:hRule="atLeast"/>
          <w:jc w:val="center"/>
        </w:trPr>
        <w:tc>
          <w:tcPr>
            <w:tcW w:w="1493"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1635"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2033" w:type="dxa"/>
            <w:tcBorders>
              <w:top w:val="single" w:color="auto" w:sz="4" w:space="0"/>
              <w:left w:val="nil"/>
              <w:bottom w:val="single" w:color="auto" w:sz="4" w:space="0"/>
              <w:right w:val="single" w:color="000000"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1590"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1560"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567" w:hRule="atLeast"/>
          <w:jc w:val="center"/>
        </w:trPr>
        <w:tc>
          <w:tcPr>
            <w:tcW w:w="1493"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63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033"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资助在校本科生</w:t>
            </w:r>
          </w:p>
        </w:tc>
        <w:tc>
          <w:tcPr>
            <w:tcW w:w="1590"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33000人</w:t>
            </w:r>
          </w:p>
        </w:tc>
        <w:tc>
          <w:tcPr>
            <w:tcW w:w="156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40416人</w:t>
            </w:r>
          </w:p>
        </w:tc>
      </w:tr>
      <w:tr>
        <w:tblPrEx>
          <w:tblCellMar>
            <w:top w:w="0" w:type="dxa"/>
            <w:left w:w="108" w:type="dxa"/>
            <w:bottom w:w="0" w:type="dxa"/>
            <w:right w:w="108" w:type="dxa"/>
          </w:tblCellMar>
        </w:tblPrEx>
        <w:trPr>
          <w:trHeight w:val="637" w:hRule="atLeast"/>
          <w:jc w:val="center"/>
        </w:trPr>
        <w:tc>
          <w:tcPr>
            <w:tcW w:w="1493"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63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033"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资助在校研究生</w:t>
            </w:r>
          </w:p>
        </w:tc>
        <w:tc>
          <w:tcPr>
            <w:tcW w:w="1590"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8943人</w:t>
            </w:r>
          </w:p>
        </w:tc>
        <w:tc>
          <w:tcPr>
            <w:tcW w:w="156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10485人</w:t>
            </w:r>
          </w:p>
        </w:tc>
      </w:tr>
      <w:tr>
        <w:tblPrEx>
          <w:tblCellMar>
            <w:top w:w="0" w:type="dxa"/>
            <w:left w:w="108" w:type="dxa"/>
            <w:bottom w:w="0" w:type="dxa"/>
            <w:right w:w="108" w:type="dxa"/>
          </w:tblCellMar>
        </w:tblPrEx>
        <w:trPr>
          <w:trHeight w:val="636" w:hRule="atLeast"/>
          <w:jc w:val="center"/>
        </w:trPr>
        <w:tc>
          <w:tcPr>
            <w:tcW w:w="1493"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63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2033"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奖补助金执行率</w:t>
            </w:r>
          </w:p>
        </w:tc>
        <w:tc>
          <w:tcPr>
            <w:tcW w:w="1590"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92%</w:t>
            </w:r>
          </w:p>
        </w:tc>
        <w:tc>
          <w:tcPr>
            <w:tcW w:w="156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92.13%</w:t>
            </w:r>
          </w:p>
        </w:tc>
      </w:tr>
      <w:tr>
        <w:tblPrEx>
          <w:tblCellMar>
            <w:top w:w="0" w:type="dxa"/>
            <w:left w:w="108" w:type="dxa"/>
            <w:bottom w:w="0" w:type="dxa"/>
            <w:right w:w="108" w:type="dxa"/>
          </w:tblCellMar>
        </w:tblPrEx>
        <w:trPr>
          <w:trHeight w:val="631" w:hRule="atLeast"/>
          <w:jc w:val="center"/>
        </w:trPr>
        <w:tc>
          <w:tcPr>
            <w:tcW w:w="1493"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满意度指标</w:t>
            </w:r>
          </w:p>
        </w:tc>
        <w:tc>
          <w:tcPr>
            <w:tcW w:w="163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w:t>
            </w:r>
          </w:p>
        </w:tc>
        <w:tc>
          <w:tcPr>
            <w:tcW w:w="2033"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奖补助学生满意度</w:t>
            </w:r>
          </w:p>
        </w:tc>
        <w:tc>
          <w:tcPr>
            <w:tcW w:w="1590"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p>
        </w:tc>
        <w:tc>
          <w:tcPr>
            <w:tcW w:w="156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p>
        </w:tc>
      </w:tr>
    </w:tbl>
    <w:p>
      <w:pPr>
        <w:bidi w:val="0"/>
      </w:pPr>
      <w:r>
        <w:rPr>
          <w:rFonts w:hint="eastAsia"/>
        </w:rPr>
        <w:t>发现的主要问题、原因及建议：</w:t>
      </w:r>
    </w:p>
    <w:p>
      <w:pPr>
        <w:bidi w:val="0"/>
      </w:pPr>
      <w:r>
        <w:rPr>
          <w:rFonts w:hint="eastAsia"/>
        </w:rPr>
        <w:t>（1）学生事务补助相关管理办法不完善，师生对政策了解程度不深。</w:t>
      </w:r>
    </w:p>
    <w:p>
      <w:pPr>
        <w:bidi w:val="0"/>
      </w:pPr>
      <w:r>
        <w:rPr>
          <w:rFonts w:hint="eastAsia"/>
        </w:rPr>
        <w:t>建议：根据国家、海南省相关要求，结合学院实际，完善事务补助管理办法，健全认定流程和审批发放流程，积极组织师生全面学习国家和省里相关政策情况，确保经费发放流程的规范性、准确性、及时性，保障经费执行效率。</w:t>
      </w:r>
    </w:p>
    <w:p>
      <w:pPr>
        <w:bidi w:val="0"/>
      </w:pPr>
      <w:r>
        <w:rPr>
          <w:rFonts w:hint="eastAsia"/>
        </w:rPr>
        <w:t>（2）学生事务补助项目责任需进一步细化，建立档案管理，确保考核指标如期完成。</w:t>
      </w:r>
    </w:p>
    <w:p>
      <w:pPr>
        <w:bidi w:val="0"/>
      </w:pPr>
      <w:r>
        <w:rPr>
          <w:rFonts w:hint="eastAsia"/>
        </w:rPr>
        <w:t>建议：按照工作任务实施目标进行分解，并根据团队成员的职能进行任务分解和分工，加强领导，列明责任清单，丰富补助内容，把项目建设内容和完成时限等要素分解细化，确保高质量完成目标任务。</w:t>
      </w:r>
    </w:p>
    <w:p>
      <w:pPr>
        <w:bidi w:val="0"/>
        <w:rPr>
          <w:rFonts w:hint="eastAsia"/>
        </w:rPr>
      </w:pPr>
      <w:r>
        <w:rPr>
          <w:rFonts w:hint="eastAsia"/>
        </w:rPr>
        <w:t>5、海南大学密码科研实验环境平台建设项目绩效自评综述</w:t>
      </w:r>
    </w:p>
    <w:p>
      <w:pPr>
        <w:bidi w:val="0"/>
        <w:rPr>
          <w:rFonts w:hint="eastAsia"/>
          <w:lang w:eastAsia="zh-CN"/>
        </w:rPr>
      </w:pPr>
      <w:r>
        <w:rPr>
          <w:rFonts w:hint="eastAsia"/>
        </w:rPr>
        <w:t>根据年初设定的绩效目标，项目自评得分为</w:t>
      </w:r>
      <w:r>
        <w:rPr>
          <w:rFonts w:hint="eastAsia"/>
          <w:lang w:val="en-US" w:eastAsia="zh-CN"/>
        </w:rPr>
        <w:t>90.79</w:t>
      </w:r>
      <w:r>
        <w:rPr>
          <w:rFonts w:hint="eastAsia"/>
        </w:rPr>
        <w:t>分。资金总额年初预算数47,000,000元，资金总额全年预算数17,248,231元。其中：财政资金年初预算数47,000,000元，财政资金全年预算数17,248,231元</w:t>
      </w:r>
      <w:r>
        <w:rPr>
          <w:rFonts w:hint="eastAsia"/>
          <w:lang w:eastAsia="zh-CN"/>
        </w:rPr>
        <w:t>。</w:t>
      </w:r>
    </w:p>
    <w:p>
      <w:pPr>
        <w:bidi w:val="0"/>
        <w:rPr>
          <w:rFonts w:hint="eastAsia"/>
          <w:lang w:eastAsia="zh-CN"/>
        </w:rPr>
      </w:pPr>
      <w:r>
        <w:rPr>
          <w:rFonts w:hint="eastAsia"/>
        </w:rPr>
        <w:t>资金总额全年执行数</w:t>
      </w:r>
      <w:r>
        <w:t>1</w:t>
      </w:r>
      <w:r>
        <w:rPr>
          <w:rFonts w:hint="eastAsia"/>
        </w:rPr>
        <w:t>,</w:t>
      </w:r>
      <w:r>
        <w:t>362</w:t>
      </w:r>
      <w:r>
        <w:rPr>
          <w:rFonts w:hint="eastAsia"/>
        </w:rPr>
        <w:t>,</w:t>
      </w:r>
      <w:r>
        <w:t>000</w:t>
      </w:r>
      <w:r>
        <w:rPr>
          <w:rFonts w:hint="eastAsia"/>
        </w:rPr>
        <w:t>元，执行率</w:t>
      </w:r>
      <w:r>
        <w:t>7.9</w:t>
      </w:r>
      <w:r>
        <w:rPr>
          <w:rFonts w:hint="eastAsia"/>
        </w:rPr>
        <w:t>%。其中：财政资金全年执行数</w:t>
      </w:r>
      <w:r>
        <w:t>1</w:t>
      </w:r>
      <w:r>
        <w:rPr>
          <w:rFonts w:hint="eastAsia"/>
        </w:rPr>
        <w:t>,</w:t>
      </w:r>
      <w:r>
        <w:t>362</w:t>
      </w:r>
      <w:r>
        <w:rPr>
          <w:rFonts w:hint="eastAsia"/>
        </w:rPr>
        <w:t>,</w:t>
      </w:r>
      <w:r>
        <w:t>000</w:t>
      </w:r>
      <w:r>
        <w:rPr>
          <w:rFonts w:hint="eastAsia"/>
        </w:rPr>
        <w:t>元，执行率</w:t>
      </w:r>
      <w:r>
        <w:t>7.9</w:t>
      </w:r>
      <w:r>
        <w:rPr>
          <w:rFonts w:hint="eastAsia"/>
        </w:rPr>
        <w:t>%</w:t>
      </w:r>
      <w:r>
        <w:rPr>
          <w:rFonts w:hint="eastAsia"/>
          <w:lang w:eastAsia="zh-CN"/>
        </w:rPr>
        <w:t>。</w:t>
      </w:r>
    </w:p>
    <w:p>
      <w:pPr>
        <w:bidi w:val="0"/>
      </w:pPr>
      <w:r>
        <w:rPr>
          <w:rFonts w:hint="eastAsia"/>
        </w:rPr>
        <w:t>项目绩效目标完成情况：基于密码科研环境平台设计、建设内容、未来人才培养和社会服务及科研支撑能力，密码学院已获批国家级项目2项，培养研究生14人，开展平台建设专家指导座谈会1次。项目正在按预期目标推进中，符合相关规范要求，实施情况良好。</w:t>
      </w:r>
    </w:p>
    <w:p>
      <w:pPr>
        <w:bidi w:val="0"/>
      </w:pPr>
      <w:r>
        <w:rPr>
          <w:rFonts w:hint="eastAsia"/>
        </w:rPr>
        <w:t>具体完成情况见表5。</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表5 </w:t>
      </w:r>
      <w:r>
        <w:rPr>
          <w:rFonts w:hint="eastAsia" w:ascii="仿宋" w:hAnsi="仿宋" w:eastAsia="仿宋" w:cs="仿宋"/>
          <w:sz w:val="28"/>
          <w:szCs w:val="28"/>
          <w:lang w:eastAsia="zh-CN"/>
        </w:rPr>
        <w:t>项目绩效自评表</w:t>
      </w:r>
    </w:p>
    <w:tbl>
      <w:tblPr>
        <w:tblStyle w:val="16"/>
        <w:tblW w:w="8409" w:type="dxa"/>
        <w:tblInd w:w="113" w:type="dxa"/>
        <w:tblLayout w:type="autofit"/>
        <w:tblCellMar>
          <w:top w:w="0" w:type="dxa"/>
          <w:left w:w="108" w:type="dxa"/>
          <w:bottom w:w="0" w:type="dxa"/>
          <w:right w:w="108" w:type="dxa"/>
        </w:tblCellMar>
      </w:tblPr>
      <w:tblGrid>
        <w:gridCol w:w="1483"/>
        <w:gridCol w:w="1798"/>
        <w:gridCol w:w="1936"/>
        <w:gridCol w:w="1596"/>
        <w:gridCol w:w="1596"/>
      </w:tblGrid>
      <w:tr>
        <w:tblPrEx>
          <w:tblCellMar>
            <w:top w:w="0" w:type="dxa"/>
            <w:left w:w="108" w:type="dxa"/>
            <w:bottom w:w="0" w:type="dxa"/>
            <w:right w:w="108" w:type="dxa"/>
          </w:tblCellMar>
        </w:tblPrEx>
        <w:trPr>
          <w:trHeight w:val="720" w:hRule="atLeast"/>
        </w:trPr>
        <w:tc>
          <w:tcPr>
            <w:tcW w:w="1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17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9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23" w:hRule="atLeast"/>
        </w:trPr>
        <w:tc>
          <w:tcPr>
            <w:tcW w:w="1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7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19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国家级项目</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2</w:t>
            </w:r>
            <w:r>
              <w:rPr>
                <w:rFonts w:hint="eastAsia" w:ascii="仿宋" w:hAnsi="仿宋" w:eastAsia="仿宋" w:cs="仿宋"/>
                <w:sz w:val="21"/>
                <w:szCs w:val="21"/>
                <w:lang w:val="en-US" w:eastAsia="zh-CN"/>
              </w:rPr>
              <w:t>项</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2</w:t>
            </w:r>
            <w:r>
              <w:rPr>
                <w:rFonts w:hint="eastAsia" w:ascii="仿宋" w:hAnsi="仿宋" w:eastAsia="仿宋" w:cs="仿宋"/>
                <w:sz w:val="21"/>
                <w:szCs w:val="21"/>
                <w:lang w:val="en-US" w:eastAsia="zh-CN"/>
              </w:rPr>
              <w:t>项</w:t>
            </w:r>
          </w:p>
        </w:tc>
      </w:tr>
      <w:tr>
        <w:tblPrEx>
          <w:tblCellMar>
            <w:top w:w="0" w:type="dxa"/>
            <w:left w:w="108" w:type="dxa"/>
            <w:bottom w:w="0" w:type="dxa"/>
            <w:right w:w="108" w:type="dxa"/>
          </w:tblCellMar>
        </w:tblPrEx>
        <w:trPr>
          <w:trHeight w:val="661" w:hRule="atLeast"/>
        </w:trPr>
        <w:tc>
          <w:tcPr>
            <w:tcW w:w="1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7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19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相关培训班</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2</w:t>
            </w:r>
            <w:r>
              <w:rPr>
                <w:rFonts w:hint="eastAsia" w:ascii="仿宋" w:hAnsi="仿宋" w:eastAsia="仿宋" w:cs="仿宋"/>
                <w:sz w:val="21"/>
                <w:szCs w:val="21"/>
                <w:lang w:val="en-US" w:eastAsia="zh-CN"/>
              </w:rPr>
              <w:t>个</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0</w:t>
            </w:r>
            <w:r>
              <w:rPr>
                <w:rFonts w:hint="eastAsia" w:ascii="仿宋" w:hAnsi="仿宋" w:eastAsia="仿宋" w:cs="仿宋"/>
                <w:sz w:val="21"/>
                <w:szCs w:val="21"/>
                <w:lang w:val="en-US" w:eastAsia="zh-CN"/>
              </w:rPr>
              <w:t>个</w:t>
            </w:r>
          </w:p>
        </w:tc>
      </w:tr>
      <w:tr>
        <w:tblPrEx>
          <w:tblCellMar>
            <w:top w:w="0" w:type="dxa"/>
            <w:left w:w="108" w:type="dxa"/>
            <w:bottom w:w="0" w:type="dxa"/>
            <w:right w:w="108" w:type="dxa"/>
          </w:tblCellMar>
        </w:tblPrEx>
        <w:trPr>
          <w:trHeight w:val="642" w:hRule="atLeast"/>
        </w:trPr>
        <w:tc>
          <w:tcPr>
            <w:tcW w:w="1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7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19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培养硕士生数量</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10人</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14人</w:t>
            </w:r>
          </w:p>
        </w:tc>
      </w:tr>
    </w:tbl>
    <w:p>
      <w:pPr>
        <w:bidi w:val="0"/>
      </w:pPr>
      <w:r>
        <w:rPr>
          <w:rFonts w:hint="eastAsia"/>
        </w:rPr>
        <w:t>发现的主要问题、原因及建议：</w:t>
      </w:r>
    </w:p>
    <w:p>
      <w:pPr>
        <w:bidi w:val="0"/>
      </w:pPr>
      <w:r>
        <w:rPr>
          <w:rFonts w:hint="eastAsia"/>
        </w:rPr>
        <w:t>继续</w:t>
      </w:r>
      <w:r>
        <w:t>加快项目</w:t>
      </w:r>
      <w:r>
        <w:rPr>
          <w:rFonts w:hint="eastAsia"/>
        </w:rPr>
        <w:t>建设</w:t>
      </w:r>
      <w:r>
        <w:t>的推进</w:t>
      </w:r>
      <w:r>
        <w:rPr>
          <w:rFonts w:hint="eastAsia"/>
        </w:rPr>
        <w:t>，严格落实中央八项规定和财务管理制度，强化预算管理，加强报销审核，不断提高各项经济活动的规范性和科学性，确保财政资金使用安全有效。</w:t>
      </w:r>
    </w:p>
    <w:p>
      <w:pPr>
        <w:bidi w:val="0"/>
      </w:pPr>
      <w:r>
        <w:rPr>
          <w:rFonts w:hint="eastAsia"/>
        </w:rPr>
        <w:t>6、高等学校发展资金项目绩效自评综述</w:t>
      </w:r>
    </w:p>
    <w:p>
      <w:pPr>
        <w:bidi w:val="0"/>
        <w:rPr>
          <w:rFonts w:hint="eastAsia"/>
          <w:lang w:eastAsia="zh-CN"/>
        </w:rPr>
      </w:pPr>
      <w:r>
        <w:rPr>
          <w:rFonts w:hint="eastAsia"/>
        </w:rPr>
        <w:t>根据年初设定的绩效目标，项目自评得分为</w:t>
      </w:r>
      <w:r>
        <w:rPr>
          <w:rFonts w:hint="eastAsia"/>
          <w:lang w:val="en-US" w:eastAsia="zh-CN"/>
        </w:rPr>
        <w:t>98.94</w:t>
      </w:r>
      <w:r>
        <w:rPr>
          <w:rFonts w:hint="eastAsia"/>
        </w:rPr>
        <w:t>分。资金总额年初预算数19,335,000元，全年预算数26,879,600元。其中</w:t>
      </w:r>
      <w:r>
        <w:t>：</w:t>
      </w:r>
      <w:r>
        <w:rPr>
          <w:rFonts w:hint="eastAsia"/>
        </w:rPr>
        <w:t>财政资金年初预算数19,335,000元，全年预算数26,879,600元</w:t>
      </w:r>
      <w:r>
        <w:rPr>
          <w:rFonts w:hint="eastAsia"/>
          <w:lang w:eastAsia="zh-CN"/>
        </w:rPr>
        <w:t>。</w:t>
      </w:r>
    </w:p>
    <w:p>
      <w:pPr>
        <w:bidi w:val="0"/>
      </w:pPr>
      <w:r>
        <w:rPr>
          <w:rFonts w:hint="eastAsia"/>
        </w:rPr>
        <w:t>资金总额全年执行数24,016,710.77元，执行率89.35%。</w:t>
      </w:r>
    </w:p>
    <w:p>
      <w:pPr>
        <w:bidi w:val="0"/>
        <w:rPr>
          <w:rFonts w:hint="eastAsia"/>
          <w:lang w:eastAsia="zh-CN"/>
        </w:rPr>
      </w:pPr>
      <w:r>
        <w:rPr>
          <w:rFonts w:hint="eastAsia"/>
        </w:rPr>
        <w:t>其中：财政资金全年执行数24,016,710.77元，执行率89.35</w:t>
      </w:r>
      <w:r>
        <w:t>%</w:t>
      </w:r>
      <w:r>
        <w:rPr>
          <w:rFonts w:hint="eastAsia"/>
          <w:lang w:eastAsia="zh-CN"/>
        </w:rPr>
        <w:t>。</w:t>
      </w:r>
    </w:p>
    <w:p>
      <w:pPr>
        <w:bidi w:val="0"/>
      </w:pPr>
      <w:r>
        <w:rPr>
          <w:rFonts w:hint="eastAsia"/>
        </w:rPr>
        <w:t>项目绩效目标完成情况：该项目的实施提升了我校课程质量，使教研教改工作持续深化推动，进一步提升教学能力。大学生创新创业活动的开展，响应创新创业的时代号召，提升了大学生创新能力，带动一批优秀项目成果。项目的实施也对学校学科建设起到关键的作用，提高学科整体水平。整体而言，该项目成功完成了年度目标，支持高校本科教育教学改革研究课题数量53个，支持国家级一流本科专业建设数量11个，支持学科骨干参加国内外学术交流和培训人数30人，发表高水平学术论文100篇，获得省部级及以上教学、科研奖励2项，服务对象满意度95%。</w:t>
      </w:r>
    </w:p>
    <w:p>
      <w:pPr>
        <w:bidi w:val="0"/>
      </w:pPr>
      <w:r>
        <w:rPr>
          <w:rFonts w:hint="eastAsia"/>
        </w:rPr>
        <w:t>具体完成情况见表6。</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表6 </w:t>
      </w:r>
      <w:r>
        <w:rPr>
          <w:rFonts w:hint="eastAsia" w:ascii="仿宋" w:hAnsi="仿宋" w:eastAsia="仿宋" w:cs="仿宋"/>
          <w:sz w:val="28"/>
          <w:szCs w:val="28"/>
          <w:lang w:eastAsia="zh-CN"/>
        </w:rPr>
        <w:t>项目绩效自评表</w:t>
      </w:r>
    </w:p>
    <w:tbl>
      <w:tblPr>
        <w:tblStyle w:val="16"/>
        <w:tblW w:w="8783" w:type="dxa"/>
        <w:jc w:val="center"/>
        <w:tblLayout w:type="autofit"/>
        <w:tblCellMar>
          <w:top w:w="0" w:type="dxa"/>
          <w:left w:w="108" w:type="dxa"/>
          <w:bottom w:w="0" w:type="dxa"/>
          <w:right w:w="108" w:type="dxa"/>
        </w:tblCellMar>
      </w:tblPr>
      <w:tblGrid>
        <w:gridCol w:w="1395"/>
        <w:gridCol w:w="1703"/>
        <w:gridCol w:w="2827"/>
        <w:gridCol w:w="1403"/>
        <w:gridCol w:w="1455"/>
      </w:tblGrid>
      <w:tr>
        <w:tblPrEx>
          <w:tblCellMar>
            <w:top w:w="0" w:type="dxa"/>
            <w:left w:w="108" w:type="dxa"/>
            <w:bottom w:w="0" w:type="dxa"/>
            <w:right w:w="108" w:type="dxa"/>
          </w:tblCellMar>
        </w:tblPrEx>
        <w:trPr>
          <w:trHeight w:val="699" w:hRule="atLeast"/>
          <w:jc w:val="center"/>
        </w:trPr>
        <w:tc>
          <w:tcPr>
            <w:tcW w:w="139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170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2827" w:type="dxa"/>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140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1455" w:type="dxa"/>
            <w:tcBorders>
              <w:top w:val="single" w:color="auto" w:sz="4" w:space="0"/>
              <w:left w:val="nil"/>
              <w:bottom w:val="single" w:color="auto" w:sz="4" w:space="0"/>
              <w:right w:val="single" w:color="auto" w:sz="4" w:space="0"/>
            </w:tcBorders>
            <w:shd w:val="clear" w:color="000000" w:fill="auto"/>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支持高校本科教育教学改革研究课题数量</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30</w:t>
            </w:r>
            <w:r>
              <w:rPr>
                <w:rFonts w:hint="eastAsia" w:ascii="仿宋" w:hAnsi="仿宋" w:eastAsia="仿宋" w:cs="仿宋"/>
                <w:sz w:val="21"/>
                <w:szCs w:val="21"/>
                <w:lang w:val="en-US" w:eastAsia="zh-CN"/>
              </w:rPr>
              <w:t>个</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53个</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支持国家级一流本科专业建设数量</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8个</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11个</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支持学科骨干参加国内外学术交流和培训人数</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20人</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30人</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发表高水平学术论文</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80篇</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100篇</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获得省部级及以上教学、科研奖励</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1项</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2项</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满意度指标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p>
        </w:tc>
      </w:tr>
    </w:tbl>
    <w:p>
      <w:pPr>
        <w:bidi w:val="0"/>
      </w:pPr>
      <w:r>
        <w:rPr>
          <w:rFonts w:hint="eastAsia"/>
        </w:rPr>
        <w:t>发现的主要问题、原因及建议：</w:t>
      </w:r>
    </w:p>
    <w:p>
      <w:pPr>
        <w:bidi w:val="0"/>
        <w:rPr>
          <w:rFonts w:hint="eastAsia"/>
        </w:rPr>
      </w:pPr>
      <w:r>
        <w:rPr>
          <w:rFonts w:hint="eastAsia"/>
        </w:rPr>
        <w:t>（1）部分教师对一流课程建设重要性认识不足，课程建设氛围不够浓厚。</w:t>
      </w:r>
    </w:p>
    <w:p>
      <w:pPr>
        <w:bidi w:val="0"/>
        <w:rPr>
          <w:rFonts w:hint="eastAsia"/>
        </w:rPr>
      </w:pPr>
      <w:r>
        <w:rPr>
          <w:rFonts w:hint="eastAsia"/>
        </w:rPr>
        <w:t>建议：加强一流课程建设力度，通过开展专项培训，积极打造高水平课程体系，推出一批建设水平高、教学质量好的精品课程，提升我校本科教育教学水平，提高人才培养质量。</w:t>
      </w:r>
    </w:p>
    <w:p>
      <w:pPr>
        <w:bidi w:val="0"/>
        <w:rPr>
          <w:rFonts w:hint="eastAsia"/>
        </w:rPr>
      </w:pPr>
      <w:r>
        <w:rPr>
          <w:rFonts w:hint="eastAsia"/>
        </w:rPr>
        <w:t>（2）项目实际执行进度比计划进度稍微滞后。</w:t>
      </w:r>
    </w:p>
    <w:p>
      <w:pPr>
        <w:bidi w:val="0"/>
        <w:rPr>
          <w:rFonts w:hint="eastAsia"/>
        </w:rPr>
      </w:pPr>
      <w:r>
        <w:rPr>
          <w:rFonts w:hint="eastAsia"/>
        </w:rPr>
        <w:t>建议：在严格规范经费使用的前提下，简化审批程序，缩短审批时间，切实加快经费使用进度。</w:t>
      </w:r>
    </w:p>
    <w:p>
      <w:pPr>
        <w:bidi w:val="0"/>
      </w:pPr>
      <w:r>
        <w:rPr>
          <w:rFonts w:hint="eastAsia"/>
        </w:rPr>
        <w:t>7、信息系统运行维护</w:t>
      </w:r>
      <w:r>
        <w:rPr>
          <w:rFonts w:hint="eastAsia"/>
          <w:lang w:val="en-US" w:eastAsia="zh-CN"/>
        </w:rPr>
        <w:t>项目</w:t>
      </w:r>
      <w:r>
        <w:rPr>
          <w:rFonts w:hint="eastAsia"/>
        </w:rPr>
        <w:t>绩效自评综述</w:t>
      </w:r>
    </w:p>
    <w:p>
      <w:pPr>
        <w:bidi w:val="0"/>
        <w:rPr>
          <w:rFonts w:hint="eastAsia"/>
          <w:lang w:eastAsia="zh-CN"/>
        </w:rPr>
      </w:pPr>
      <w:r>
        <w:rPr>
          <w:rFonts w:hint="eastAsia"/>
        </w:rPr>
        <w:t>根据年初设定的绩效目标，项目自评得分为</w:t>
      </w:r>
      <w:r>
        <w:rPr>
          <w:rFonts w:hint="eastAsia"/>
          <w:lang w:val="en-US" w:eastAsia="zh-CN"/>
        </w:rPr>
        <w:t>99.99</w:t>
      </w:r>
      <w:r>
        <w:rPr>
          <w:rFonts w:hint="eastAsia"/>
        </w:rPr>
        <w:t>分。资金总额年初预算数</w:t>
      </w:r>
      <w:r>
        <w:t>7</w:t>
      </w:r>
      <w:r>
        <w:rPr>
          <w:rFonts w:hint="eastAsia"/>
          <w:lang w:val="en-US" w:eastAsia="zh-CN"/>
        </w:rPr>
        <w:t>,</w:t>
      </w:r>
      <w:r>
        <w:t>020</w:t>
      </w:r>
      <w:r>
        <w:rPr>
          <w:rFonts w:hint="eastAsia"/>
          <w:lang w:val="en-US" w:eastAsia="zh-CN"/>
        </w:rPr>
        <w:t>,</w:t>
      </w:r>
      <w:r>
        <w:t>200</w:t>
      </w:r>
      <w:r>
        <w:rPr>
          <w:rFonts w:hint="eastAsia"/>
        </w:rPr>
        <w:t>元，资金总额全年预算数</w:t>
      </w:r>
      <w:r>
        <w:t>7</w:t>
      </w:r>
      <w:r>
        <w:rPr>
          <w:rFonts w:hint="eastAsia"/>
          <w:lang w:val="en-US" w:eastAsia="zh-CN"/>
        </w:rPr>
        <w:t>,</w:t>
      </w:r>
      <w:r>
        <w:t>020</w:t>
      </w:r>
      <w:r>
        <w:rPr>
          <w:rFonts w:hint="eastAsia"/>
          <w:lang w:val="en-US" w:eastAsia="zh-CN"/>
        </w:rPr>
        <w:t>,</w:t>
      </w:r>
      <w:r>
        <w:t>200</w:t>
      </w:r>
      <w:r>
        <w:rPr>
          <w:rFonts w:hint="eastAsia"/>
        </w:rPr>
        <w:t>元。其中：财政资金年初预算数</w:t>
      </w:r>
      <w:r>
        <w:t>7</w:t>
      </w:r>
      <w:r>
        <w:rPr>
          <w:rFonts w:hint="eastAsia"/>
          <w:lang w:val="en-US" w:eastAsia="zh-CN"/>
        </w:rPr>
        <w:t>,</w:t>
      </w:r>
      <w:r>
        <w:t>020</w:t>
      </w:r>
      <w:r>
        <w:rPr>
          <w:rFonts w:hint="eastAsia"/>
          <w:lang w:val="en-US" w:eastAsia="zh-CN"/>
        </w:rPr>
        <w:t>,</w:t>
      </w:r>
      <w:r>
        <w:t>200</w:t>
      </w:r>
      <w:r>
        <w:rPr>
          <w:rFonts w:hint="eastAsia"/>
        </w:rPr>
        <w:t>元，财政资金全年预算数</w:t>
      </w:r>
      <w:r>
        <w:t>7</w:t>
      </w:r>
      <w:r>
        <w:rPr>
          <w:rFonts w:hint="eastAsia"/>
          <w:lang w:val="en-US" w:eastAsia="zh-CN"/>
        </w:rPr>
        <w:t>,</w:t>
      </w:r>
      <w:r>
        <w:t>020</w:t>
      </w:r>
      <w:r>
        <w:rPr>
          <w:rFonts w:hint="eastAsia"/>
          <w:lang w:val="en-US" w:eastAsia="zh-CN"/>
        </w:rPr>
        <w:t>,</w:t>
      </w:r>
      <w:r>
        <w:t>200</w:t>
      </w:r>
      <w:r>
        <w:rPr>
          <w:rFonts w:hint="eastAsia"/>
        </w:rPr>
        <w:t>元</w:t>
      </w:r>
      <w:r>
        <w:rPr>
          <w:rFonts w:hint="eastAsia"/>
          <w:lang w:eastAsia="zh-CN"/>
        </w:rPr>
        <w:t>。</w:t>
      </w:r>
    </w:p>
    <w:p>
      <w:pPr>
        <w:bidi w:val="0"/>
      </w:pPr>
      <w:r>
        <w:rPr>
          <w:rFonts w:hint="eastAsia"/>
        </w:rPr>
        <w:t>资金总额全年执行数</w:t>
      </w:r>
      <w:r>
        <w:t>7</w:t>
      </w:r>
      <w:r>
        <w:rPr>
          <w:rFonts w:hint="eastAsia"/>
          <w:lang w:val="en-US" w:eastAsia="zh-CN"/>
        </w:rPr>
        <w:t>,</w:t>
      </w:r>
      <w:r>
        <w:t>012</w:t>
      </w:r>
      <w:r>
        <w:rPr>
          <w:rFonts w:hint="eastAsia"/>
          <w:lang w:val="en-US" w:eastAsia="zh-CN"/>
        </w:rPr>
        <w:t>,</w:t>
      </w:r>
      <w:r>
        <w:t>712.68</w:t>
      </w:r>
      <w:r>
        <w:rPr>
          <w:rFonts w:hint="eastAsia"/>
        </w:rPr>
        <w:t>元，执行率</w:t>
      </w:r>
      <w:r>
        <w:t>99.89</w:t>
      </w:r>
      <w:r>
        <w:rPr>
          <w:rFonts w:hint="eastAsia"/>
        </w:rPr>
        <w:t>%。</w:t>
      </w:r>
    </w:p>
    <w:p>
      <w:pPr>
        <w:bidi w:val="0"/>
        <w:rPr>
          <w:rFonts w:hint="eastAsia"/>
          <w:lang w:eastAsia="zh-CN"/>
        </w:rPr>
      </w:pPr>
      <w:r>
        <w:rPr>
          <w:rFonts w:hint="eastAsia"/>
        </w:rPr>
        <w:t>其中：财政资金全年执行数</w:t>
      </w:r>
      <w:r>
        <w:t>7</w:t>
      </w:r>
      <w:r>
        <w:rPr>
          <w:rFonts w:hint="eastAsia"/>
          <w:lang w:val="en-US" w:eastAsia="zh-CN"/>
        </w:rPr>
        <w:t>,</w:t>
      </w:r>
      <w:r>
        <w:t>012</w:t>
      </w:r>
      <w:r>
        <w:rPr>
          <w:rFonts w:hint="eastAsia"/>
          <w:lang w:val="en-US" w:eastAsia="zh-CN"/>
        </w:rPr>
        <w:t>,</w:t>
      </w:r>
      <w:r>
        <w:t>712.68</w:t>
      </w:r>
      <w:r>
        <w:rPr>
          <w:rFonts w:hint="eastAsia"/>
        </w:rPr>
        <w:t>元，执行率</w:t>
      </w:r>
      <w:r>
        <w:t>99.89</w:t>
      </w:r>
      <w:r>
        <w:rPr>
          <w:rFonts w:hint="eastAsia"/>
        </w:rPr>
        <w:t>%</w:t>
      </w:r>
      <w:r>
        <w:rPr>
          <w:rFonts w:hint="eastAsia"/>
          <w:lang w:eastAsia="zh-CN"/>
        </w:rPr>
        <w:t>。</w:t>
      </w:r>
    </w:p>
    <w:p>
      <w:pPr>
        <w:bidi w:val="0"/>
        <w:rPr>
          <w:rFonts w:hint="eastAsia"/>
        </w:rPr>
      </w:pPr>
      <w:r>
        <w:rPr>
          <w:rFonts w:hint="eastAsia"/>
        </w:rPr>
        <w:t>项目绩效目标完成情况：年度目标按期完成，电信出口宽带达到42000Mbps；教育科研网出口宽带达到2000Mbps；邮箱用户数量达到40000人次；校园网络的稳定性达到98%；保障了学校的教学、管理、科研及校园生活秩序的正常运行，提高了办学效率及水平。</w:t>
      </w:r>
    </w:p>
    <w:p>
      <w:pPr>
        <w:bidi w:val="0"/>
      </w:pPr>
      <w:r>
        <w:rPr>
          <w:rFonts w:hint="eastAsia"/>
        </w:rPr>
        <w:t>具体完成情况见表7。</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表7 </w:t>
      </w:r>
      <w:r>
        <w:rPr>
          <w:rFonts w:hint="eastAsia" w:ascii="仿宋" w:hAnsi="仿宋" w:eastAsia="仿宋" w:cs="仿宋"/>
          <w:sz w:val="28"/>
          <w:szCs w:val="28"/>
          <w:lang w:eastAsia="zh-CN"/>
        </w:rPr>
        <w:t>项目绩效自评表</w:t>
      </w:r>
    </w:p>
    <w:tbl>
      <w:tblPr>
        <w:tblStyle w:val="16"/>
        <w:tblW w:w="8388" w:type="dxa"/>
        <w:tblInd w:w="113" w:type="dxa"/>
        <w:tblLayout w:type="autofit"/>
        <w:tblCellMar>
          <w:top w:w="0" w:type="dxa"/>
          <w:left w:w="108" w:type="dxa"/>
          <w:bottom w:w="0" w:type="dxa"/>
          <w:right w:w="108" w:type="dxa"/>
        </w:tblCellMar>
      </w:tblPr>
      <w:tblGrid>
        <w:gridCol w:w="1285"/>
        <w:gridCol w:w="1551"/>
        <w:gridCol w:w="1950"/>
        <w:gridCol w:w="1801"/>
        <w:gridCol w:w="1801"/>
      </w:tblGrid>
      <w:tr>
        <w:tblPrEx>
          <w:tblCellMar>
            <w:top w:w="0" w:type="dxa"/>
            <w:left w:w="108" w:type="dxa"/>
            <w:bottom w:w="0" w:type="dxa"/>
            <w:right w:w="108" w:type="dxa"/>
          </w:tblCellMar>
        </w:tblPrEx>
        <w:trPr>
          <w:trHeight w:val="88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23"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电信出口宽带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22000Mbps</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42000Mbps</w:t>
            </w:r>
          </w:p>
        </w:tc>
      </w:tr>
      <w:tr>
        <w:tblPrEx>
          <w:tblCellMar>
            <w:top w:w="0" w:type="dxa"/>
            <w:left w:w="108" w:type="dxa"/>
            <w:bottom w:w="0" w:type="dxa"/>
            <w:right w:w="108" w:type="dxa"/>
          </w:tblCellMar>
        </w:tblPrEx>
        <w:trPr>
          <w:trHeight w:val="725"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教育科研网出口宽带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2000Mbps</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2000Mbps</w:t>
            </w:r>
          </w:p>
        </w:tc>
      </w:tr>
      <w:tr>
        <w:tblPrEx>
          <w:tblCellMar>
            <w:top w:w="0" w:type="dxa"/>
            <w:left w:w="108" w:type="dxa"/>
            <w:bottom w:w="0" w:type="dxa"/>
            <w:right w:w="108" w:type="dxa"/>
          </w:tblCellMar>
        </w:tblPrEx>
        <w:trPr>
          <w:trHeight w:val="67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邮箱用户数量</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40000人次</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40000人次</w:t>
            </w:r>
          </w:p>
        </w:tc>
      </w:tr>
      <w:tr>
        <w:tblPrEx>
          <w:tblCellMar>
            <w:top w:w="0" w:type="dxa"/>
            <w:left w:w="108" w:type="dxa"/>
            <w:bottom w:w="0" w:type="dxa"/>
            <w:right w:w="108" w:type="dxa"/>
          </w:tblCellMar>
        </w:tblPrEx>
        <w:trPr>
          <w:trHeight w:val="669"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可持续影响</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校园网络的稳定性</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98</w:t>
            </w:r>
            <w:r>
              <w:rPr>
                <w:rFonts w:hint="eastAsia" w:ascii="仿宋" w:hAnsi="仿宋" w:eastAsia="仿宋" w:cs="仿宋"/>
                <w:sz w:val="21"/>
                <w:szCs w:val="21"/>
                <w:lang w:val="en-US" w:eastAsia="zh-CN"/>
              </w:rPr>
              <w:t>%</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98</w:t>
            </w:r>
            <w:r>
              <w:rPr>
                <w:rFonts w:hint="eastAsia" w:ascii="仿宋" w:hAnsi="仿宋" w:eastAsia="仿宋" w:cs="仿宋"/>
                <w:sz w:val="21"/>
                <w:szCs w:val="21"/>
                <w:lang w:val="en-US" w:eastAsia="zh-CN"/>
              </w:rPr>
              <w:t>%</w:t>
            </w:r>
          </w:p>
        </w:tc>
      </w:tr>
      <w:tr>
        <w:tblPrEx>
          <w:tblCellMar>
            <w:top w:w="0" w:type="dxa"/>
            <w:left w:w="108" w:type="dxa"/>
            <w:bottom w:w="0" w:type="dxa"/>
            <w:right w:w="108" w:type="dxa"/>
          </w:tblCellMar>
        </w:tblPrEx>
        <w:trPr>
          <w:trHeight w:val="717"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满意度指标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用户对网络服务满意度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98</w:t>
            </w:r>
            <w:r>
              <w:rPr>
                <w:rFonts w:hint="eastAsia" w:ascii="仿宋" w:hAnsi="仿宋" w:eastAsia="仿宋" w:cs="仿宋"/>
                <w:sz w:val="21"/>
                <w:szCs w:val="21"/>
                <w:lang w:val="en-US" w:eastAsia="zh-CN"/>
              </w:rPr>
              <w:t>%</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98</w:t>
            </w:r>
            <w:r>
              <w:rPr>
                <w:rFonts w:hint="eastAsia" w:ascii="仿宋" w:hAnsi="仿宋" w:eastAsia="仿宋" w:cs="仿宋"/>
                <w:sz w:val="21"/>
                <w:szCs w:val="21"/>
                <w:lang w:val="en-US" w:eastAsia="zh-CN"/>
              </w:rPr>
              <w:t>%</w:t>
            </w:r>
          </w:p>
        </w:tc>
      </w:tr>
    </w:tbl>
    <w:p>
      <w:pPr>
        <w:bidi w:val="0"/>
      </w:pPr>
      <w:r>
        <w:rPr>
          <w:rFonts w:hint="eastAsia"/>
        </w:rPr>
        <w:t>发现的主要问题、原因及建议：</w:t>
      </w:r>
    </w:p>
    <w:p>
      <w:pPr>
        <w:bidi w:val="0"/>
        <w:rPr>
          <w:rFonts w:hint="eastAsia"/>
        </w:rPr>
      </w:pPr>
      <w:r>
        <w:rPr>
          <w:rFonts w:hint="eastAsia"/>
        </w:rPr>
        <w:t>由于网络的复杂性，加上用户的体验维度不一样，网络的抖动会影响用户的体验，我们将对网络加强优化，融合创新的水平，提高网络的服务质量。</w:t>
      </w:r>
    </w:p>
    <w:p>
      <w:pPr>
        <w:bidi w:val="0"/>
      </w:pPr>
      <w:r>
        <w:rPr>
          <w:rFonts w:hint="eastAsia"/>
        </w:rPr>
        <w:t>8、教育系统党建思政质量提升工程</w:t>
      </w:r>
      <w:r>
        <w:rPr>
          <w:rFonts w:hint="eastAsia"/>
          <w:lang w:val="en-US" w:eastAsia="zh-CN"/>
        </w:rPr>
        <w:t>项目</w:t>
      </w:r>
      <w:r>
        <w:rPr>
          <w:rFonts w:hint="eastAsia"/>
        </w:rPr>
        <w:t>绩效自评综述</w:t>
      </w:r>
    </w:p>
    <w:p>
      <w:pPr>
        <w:bidi w:val="0"/>
        <w:rPr>
          <w:rFonts w:hint="eastAsia"/>
          <w:lang w:eastAsia="zh-CN"/>
        </w:rPr>
      </w:pPr>
      <w:r>
        <w:rPr>
          <w:rFonts w:hint="eastAsia"/>
        </w:rPr>
        <w:t>根据年初设定的绩效目标，项目自评得分为</w:t>
      </w:r>
      <w:r>
        <w:rPr>
          <w:rFonts w:hint="eastAsia"/>
          <w:lang w:val="en-US" w:eastAsia="zh-CN"/>
        </w:rPr>
        <w:t>98.28</w:t>
      </w:r>
      <w:r>
        <w:rPr>
          <w:rFonts w:hint="eastAsia"/>
        </w:rPr>
        <w:t>分</w:t>
      </w:r>
      <w:r>
        <w:rPr>
          <w:rFonts w:hint="eastAsia"/>
          <w:lang w:eastAsia="zh-CN"/>
        </w:rPr>
        <w:t>。</w:t>
      </w:r>
    </w:p>
    <w:p>
      <w:pPr>
        <w:bidi w:val="0"/>
        <w:rPr>
          <w:rFonts w:hint="eastAsia"/>
          <w:lang w:eastAsia="zh-CN"/>
        </w:rPr>
      </w:pPr>
      <w:r>
        <w:rPr>
          <w:rFonts w:hint="eastAsia"/>
        </w:rPr>
        <w:t>项目资金总额年初预算数5,191,000 元，全年预算数4,198,700元。其中：财政资金年初预算数 5,191,000 元，全年预算数4,198,700元</w:t>
      </w:r>
      <w:r>
        <w:rPr>
          <w:rFonts w:hint="eastAsia"/>
          <w:lang w:eastAsia="zh-CN"/>
        </w:rPr>
        <w:t>。</w:t>
      </w:r>
    </w:p>
    <w:p>
      <w:pPr>
        <w:bidi w:val="0"/>
        <w:rPr>
          <w:rFonts w:hint="eastAsia"/>
        </w:rPr>
      </w:pPr>
      <w:r>
        <w:rPr>
          <w:rFonts w:hint="eastAsia"/>
        </w:rPr>
        <w:t>资金总额全年执行数3,477,644.26元，实行率82.83%。</w:t>
      </w:r>
    </w:p>
    <w:p>
      <w:pPr>
        <w:bidi w:val="0"/>
        <w:rPr>
          <w:rFonts w:hint="eastAsia"/>
          <w:lang w:eastAsia="zh-CN"/>
        </w:rPr>
      </w:pPr>
      <w:r>
        <w:rPr>
          <w:rFonts w:hint="eastAsia"/>
        </w:rPr>
        <w:t>其中：财政资金全年执行数 3,477,644.26 元，执行率82.83%</w:t>
      </w:r>
      <w:r>
        <w:rPr>
          <w:rFonts w:hint="eastAsia"/>
          <w:lang w:eastAsia="zh-CN"/>
        </w:rPr>
        <w:t>。</w:t>
      </w:r>
    </w:p>
    <w:p>
      <w:pPr>
        <w:bidi w:val="0"/>
        <w:rPr>
          <w:rFonts w:hint="eastAsia"/>
        </w:rPr>
      </w:pPr>
      <w:r>
        <w:rPr>
          <w:rFonts w:hint="eastAsia"/>
        </w:rPr>
        <w:t>项目绩效目标完成情况：项目完成情况良好，其中参加高校辅导员培训和研修人数达到300人，党支部创建验收达标数量达到6个，包括1个省级标杆学院，4个省级样板党支部，1个“双带头人”教师党支部书记工作室；开展学术论坛、沙龙、读书会等活动次数共23次；培训网络思政工作人员达到180人；2个单位成功入选全国“双创”单位培育建设单位，包括1个国家级标杆学院，1个国家级样板党支部；资助著作出版、论文、文章发表数达到28篇。项目的实施，提高了各项事务的管理效率和服务水平，达到预期效果。</w:t>
      </w:r>
    </w:p>
    <w:p>
      <w:pPr>
        <w:bidi w:val="0"/>
      </w:pPr>
      <w:r>
        <w:rPr>
          <w:rFonts w:hint="eastAsia"/>
        </w:rPr>
        <w:t>具体完成情况见表8。</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表8 </w:t>
      </w:r>
      <w:r>
        <w:rPr>
          <w:rFonts w:hint="eastAsia" w:ascii="仿宋" w:hAnsi="仿宋" w:eastAsia="仿宋" w:cs="仿宋"/>
          <w:sz w:val="28"/>
          <w:szCs w:val="28"/>
          <w:lang w:eastAsia="zh-CN"/>
        </w:rPr>
        <w:t>项目绩效自评表</w:t>
      </w:r>
    </w:p>
    <w:tbl>
      <w:tblPr>
        <w:tblStyle w:val="16"/>
        <w:tblW w:w="8494" w:type="dxa"/>
        <w:tblInd w:w="15" w:type="dxa"/>
        <w:tblLayout w:type="autofit"/>
        <w:tblCellMar>
          <w:top w:w="0" w:type="dxa"/>
          <w:left w:w="108" w:type="dxa"/>
          <w:bottom w:w="0" w:type="dxa"/>
          <w:right w:w="108" w:type="dxa"/>
        </w:tblCellMar>
      </w:tblPr>
      <w:tblGrid>
        <w:gridCol w:w="1256"/>
        <w:gridCol w:w="1650"/>
        <w:gridCol w:w="2588"/>
        <w:gridCol w:w="1518"/>
        <w:gridCol w:w="1482"/>
      </w:tblGrid>
      <w:tr>
        <w:tblPrEx>
          <w:tblCellMar>
            <w:top w:w="0" w:type="dxa"/>
            <w:left w:w="108" w:type="dxa"/>
            <w:bottom w:w="0" w:type="dxa"/>
            <w:right w:w="108" w:type="dxa"/>
          </w:tblCellMar>
        </w:tblPrEx>
        <w:trPr>
          <w:trHeight w:val="740" w:hRule="atLeast"/>
        </w:trPr>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1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23" w:hRule="atLeast"/>
        </w:trPr>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参加高校辅导员培训和研修人数</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260人</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300人</w:t>
            </w:r>
          </w:p>
        </w:tc>
      </w:tr>
      <w:tr>
        <w:tblPrEx>
          <w:tblCellMar>
            <w:top w:w="0" w:type="dxa"/>
            <w:left w:w="108" w:type="dxa"/>
            <w:bottom w:w="0" w:type="dxa"/>
            <w:right w:w="108" w:type="dxa"/>
          </w:tblCellMar>
        </w:tblPrEx>
        <w:trPr>
          <w:trHeight w:val="623" w:hRule="atLeast"/>
        </w:trPr>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党支部创建验收达标数量</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6</w:t>
            </w:r>
            <w:r>
              <w:rPr>
                <w:rFonts w:hint="eastAsia" w:ascii="仿宋" w:hAnsi="仿宋" w:eastAsia="仿宋" w:cs="仿宋"/>
                <w:sz w:val="21"/>
                <w:szCs w:val="21"/>
                <w:lang w:val="en-US" w:eastAsia="zh-CN"/>
              </w:rPr>
              <w:t>个</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6</w:t>
            </w:r>
            <w:r>
              <w:rPr>
                <w:rFonts w:hint="eastAsia" w:ascii="仿宋" w:hAnsi="仿宋" w:eastAsia="仿宋" w:cs="仿宋"/>
                <w:sz w:val="21"/>
                <w:szCs w:val="21"/>
                <w:lang w:val="en-US" w:eastAsia="zh-CN"/>
              </w:rPr>
              <w:t>个</w:t>
            </w:r>
          </w:p>
        </w:tc>
      </w:tr>
      <w:tr>
        <w:tblPrEx>
          <w:tblCellMar>
            <w:top w:w="0" w:type="dxa"/>
            <w:left w:w="108" w:type="dxa"/>
            <w:bottom w:w="0" w:type="dxa"/>
            <w:right w:w="108" w:type="dxa"/>
          </w:tblCellMar>
        </w:tblPrEx>
        <w:trPr>
          <w:trHeight w:val="623" w:hRule="atLeast"/>
        </w:trPr>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开展学术论坛、沙龙、读书会等活动次数</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11次</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23次</w:t>
            </w:r>
          </w:p>
        </w:tc>
      </w:tr>
      <w:tr>
        <w:tblPrEx>
          <w:tblCellMar>
            <w:top w:w="0" w:type="dxa"/>
            <w:left w:w="108" w:type="dxa"/>
            <w:bottom w:w="0" w:type="dxa"/>
            <w:right w:w="108" w:type="dxa"/>
          </w:tblCellMar>
        </w:tblPrEx>
        <w:trPr>
          <w:trHeight w:val="623" w:hRule="atLeast"/>
        </w:trPr>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培训网络思政工作人员</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80人</w:t>
            </w:r>
            <w:r>
              <w:rPr>
                <w:rFonts w:hint="eastAsia" w:ascii="仿宋" w:hAnsi="仿宋" w:eastAsia="仿宋" w:cs="仿宋"/>
                <w:sz w:val="21"/>
                <w:szCs w:val="21"/>
                <w:lang w:val="en-US" w:eastAsia="zh-CN"/>
              </w:rPr>
              <w:t>次</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180人</w:t>
            </w:r>
            <w:r>
              <w:rPr>
                <w:rFonts w:hint="eastAsia" w:ascii="仿宋" w:hAnsi="仿宋" w:eastAsia="仿宋" w:cs="仿宋"/>
                <w:sz w:val="21"/>
                <w:szCs w:val="21"/>
                <w:lang w:val="en-US" w:eastAsia="zh-CN"/>
              </w:rPr>
              <w:t>次</w:t>
            </w:r>
          </w:p>
        </w:tc>
      </w:tr>
      <w:tr>
        <w:tblPrEx>
          <w:tblCellMar>
            <w:top w:w="0" w:type="dxa"/>
            <w:left w:w="108" w:type="dxa"/>
            <w:bottom w:w="0" w:type="dxa"/>
            <w:right w:w="108" w:type="dxa"/>
          </w:tblCellMar>
        </w:tblPrEx>
        <w:trPr>
          <w:trHeight w:val="623" w:hRule="atLeast"/>
        </w:trPr>
        <w:tc>
          <w:tcPr>
            <w:tcW w:w="125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经济效益指标</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入选全国党支部培育建设名单</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2个</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2个</w:t>
            </w:r>
          </w:p>
        </w:tc>
      </w:tr>
      <w:tr>
        <w:tblPrEx>
          <w:tblCellMar>
            <w:top w:w="0" w:type="dxa"/>
            <w:left w:w="108" w:type="dxa"/>
            <w:bottom w:w="0" w:type="dxa"/>
            <w:right w:w="108" w:type="dxa"/>
          </w:tblCellMar>
        </w:tblPrEx>
        <w:trPr>
          <w:trHeight w:val="623" w:hRule="atLeast"/>
        </w:trPr>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可持续发展指标</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资助著作出版、论文、文章发表数</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12篇（部）</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28篇（部）</w:t>
            </w:r>
          </w:p>
        </w:tc>
      </w:tr>
      <w:tr>
        <w:tblPrEx>
          <w:tblCellMar>
            <w:top w:w="0" w:type="dxa"/>
            <w:left w:w="108" w:type="dxa"/>
            <w:bottom w:w="0" w:type="dxa"/>
            <w:right w:w="108" w:type="dxa"/>
          </w:tblCellMar>
        </w:tblPrEx>
        <w:trPr>
          <w:trHeight w:val="623" w:hRule="atLeast"/>
        </w:trPr>
        <w:tc>
          <w:tcPr>
            <w:tcW w:w="12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满意度指标</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93</w:t>
            </w:r>
            <w:r>
              <w:rPr>
                <w:rFonts w:hint="eastAsia" w:ascii="仿宋" w:hAnsi="仿宋" w:eastAsia="仿宋" w:cs="仿宋"/>
                <w:sz w:val="21"/>
                <w:szCs w:val="21"/>
                <w:lang w:val="en-US" w:eastAsia="zh-CN"/>
              </w:rPr>
              <w:t>%</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100</w:t>
            </w:r>
            <w:r>
              <w:rPr>
                <w:rFonts w:hint="eastAsia" w:ascii="仿宋" w:hAnsi="仿宋" w:eastAsia="仿宋" w:cs="仿宋"/>
                <w:sz w:val="21"/>
                <w:szCs w:val="21"/>
                <w:lang w:val="en-US" w:eastAsia="zh-CN"/>
              </w:rPr>
              <w:t>%</w:t>
            </w:r>
          </w:p>
        </w:tc>
      </w:tr>
    </w:tbl>
    <w:p>
      <w:pPr>
        <w:bidi w:val="0"/>
      </w:pPr>
      <w:r>
        <w:rPr>
          <w:rFonts w:hint="eastAsia"/>
        </w:rPr>
        <w:t>发现的主要问题、原因及建议：</w:t>
      </w:r>
    </w:p>
    <w:p>
      <w:pPr>
        <w:bidi w:val="0"/>
        <w:rPr>
          <w:rFonts w:hint="eastAsia"/>
        </w:rPr>
      </w:pPr>
      <w:r>
        <w:rPr>
          <w:rFonts w:hint="eastAsia"/>
        </w:rPr>
        <w:t>（1）加强项目经费管理，按照我校相关项目管理制度及财务管理制度实施，建立过程监督与效果跟踪机制，确保经费能够真正用于 项目绩效目标完成最大化。</w:t>
      </w:r>
    </w:p>
    <w:p>
      <w:pPr>
        <w:bidi w:val="0"/>
        <w:rPr>
          <w:rFonts w:hint="eastAsia"/>
        </w:rPr>
      </w:pPr>
      <w:r>
        <w:rPr>
          <w:rFonts w:hint="eastAsia"/>
        </w:rPr>
        <w:t>（2）各组织部门之间密切配合，确保项目顺利实施，明确项目执行过程中的责、权、利，落实到人，有利于完成项目设定的预期目标。</w:t>
      </w:r>
    </w:p>
    <w:p>
      <w:pPr>
        <w:bidi w:val="0"/>
      </w:pPr>
      <w:r>
        <w:rPr>
          <w:rFonts w:hint="eastAsia"/>
        </w:rPr>
        <w:t>9、海南自贸港政策宣讲解读培训项目绩效自评综述</w:t>
      </w:r>
    </w:p>
    <w:p>
      <w:pPr>
        <w:bidi w:val="0"/>
        <w:rPr>
          <w:rFonts w:hint="eastAsia"/>
          <w:lang w:eastAsia="zh-CN"/>
        </w:rPr>
      </w:pPr>
      <w:r>
        <w:rPr>
          <w:rFonts w:hint="eastAsia"/>
        </w:rPr>
        <w:t>根据年初设定的绩效目标，项目自评得分为</w:t>
      </w:r>
      <w:r>
        <w:rPr>
          <w:rFonts w:hint="eastAsia"/>
          <w:lang w:val="en-US" w:eastAsia="zh-CN"/>
        </w:rPr>
        <w:t>97.03</w:t>
      </w:r>
      <w:r>
        <w:rPr>
          <w:rFonts w:hint="eastAsia"/>
        </w:rPr>
        <w:t>分。资金总额年初预算数</w:t>
      </w:r>
      <w:r>
        <w:t>5</w:t>
      </w:r>
      <w:r>
        <w:rPr>
          <w:rFonts w:hint="eastAsia"/>
          <w:lang w:val="en-US" w:eastAsia="zh-CN"/>
        </w:rPr>
        <w:t>,</w:t>
      </w:r>
      <w:r>
        <w:t>089</w:t>
      </w:r>
      <w:r>
        <w:rPr>
          <w:rFonts w:hint="eastAsia"/>
          <w:lang w:val="en-US" w:eastAsia="zh-CN"/>
        </w:rPr>
        <w:t>,</w:t>
      </w:r>
      <w:r>
        <w:t>570</w:t>
      </w:r>
      <w:r>
        <w:rPr>
          <w:rFonts w:hint="eastAsia"/>
        </w:rPr>
        <w:t>元，资金总额全年预算数</w:t>
      </w:r>
      <w:r>
        <w:t>2</w:t>
      </w:r>
      <w:r>
        <w:rPr>
          <w:rFonts w:hint="eastAsia"/>
          <w:lang w:val="en-US" w:eastAsia="zh-CN"/>
        </w:rPr>
        <w:t>,</w:t>
      </w:r>
      <w:r>
        <w:t>330</w:t>
      </w:r>
      <w:r>
        <w:rPr>
          <w:rFonts w:hint="eastAsia"/>
          <w:lang w:val="en-US" w:eastAsia="zh-CN"/>
        </w:rPr>
        <w:t>,</w:t>
      </w:r>
      <w:r>
        <w:t>097.77</w:t>
      </w:r>
      <w:r>
        <w:rPr>
          <w:rFonts w:hint="eastAsia"/>
        </w:rPr>
        <w:t>元。其中：财政资金年初预算数</w:t>
      </w:r>
      <w:r>
        <w:t>5</w:t>
      </w:r>
      <w:r>
        <w:rPr>
          <w:rFonts w:hint="eastAsia"/>
          <w:lang w:val="en-US" w:eastAsia="zh-CN"/>
        </w:rPr>
        <w:t>,</w:t>
      </w:r>
      <w:r>
        <w:t>089</w:t>
      </w:r>
      <w:r>
        <w:rPr>
          <w:rFonts w:hint="eastAsia"/>
          <w:lang w:val="en-US" w:eastAsia="zh-CN"/>
        </w:rPr>
        <w:t>,</w:t>
      </w:r>
      <w:r>
        <w:t>570</w:t>
      </w:r>
      <w:r>
        <w:rPr>
          <w:rFonts w:hint="eastAsia"/>
        </w:rPr>
        <w:t>元，财政资金全年预算数</w:t>
      </w:r>
      <w:r>
        <w:t>2</w:t>
      </w:r>
      <w:r>
        <w:rPr>
          <w:rFonts w:hint="eastAsia"/>
          <w:lang w:val="en-US" w:eastAsia="zh-CN"/>
        </w:rPr>
        <w:t>,</w:t>
      </w:r>
      <w:r>
        <w:t>330</w:t>
      </w:r>
      <w:r>
        <w:rPr>
          <w:rFonts w:hint="eastAsia"/>
          <w:lang w:val="en-US" w:eastAsia="zh-CN"/>
        </w:rPr>
        <w:t>,</w:t>
      </w:r>
      <w:r>
        <w:t>097.77</w:t>
      </w:r>
      <w:r>
        <w:rPr>
          <w:rFonts w:hint="eastAsia"/>
        </w:rPr>
        <w:t>元</w:t>
      </w:r>
      <w:r>
        <w:rPr>
          <w:rFonts w:hint="eastAsia"/>
          <w:lang w:eastAsia="zh-CN"/>
        </w:rPr>
        <w:t>。</w:t>
      </w:r>
    </w:p>
    <w:p>
      <w:pPr>
        <w:bidi w:val="0"/>
        <w:rPr>
          <w:rFonts w:hint="eastAsia"/>
        </w:rPr>
      </w:pPr>
      <w:r>
        <w:rPr>
          <w:rFonts w:hint="eastAsia"/>
        </w:rPr>
        <w:t>资金总额全年执行数1</w:t>
      </w:r>
      <w:r>
        <w:rPr>
          <w:rFonts w:hint="eastAsia"/>
          <w:lang w:val="en-US" w:eastAsia="zh-CN"/>
        </w:rPr>
        <w:t>,</w:t>
      </w:r>
      <w:r>
        <w:rPr>
          <w:rFonts w:hint="eastAsia"/>
        </w:rPr>
        <w:t>636</w:t>
      </w:r>
      <w:r>
        <w:rPr>
          <w:rFonts w:hint="eastAsia"/>
          <w:lang w:val="en-US" w:eastAsia="zh-CN"/>
        </w:rPr>
        <w:t>,</w:t>
      </w:r>
      <w:r>
        <w:rPr>
          <w:rFonts w:hint="eastAsia"/>
        </w:rPr>
        <w:t>934.50元，执行率70.25%。</w:t>
      </w:r>
    </w:p>
    <w:p>
      <w:pPr>
        <w:bidi w:val="0"/>
        <w:rPr>
          <w:rFonts w:hint="eastAsia"/>
          <w:lang w:eastAsia="zh-CN"/>
        </w:rPr>
      </w:pPr>
      <w:r>
        <w:rPr>
          <w:rFonts w:hint="eastAsia"/>
        </w:rPr>
        <w:t>其中：财政资金全年执行数1</w:t>
      </w:r>
      <w:r>
        <w:rPr>
          <w:rFonts w:hint="eastAsia"/>
          <w:lang w:val="en-US" w:eastAsia="zh-CN"/>
        </w:rPr>
        <w:t>,</w:t>
      </w:r>
      <w:r>
        <w:rPr>
          <w:rFonts w:hint="eastAsia"/>
        </w:rPr>
        <w:t>636</w:t>
      </w:r>
      <w:r>
        <w:rPr>
          <w:rFonts w:hint="eastAsia"/>
          <w:lang w:val="en-US" w:eastAsia="zh-CN"/>
        </w:rPr>
        <w:t>,</w:t>
      </w:r>
      <w:r>
        <w:rPr>
          <w:rFonts w:hint="eastAsia"/>
        </w:rPr>
        <w:t>934.50元，执行率70.25%</w:t>
      </w:r>
    </w:p>
    <w:p>
      <w:pPr>
        <w:bidi w:val="0"/>
        <w:rPr>
          <w:rFonts w:hint="eastAsia"/>
        </w:rPr>
      </w:pPr>
      <w:r>
        <w:rPr>
          <w:rFonts w:hint="eastAsia"/>
        </w:rPr>
        <w:t>项目绩效目标完成情况：2022年举办了22场次的宣讲解读培训班，内容涵盖税收、数据安全有序流动、高新技术产业、贸易自由化便利化、现代服务业、金融创新开放、旅游业、营商环境、热带特色高效农业等模块的政策，共计12000余人以上通过线下线上参加培训，培训人员满意度达到95%，项目完成情况良好。</w:t>
      </w:r>
    </w:p>
    <w:p>
      <w:pPr>
        <w:bidi w:val="0"/>
      </w:pPr>
      <w:r>
        <w:rPr>
          <w:rFonts w:hint="eastAsia"/>
        </w:rPr>
        <w:t>具体完成情况见表9。</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表9 </w:t>
      </w:r>
      <w:r>
        <w:rPr>
          <w:rFonts w:hint="eastAsia" w:ascii="仿宋" w:hAnsi="仿宋" w:eastAsia="仿宋" w:cs="仿宋"/>
          <w:sz w:val="28"/>
          <w:szCs w:val="28"/>
          <w:lang w:eastAsia="zh-CN"/>
        </w:rPr>
        <w:t>项目绩效自评表</w:t>
      </w:r>
    </w:p>
    <w:tbl>
      <w:tblPr>
        <w:tblStyle w:val="16"/>
        <w:tblW w:w="5089" w:type="pct"/>
        <w:jc w:val="center"/>
        <w:tblLayout w:type="autofit"/>
        <w:tblCellMar>
          <w:top w:w="0" w:type="dxa"/>
          <w:left w:w="108" w:type="dxa"/>
          <w:bottom w:w="0" w:type="dxa"/>
          <w:right w:w="108" w:type="dxa"/>
        </w:tblCellMar>
      </w:tblPr>
      <w:tblGrid>
        <w:gridCol w:w="1412"/>
        <w:gridCol w:w="1824"/>
        <w:gridCol w:w="2646"/>
        <w:gridCol w:w="1420"/>
        <w:gridCol w:w="1381"/>
      </w:tblGrid>
      <w:tr>
        <w:tblPrEx>
          <w:tblCellMar>
            <w:top w:w="0" w:type="dxa"/>
            <w:left w:w="108" w:type="dxa"/>
            <w:bottom w:w="0" w:type="dxa"/>
            <w:right w:w="108" w:type="dxa"/>
          </w:tblCellMar>
        </w:tblPrEx>
        <w:trPr>
          <w:trHeight w:val="937" w:hRule="atLeast"/>
          <w:jc w:val="center"/>
        </w:trPr>
        <w:tc>
          <w:tcPr>
            <w:tcW w:w="81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10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52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8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589" w:hRule="atLeast"/>
          <w:jc w:val="center"/>
        </w:trPr>
        <w:tc>
          <w:tcPr>
            <w:tcW w:w="81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0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152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培训（参会）人次</w:t>
            </w:r>
          </w:p>
        </w:tc>
        <w:tc>
          <w:tcPr>
            <w:tcW w:w="8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1000人次</w:t>
            </w:r>
          </w:p>
        </w:tc>
        <w:tc>
          <w:tcPr>
            <w:tcW w:w="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12000人次</w:t>
            </w:r>
          </w:p>
        </w:tc>
      </w:tr>
      <w:tr>
        <w:tblPrEx>
          <w:tblCellMar>
            <w:top w:w="0" w:type="dxa"/>
            <w:left w:w="108" w:type="dxa"/>
            <w:bottom w:w="0" w:type="dxa"/>
            <w:right w:w="108" w:type="dxa"/>
          </w:tblCellMar>
        </w:tblPrEx>
        <w:trPr>
          <w:trHeight w:val="595" w:hRule="atLeast"/>
          <w:jc w:val="center"/>
        </w:trPr>
        <w:tc>
          <w:tcPr>
            <w:tcW w:w="81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10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152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培训班次（会议次数）</w:t>
            </w:r>
          </w:p>
        </w:tc>
        <w:tc>
          <w:tcPr>
            <w:tcW w:w="8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20次</w:t>
            </w:r>
          </w:p>
        </w:tc>
        <w:tc>
          <w:tcPr>
            <w:tcW w:w="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22次</w:t>
            </w:r>
          </w:p>
        </w:tc>
      </w:tr>
      <w:tr>
        <w:tblPrEx>
          <w:tblCellMar>
            <w:top w:w="0" w:type="dxa"/>
            <w:left w:w="108" w:type="dxa"/>
            <w:bottom w:w="0" w:type="dxa"/>
            <w:right w:w="108" w:type="dxa"/>
          </w:tblCellMar>
        </w:tblPrEx>
        <w:trPr>
          <w:trHeight w:val="615" w:hRule="atLeast"/>
          <w:jc w:val="center"/>
        </w:trPr>
        <w:tc>
          <w:tcPr>
            <w:tcW w:w="81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10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社会效益指标</w:t>
            </w:r>
          </w:p>
        </w:tc>
        <w:tc>
          <w:tcPr>
            <w:tcW w:w="152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培训考核合格率</w:t>
            </w:r>
          </w:p>
        </w:tc>
        <w:tc>
          <w:tcPr>
            <w:tcW w:w="8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90</w:t>
            </w:r>
            <w:r>
              <w:rPr>
                <w:rFonts w:hint="eastAsia" w:ascii="仿宋" w:hAnsi="仿宋" w:eastAsia="仿宋" w:cs="仿宋"/>
                <w:sz w:val="21"/>
                <w:szCs w:val="21"/>
                <w:lang w:val="en-US" w:eastAsia="zh-CN"/>
              </w:rPr>
              <w:t>%</w:t>
            </w:r>
          </w:p>
        </w:tc>
        <w:tc>
          <w:tcPr>
            <w:tcW w:w="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w:t>
            </w:r>
            <w:r>
              <w:rPr>
                <w:rFonts w:hint="eastAsia" w:ascii="仿宋" w:hAnsi="仿宋" w:eastAsia="仿宋" w:cs="仿宋"/>
                <w:sz w:val="21"/>
                <w:szCs w:val="21"/>
                <w:lang w:val="en-US" w:eastAsia="zh-CN"/>
              </w:rPr>
              <w:t>%</w:t>
            </w:r>
          </w:p>
        </w:tc>
      </w:tr>
      <w:tr>
        <w:tblPrEx>
          <w:tblCellMar>
            <w:top w:w="0" w:type="dxa"/>
            <w:left w:w="108" w:type="dxa"/>
            <w:bottom w:w="0" w:type="dxa"/>
            <w:right w:w="108" w:type="dxa"/>
          </w:tblCellMar>
        </w:tblPrEx>
        <w:trPr>
          <w:trHeight w:val="602" w:hRule="atLeast"/>
          <w:jc w:val="center"/>
        </w:trPr>
        <w:tc>
          <w:tcPr>
            <w:tcW w:w="81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满意度指标</w:t>
            </w:r>
          </w:p>
        </w:tc>
        <w:tc>
          <w:tcPr>
            <w:tcW w:w="10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w:t>
            </w:r>
          </w:p>
        </w:tc>
        <w:tc>
          <w:tcPr>
            <w:tcW w:w="152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培训（参会）人员满意度</w:t>
            </w:r>
          </w:p>
        </w:tc>
        <w:tc>
          <w:tcPr>
            <w:tcW w:w="8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r>
              <w:rPr>
                <w:rFonts w:hint="eastAsia" w:ascii="仿宋" w:hAnsi="仿宋" w:eastAsia="仿宋" w:cs="仿宋"/>
                <w:sz w:val="21"/>
                <w:szCs w:val="21"/>
                <w:lang w:val="en-US" w:eastAsia="zh-CN"/>
              </w:rPr>
              <w:t>%</w:t>
            </w:r>
          </w:p>
        </w:tc>
        <w:tc>
          <w:tcPr>
            <w:tcW w:w="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99</w:t>
            </w:r>
            <w:r>
              <w:rPr>
                <w:rFonts w:hint="eastAsia" w:ascii="仿宋" w:hAnsi="仿宋" w:eastAsia="仿宋" w:cs="仿宋"/>
                <w:sz w:val="21"/>
                <w:szCs w:val="21"/>
                <w:lang w:val="en-US" w:eastAsia="zh-CN"/>
              </w:rPr>
              <w:t>%</w:t>
            </w:r>
          </w:p>
        </w:tc>
      </w:tr>
    </w:tbl>
    <w:p>
      <w:pPr>
        <w:bidi w:val="0"/>
      </w:pPr>
      <w:r>
        <w:rPr>
          <w:rFonts w:hint="eastAsia"/>
        </w:rPr>
        <w:t>发现的主要问题、原因及建议：</w:t>
      </w:r>
    </w:p>
    <w:p>
      <w:pPr>
        <w:bidi w:val="0"/>
        <w:rPr>
          <w:rFonts w:hint="eastAsia"/>
        </w:rPr>
      </w:pPr>
      <w:r>
        <w:rPr>
          <w:rFonts w:hint="eastAsia"/>
        </w:rPr>
        <w:t>（1）培训针对性有待加强，培训专题和课程的设置可以更加聚焦，内容上市场主体更希望就相关政策如何落地、行政审批等事项进行沟通交流,同时师资队伍不断加强课程内容的优化。</w:t>
      </w:r>
    </w:p>
    <w:p>
      <w:pPr>
        <w:bidi w:val="0"/>
        <w:rPr>
          <w:rFonts w:hint="eastAsia"/>
        </w:rPr>
      </w:pPr>
      <w:r>
        <w:rPr>
          <w:rFonts w:hint="eastAsia"/>
        </w:rPr>
        <w:t>（2）受疫情影响，培训断断续续暂停了将近4个月。虽然也积极改变采用“线上+线下”相结合的形式开展，但是线上宣介的开展还需进一步增加，后期应积极拓展视频资源宣介的形式，对于学习时间的安排更加灵活，充分利用碎片化时间，优化工学时间的分配。</w:t>
      </w:r>
    </w:p>
    <w:p>
      <w:pPr>
        <w:bidi w:val="0"/>
        <w:rPr>
          <w:rFonts w:hint="eastAsia"/>
        </w:rPr>
      </w:pPr>
      <w:r>
        <w:rPr>
          <w:rFonts w:hint="eastAsia"/>
        </w:rPr>
        <w:t>（3）培训范围需要进一步扩充，目前培训主要集中在省直有关厅局、市县政府部门、基层干部、自贸港重点园区、部分商会、行业协会、招商人员及工作人员。对重点行业协会、入驻央企、省属国企、龙头企业参与培训人员需加大覆盖力度。</w:t>
      </w:r>
    </w:p>
    <w:p>
      <w:pPr>
        <w:bidi w:val="0"/>
      </w:pPr>
      <w:r>
        <w:rPr>
          <w:rFonts w:hint="eastAsia"/>
        </w:rPr>
        <w:t>10、大中专学校全日制在校学生价格临时补贴项目绩效自评综述</w:t>
      </w:r>
    </w:p>
    <w:p>
      <w:pPr>
        <w:bidi w:val="0"/>
        <w:rPr>
          <w:rFonts w:hint="eastAsia"/>
          <w:lang w:eastAsia="zh-CN"/>
        </w:rPr>
      </w:pPr>
      <w:r>
        <w:rPr>
          <w:rFonts w:hint="eastAsia"/>
        </w:rPr>
        <w:t>根据年初设定的绩效目标，项目自评得分为</w:t>
      </w:r>
      <w:r>
        <w:rPr>
          <w:rFonts w:hint="eastAsia"/>
          <w:lang w:val="en-US" w:eastAsia="zh-CN"/>
        </w:rPr>
        <w:t>99.32</w:t>
      </w:r>
      <w:r>
        <w:rPr>
          <w:rFonts w:hint="eastAsia"/>
        </w:rPr>
        <w:t>分。资金总额年初预算数1</w:t>
      </w:r>
      <w:r>
        <w:rPr>
          <w:rFonts w:hint="eastAsia"/>
          <w:lang w:val="en-US" w:eastAsia="zh-CN"/>
        </w:rPr>
        <w:t>,</w:t>
      </w:r>
      <w:r>
        <w:rPr>
          <w:rFonts w:hint="eastAsia"/>
        </w:rPr>
        <w:t>517</w:t>
      </w:r>
      <w:r>
        <w:rPr>
          <w:rFonts w:hint="eastAsia"/>
          <w:lang w:val="en-US" w:eastAsia="zh-CN"/>
        </w:rPr>
        <w:t>,</w:t>
      </w:r>
      <w:r>
        <w:rPr>
          <w:rFonts w:hint="eastAsia"/>
        </w:rPr>
        <w:t>000元，资金总额全年预算数1</w:t>
      </w:r>
      <w:r>
        <w:rPr>
          <w:rFonts w:hint="eastAsia"/>
          <w:lang w:val="en-US" w:eastAsia="zh-CN"/>
        </w:rPr>
        <w:t>,</w:t>
      </w:r>
      <w:r>
        <w:rPr>
          <w:rFonts w:hint="eastAsia"/>
        </w:rPr>
        <w:t>308</w:t>
      </w:r>
      <w:r>
        <w:rPr>
          <w:rFonts w:hint="eastAsia"/>
          <w:lang w:val="en-US" w:eastAsia="zh-CN"/>
        </w:rPr>
        <w:t>,</w:t>
      </w:r>
      <w:r>
        <w:rPr>
          <w:rFonts w:hint="eastAsia"/>
        </w:rPr>
        <w:t>696元。其中：财政资金年初预算数1</w:t>
      </w:r>
      <w:r>
        <w:rPr>
          <w:rFonts w:hint="eastAsia"/>
          <w:lang w:val="en-US" w:eastAsia="zh-CN"/>
        </w:rPr>
        <w:t>,</w:t>
      </w:r>
      <w:r>
        <w:rPr>
          <w:rFonts w:hint="eastAsia"/>
        </w:rPr>
        <w:t>517</w:t>
      </w:r>
      <w:r>
        <w:rPr>
          <w:rFonts w:hint="eastAsia"/>
          <w:lang w:val="en-US" w:eastAsia="zh-CN"/>
        </w:rPr>
        <w:t>,</w:t>
      </w:r>
      <w:r>
        <w:rPr>
          <w:rFonts w:hint="eastAsia"/>
        </w:rPr>
        <w:t>000元，财政资金全年预算数1</w:t>
      </w:r>
      <w:r>
        <w:rPr>
          <w:rFonts w:hint="eastAsia"/>
          <w:lang w:val="en-US" w:eastAsia="zh-CN"/>
        </w:rPr>
        <w:t>,</w:t>
      </w:r>
      <w:r>
        <w:rPr>
          <w:rFonts w:hint="eastAsia"/>
        </w:rPr>
        <w:t>308</w:t>
      </w:r>
      <w:r>
        <w:rPr>
          <w:rFonts w:hint="eastAsia"/>
          <w:lang w:val="en-US" w:eastAsia="zh-CN"/>
        </w:rPr>
        <w:t>,</w:t>
      </w:r>
      <w:r>
        <w:rPr>
          <w:rFonts w:hint="eastAsia"/>
        </w:rPr>
        <w:t>696元</w:t>
      </w:r>
      <w:r>
        <w:rPr>
          <w:rFonts w:hint="eastAsia"/>
          <w:lang w:eastAsia="zh-CN"/>
        </w:rPr>
        <w:t>。</w:t>
      </w:r>
    </w:p>
    <w:p>
      <w:pPr>
        <w:bidi w:val="0"/>
        <w:rPr>
          <w:rFonts w:hint="eastAsia"/>
          <w:lang w:val="en-US" w:eastAsia="zh-CN"/>
        </w:rPr>
      </w:pPr>
      <w:r>
        <w:rPr>
          <w:rFonts w:hint="eastAsia"/>
        </w:rPr>
        <w:t>资金总额全年执行数1</w:t>
      </w:r>
      <w:r>
        <w:rPr>
          <w:rFonts w:hint="eastAsia"/>
          <w:lang w:val="en-US" w:eastAsia="zh-CN"/>
        </w:rPr>
        <w:t>,</w:t>
      </w:r>
      <w:r>
        <w:rPr>
          <w:rFonts w:hint="eastAsia"/>
        </w:rPr>
        <w:t>219</w:t>
      </w:r>
      <w:r>
        <w:rPr>
          <w:rFonts w:hint="eastAsia"/>
          <w:lang w:val="en-US" w:eastAsia="zh-CN"/>
        </w:rPr>
        <w:t>,</w:t>
      </w:r>
      <w:r>
        <w:rPr>
          <w:rFonts w:hint="eastAsia"/>
        </w:rPr>
        <w:t>241元，执行率</w:t>
      </w:r>
      <w:r>
        <w:rPr>
          <w:rFonts w:hint="eastAsia"/>
          <w:lang w:val="en-US" w:eastAsia="zh-CN"/>
        </w:rPr>
        <w:t>93.16</w:t>
      </w:r>
      <w:r>
        <w:rPr>
          <w:rFonts w:hint="eastAsia"/>
        </w:rPr>
        <w:t>%。其中：财政资金全年执行数1</w:t>
      </w:r>
      <w:r>
        <w:rPr>
          <w:rFonts w:hint="eastAsia"/>
          <w:lang w:val="en-US" w:eastAsia="zh-CN"/>
        </w:rPr>
        <w:t>,</w:t>
      </w:r>
      <w:r>
        <w:rPr>
          <w:rFonts w:hint="eastAsia"/>
        </w:rPr>
        <w:t>219</w:t>
      </w:r>
      <w:r>
        <w:rPr>
          <w:rFonts w:hint="eastAsia"/>
          <w:lang w:val="en-US" w:eastAsia="zh-CN"/>
        </w:rPr>
        <w:t>,</w:t>
      </w:r>
      <w:r>
        <w:rPr>
          <w:rFonts w:hint="eastAsia"/>
        </w:rPr>
        <w:t>241元，执行率</w:t>
      </w:r>
      <w:r>
        <w:rPr>
          <w:rFonts w:hint="eastAsia"/>
          <w:lang w:val="en-US" w:eastAsia="zh-CN"/>
        </w:rPr>
        <w:t>93.16</w:t>
      </w:r>
      <w:r>
        <w:rPr>
          <w:rFonts w:hint="eastAsia"/>
        </w:rPr>
        <w:t>%</w:t>
      </w:r>
      <w:r>
        <w:rPr>
          <w:rFonts w:hint="eastAsia"/>
          <w:lang w:eastAsia="zh-CN"/>
        </w:rPr>
        <w:t>。</w:t>
      </w:r>
    </w:p>
    <w:p>
      <w:pPr>
        <w:bidi w:val="0"/>
        <w:rPr>
          <w:rFonts w:hint="eastAsia"/>
        </w:rPr>
      </w:pPr>
      <w:r>
        <w:rPr>
          <w:rFonts w:hint="eastAsia"/>
        </w:rPr>
        <w:t>项目绩效目标完成情况：项目根据上级部门要求，完成8月、9月全校学生临时价格补贴的发放。本年度目标均已完成，补贴学生人数达到28587人，补贴发放率100%，受益群体满意度达到100%。</w:t>
      </w:r>
    </w:p>
    <w:p>
      <w:pPr>
        <w:bidi w:val="0"/>
      </w:pPr>
      <w:r>
        <w:rPr>
          <w:rFonts w:hint="eastAsia"/>
        </w:rPr>
        <w:t>具体完成情况见表10。</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表10 </w:t>
      </w:r>
      <w:r>
        <w:rPr>
          <w:rFonts w:hint="eastAsia" w:ascii="仿宋" w:hAnsi="仿宋" w:eastAsia="仿宋" w:cs="仿宋"/>
          <w:sz w:val="28"/>
          <w:szCs w:val="28"/>
          <w:lang w:eastAsia="zh-CN"/>
        </w:rPr>
        <w:t>项目绩效自评表</w:t>
      </w:r>
    </w:p>
    <w:tbl>
      <w:tblPr>
        <w:tblStyle w:val="16"/>
        <w:tblW w:w="4685" w:type="pct"/>
        <w:jc w:val="center"/>
        <w:tblLayout w:type="autofit"/>
        <w:tblCellMar>
          <w:top w:w="0" w:type="dxa"/>
          <w:left w:w="108" w:type="dxa"/>
          <w:bottom w:w="0" w:type="dxa"/>
          <w:right w:w="108" w:type="dxa"/>
        </w:tblCellMar>
      </w:tblPr>
      <w:tblGrid>
        <w:gridCol w:w="1310"/>
        <w:gridCol w:w="1409"/>
        <w:gridCol w:w="2512"/>
        <w:gridCol w:w="1381"/>
        <w:gridCol w:w="1382"/>
      </w:tblGrid>
      <w:tr>
        <w:tblPrEx>
          <w:tblCellMar>
            <w:top w:w="0" w:type="dxa"/>
            <w:left w:w="108" w:type="dxa"/>
            <w:bottom w:w="0" w:type="dxa"/>
            <w:right w:w="108" w:type="dxa"/>
          </w:tblCellMar>
        </w:tblPrEx>
        <w:trPr>
          <w:trHeight w:val="567" w:hRule="atLeast"/>
          <w:jc w:val="center"/>
        </w:trPr>
        <w:tc>
          <w:tcPr>
            <w:tcW w:w="879"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941" w:type="pct"/>
            <w:tcBorders>
              <w:top w:val="single" w:color="auto" w:sz="4" w:space="0"/>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630" w:type="pct"/>
            <w:tcBorders>
              <w:top w:val="single" w:color="auto" w:sz="4" w:space="0"/>
              <w:left w:val="nil"/>
              <w:bottom w:val="single" w:color="auto" w:sz="4" w:space="0"/>
              <w:right w:val="nil"/>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774"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77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567" w:hRule="atLeast"/>
          <w:jc w:val="center"/>
        </w:trPr>
        <w:tc>
          <w:tcPr>
            <w:tcW w:w="879"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941"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数量指标</w:t>
            </w:r>
          </w:p>
        </w:tc>
        <w:tc>
          <w:tcPr>
            <w:tcW w:w="1630"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补贴学生人数</w:t>
            </w:r>
          </w:p>
        </w:tc>
        <w:tc>
          <w:tcPr>
            <w:tcW w:w="774"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23000人</w:t>
            </w:r>
          </w:p>
        </w:tc>
        <w:tc>
          <w:tcPr>
            <w:tcW w:w="773"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28587人</w:t>
            </w:r>
          </w:p>
        </w:tc>
      </w:tr>
      <w:tr>
        <w:tblPrEx>
          <w:tblCellMar>
            <w:top w:w="0" w:type="dxa"/>
            <w:left w:w="108" w:type="dxa"/>
            <w:bottom w:w="0" w:type="dxa"/>
            <w:right w:w="108" w:type="dxa"/>
          </w:tblCellMar>
        </w:tblPrEx>
        <w:trPr>
          <w:trHeight w:val="90" w:hRule="atLeast"/>
          <w:jc w:val="center"/>
        </w:trPr>
        <w:tc>
          <w:tcPr>
            <w:tcW w:w="879"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效益指标</w:t>
            </w:r>
          </w:p>
        </w:tc>
        <w:tc>
          <w:tcPr>
            <w:tcW w:w="941"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可持续发展指标</w:t>
            </w:r>
          </w:p>
        </w:tc>
        <w:tc>
          <w:tcPr>
            <w:tcW w:w="1630"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补贴发放率</w:t>
            </w:r>
          </w:p>
        </w:tc>
        <w:tc>
          <w:tcPr>
            <w:tcW w:w="774"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92%</w:t>
            </w:r>
          </w:p>
        </w:tc>
        <w:tc>
          <w:tcPr>
            <w:tcW w:w="773"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100%</w:t>
            </w:r>
          </w:p>
        </w:tc>
      </w:tr>
      <w:tr>
        <w:tblPrEx>
          <w:tblCellMar>
            <w:top w:w="0" w:type="dxa"/>
            <w:left w:w="108" w:type="dxa"/>
            <w:bottom w:w="0" w:type="dxa"/>
            <w:right w:w="108" w:type="dxa"/>
          </w:tblCellMar>
        </w:tblPrEx>
        <w:trPr>
          <w:trHeight w:val="567" w:hRule="atLeast"/>
          <w:jc w:val="center"/>
        </w:trPr>
        <w:tc>
          <w:tcPr>
            <w:tcW w:w="879"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满意度指标</w:t>
            </w:r>
          </w:p>
        </w:tc>
        <w:tc>
          <w:tcPr>
            <w:tcW w:w="941"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服务对象满意度</w:t>
            </w:r>
          </w:p>
        </w:tc>
        <w:tc>
          <w:tcPr>
            <w:tcW w:w="1630"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受益群体满意度</w:t>
            </w:r>
          </w:p>
        </w:tc>
        <w:tc>
          <w:tcPr>
            <w:tcW w:w="774"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98%</w:t>
            </w:r>
          </w:p>
        </w:tc>
        <w:tc>
          <w:tcPr>
            <w:tcW w:w="773"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100%</w:t>
            </w:r>
          </w:p>
        </w:tc>
      </w:tr>
    </w:tbl>
    <w:p>
      <w:pPr>
        <w:bidi w:val="0"/>
        <w:rPr>
          <w:rFonts w:hint="eastAsia"/>
        </w:rPr>
      </w:pPr>
      <w:r>
        <w:rPr>
          <w:rFonts w:hint="eastAsia"/>
        </w:rPr>
        <w:t>发现的主要问题、原因及建议：</w:t>
      </w:r>
    </w:p>
    <w:p>
      <w:pPr>
        <w:bidi w:val="0"/>
        <w:rPr>
          <w:rFonts w:hint="eastAsia"/>
        </w:rPr>
      </w:pPr>
      <w:r>
        <w:rPr>
          <w:rFonts w:hint="eastAsia"/>
          <w:lang w:val="en-US" w:eastAsia="zh-CN"/>
        </w:rPr>
        <w:t>暂无。</w:t>
      </w:r>
    </w:p>
    <w:p>
      <w:pPr>
        <w:bidi w:val="0"/>
      </w:pPr>
      <w:r>
        <w:rPr>
          <w:rFonts w:hint="eastAsia"/>
        </w:rPr>
        <w:t>11、选派来琼挂职干部保障项目绩效自评综述</w:t>
      </w:r>
    </w:p>
    <w:p>
      <w:pPr>
        <w:bidi w:val="0"/>
        <w:rPr>
          <w:rFonts w:hint="eastAsia"/>
          <w:lang w:eastAsia="zh-CN"/>
        </w:rPr>
      </w:pPr>
      <w:r>
        <w:rPr>
          <w:rFonts w:hint="eastAsia"/>
        </w:rPr>
        <w:t>根据年初设定的绩效目标，项目自评得分为</w:t>
      </w:r>
      <w:r>
        <w:rPr>
          <w:rFonts w:hint="eastAsia"/>
          <w:lang w:val="en-US" w:eastAsia="zh-CN"/>
        </w:rPr>
        <w:t>99.79</w:t>
      </w:r>
      <w:r>
        <w:rPr>
          <w:rFonts w:hint="eastAsia"/>
        </w:rPr>
        <w:t>分。资金总额年初预算数1</w:t>
      </w:r>
      <w:r>
        <w:rPr>
          <w:rFonts w:hint="eastAsia"/>
          <w:lang w:val="en-US" w:eastAsia="zh-CN"/>
        </w:rPr>
        <w:t>,</w:t>
      </w:r>
      <w:r>
        <w:rPr>
          <w:rFonts w:hint="eastAsia"/>
        </w:rPr>
        <w:t>083</w:t>
      </w:r>
      <w:r>
        <w:rPr>
          <w:rFonts w:hint="eastAsia"/>
          <w:lang w:val="en-US" w:eastAsia="zh-CN"/>
        </w:rPr>
        <w:t>,</w:t>
      </w:r>
      <w:r>
        <w:rPr>
          <w:rFonts w:hint="eastAsia"/>
        </w:rPr>
        <w:t>200元，资金总额全年预算数890</w:t>
      </w:r>
      <w:r>
        <w:rPr>
          <w:rFonts w:hint="eastAsia"/>
          <w:lang w:val="en-US" w:eastAsia="zh-CN"/>
        </w:rPr>
        <w:t>,</w:t>
      </w:r>
      <w:r>
        <w:rPr>
          <w:rFonts w:hint="eastAsia"/>
        </w:rPr>
        <w:t>100元。其中：财政资金年初预算数1</w:t>
      </w:r>
      <w:r>
        <w:rPr>
          <w:rFonts w:hint="eastAsia"/>
          <w:lang w:val="en-US" w:eastAsia="zh-CN"/>
        </w:rPr>
        <w:t>,</w:t>
      </w:r>
      <w:r>
        <w:rPr>
          <w:rFonts w:hint="eastAsia"/>
        </w:rPr>
        <w:t>083</w:t>
      </w:r>
      <w:r>
        <w:rPr>
          <w:rFonts w:hint="eastAsia"/>
          <w:lang w:val="en-US" w:eastAsia="zh-CN"/>
        </w:rPr>
        <w:t>,</w:t>
      </w:r>
      <w:r>
        <w:rPr>
          <w:rFonts w:hint="eastAsia"/>
        </w:rPr>
        <w:t>200元，财政资金全年预算数890</w:t>
      </w:r>
      <w:r>
        <w:rPr>
          <w:rFonts w:hint="eastAsia"/>
          <w:lang w:val="en-US" w:eastAsia="zh-CN"/>
        </w:rPr>
        <w:t>,</w:t>
      </w:r>
      <w:r>
        <w:rPr>
          <w:rFonts w:hint="eastAsia"/>
        </w:rPr>
        <w:t>100元</w:t>
      </w:r>
      <w:r>
        <w:rPr>
          <w:rFonts w:hint="eastAsia"/>
          <w:lang w:eastAsia="zh-CN"/>
        </w:rPr>
        <w:t>。</w:t>
      </w:r>
    </w:p>
    <w:p>
      <w:pPr>
        <w:bidi w:val="0"/>
        <w:rPr>
          <w:rFonts w:hint="eastAsia"/>
          <w:lang w:val="en-US" w:eastAsia="zh-CN"/>
        </w:rPr>
      </w:pPr>
      <w:r>
        <w:rPr>
          <w:rFonts w:hint="eastAsia"/>
        </w:rPr>
        <w:t>资金总额全年执行数871</w:t>
      </w:r>
      <w:r>
        <w:rPr>
          <w:rFonts w:hint="eastAsia"/>
          <w:lang w:val="en-US" w:eastAsia="zh-CN"/>
        </w:rPr>
        <w:t>,</w:t>
      </w:r>
      <w:r>
        <w:rPr>
          <w:rFonts w:hint="eastAsia"/>
        </w:rPr>
        <w:t>419.82元，执行率</w:t>
      </w:r>
      <w:r>
        <w:rPr>
          <w:rFonts w:hint="eastAsia"/>
          <w:lang w:val="en-US" w:eastAsia="zh-CN"/>
        </w:rPr>
        <w:t>97.9</w:t>
      </w:r>
      <w:r>
        <w:rPr>
          <w:rFonts w:hint="eastAsia"/>
        </w:rPr>
        <w:t>%。其中：财政资金全年执行数871</w:t>
      </w:r>
      <w:r>
        <w:rPr>
          <w:rFonts w:hint="eastAsia"/>
          <w:lang w:val="en-US" w:eastAsia="zh-CN"/>
        </w:rPr>
        <w:t>,</w:t>
      </w:r>
      <w:r>
        <w:rPr>
          <w:rFonts w:hint="eastAsia"/>
        </w:rPr>
        <w:t>419.82元，执行率</w:t>
      </w:r>
      <w:r>
        <w:rPr>
          <w:rFonts w:hint="eastAsia"/>
          <w:lang w:val="en-US" w:eastAsia="zh-CN"/>
        </w:rPr>
        <w:t>97.9</w:t>
      </w:r>
      <w:r>
        <w:rPr>
          <w:rFonts w:hint="eastAsia"/>
        </w:rPr>
        <w:t>%</w:t>
      </w:r>
      <w:r>
        <w:rPr>
          <w:rFonts w:hint="eastAsia"/>
          <w:lang w:eastAsia="zh-CN"/>
        </w:rPr>
        <w:t>。</w:t>
      </w:r>
    </w:p>
    <w:p>
      <w:pPr>
        <w:bidi w:val="0"/>
        <w:rPr>
          <w:rFonts w:hint="eastAsia"/>
        </w:rPr>
      </w:pPr>
      <w:r>
        <w:rPr>
          <w:rFonts w:hint="eastAsia"/>
        </w:rPr>
        <w:t>项目绩效目标完成情况：2022年完成2名入住海旅公寓挂职干部按季度报销食宿、物业等相关费用报销。完成6名挂职干部伙食费补贴2022年度按工作日每人每日早餐10元、晚餐30元；非工作日每人每日早餐10元、午餐30元、晚餐30元发放个人账户</w:t>
      </w:r>
      <w:r>
        <w:rPr>
          <w:rFonts w:hint="eastAsia"/>
          <w:lang w:eastAsia="zh-CN"/>
        </w:rPr>
        <w:t>；</w:t>
      </w:r>
      <w:r>
        <w:rPr>
          <w:rFonts w:hint="eastAsia"/>
        </w:rPr>
        <w:t>2022年保障6位省外单位来我校挂职干部探亲差旅费</w:t>
      </w:r>
      <w:r>
        <w:rPr>
          <w:rFonts w:hint="eastAsia"/>
          <w:lang w:eastAsia="zh-CN"/>
        </w:rPr>
        <w:t>；</w:t>
      </w:r>
      <w:r>
        <w:rPr>
          <w:rFonts w:hint="eastAsia"/>
        </w:rPr>
        <w:t>2022年按标准保障，完成发放选派来我校挂职干部生活补助和车改补贴、缴交人身意外险。</w:t>
      </w:r>
    </w:p>
    <w:p>
      <w:pPr>
        <w:bidi w:val="0"/>
      </w:pPr>
      <w:r>
        <w:rPr>
          <w:rFonts w:hint="eastAsia"/>
        </w:rPr>
        <w:t>具体完成情况见表11。</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表11 </w:t>
      </w:r>
      <w:r>
        <w:rPr>
          <w:rFonts w:hint="eastAsia" w:ascii="仿宋" w:hAnsi="仿宋" w:eastAsia="仿宋" w:cs="仿宋"/>
          <w:sz w:val="28"/>
          <w:szCs w:val="28"/>
          <w:lang w:eastAsia="zh-CN"/>
        </w:rPr>
        <w:t>项目绩效自评表</w:t>
      </w:r>
    </w:p>
    <w:tbl>
      <w:tblPr>
        <w:tblStyle w:val="16"/>
        <w:tblW w:w="8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1689"/>
        <w:gridCol w:w="2572"/>
        <w:gridCol w:w="1335"/>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一级指标</w:t>
            </w:r>
          </w:p>
        </w:tc>
        <w:tc>
          <w:tcPr>
            <w:tcW w:w="1689"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二级指标</w:t>
            </w:r>
          </w:p>
        </w:tc>
        <w:tc>
          <w:tcPr>
            <w:tcW w:w="2572"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三级指标</w:t>
            </w:r>
          </w:p>
        </w:tc>
        <w:tc>
          <w:tcPr>
            <w:tcW w:w="1335"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年度指标值</w:t>
            </w:r>
          </w:p>
        </w:tc>
        <w:tc>
          <w:tcPr>
            <w:tcW w:w="1467"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1689" w:type="dxa"/>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时效指标</w:t>
            </w:r>
          </w:p>
        </w:tc>
        <w:tc>
          <w:tcPr>
            <w:tcW w:w="2572" w:type="dxa"/>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省外来校挂职干部经费按时发放率</w:t>
            </w:r>
          </w:p>
        </w:tc>
        <w:tc>
          <w:tcPr>
            <w:tcW w:w="1335" w:type="dxa"/>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95%</w:t>
            </w:r>
          </w:p>
        </w:tc>
        <w:tc>
          <w:tcPr>
            <w:tcW w:w="1467" w:type="dxa"/>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效益指标</w:t>
            </w:r>
          </w:p>
        </w:tc>
        <w:tc>
          <w:tcPr>
            <w:tcW w:w="1689" w:type="dxa"/>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可持续发展指标</w:t>
            </w:r>
          </w:p>
        </w:tc>
        <w:tc>
          <w:tcPr>
            <w:tcW w:w="2572" w:type="dxa"/>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省外来琼挂职干部人数</w:t>
            </w:r>
          </w:p>
        </w:tc>
        <w:tc>
          <w:tcPr>
            <w:tcW w:w="1335" w:type="dxa"/>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6人</w:t>
            </w:r>
          </w:p>
        </w:tc>
        <w:tc>
          <w:tcPr>
            <w:tcW w:w="1467" w:type="dxa"/>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满意度指标</w:t>
            </w:r>
          </w:p>
        </w:tc>
        <w:tc>
          <w:tcPr>
            <w:tcW w:w="1689"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服务对象满意度</w:t>
            </w:r>
          </w:p>
        </w:tc>
        <w:tc>
          <w:tcPr>
            <w:tcW w:w="2572"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省外来琼挂职干部满意度</w:t>
            </w:r>
          </w:p>
        </w:tc>
        <w:tc>
          <w:tcPr>
            <w:tcW w:w="1335" w:type="dxa"/>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95%</w:t>
            </w:r>
          </w:p>
        </w:tc>
        <w:tc>
          <w:tcPr>
            <w:tcW w:w="1467" w:type="dxa"/>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r>
    </w:tbl>
    <w:p>
      <w:pPr>
        <w:bidi w:val="0"/>
        <w:rPr>
          <w:rFonts w:hint="eastAsia"/>
        </w:rPr>
      </w:pPr>
      <w:r>
        <w:rPr>
          <w:rFonts w:hint="eastAsia"/>
        </w:rPr>
        <w:t>发现的主要问题、原因及建议：</w:t>
      </w:r>
    </w:p>
    <w:p>
      <w:pPr>
        <w:bidi w:val="0"/>
        <w:rPr>
          <w:rFonts w:hint="eastAsia"/>
        </w:rPr>
      </w:pPr>
      <w:r>
        <w:rPr>
          <w:rFonts w:hint="eastAsia"/>
          <w:lang w:val="en-US" w:eastAsia="zh-CN"/>
        </w:rPr>
        <w:t>暂无。</w:t>
      </w:r>
    </w:p>
    <w:p>
      <w:pPr>
        <w:bidi w:val="0"/>
      </w:pPr>
      <w:r>
        <w:rPr>
          <w:rFonts w:hint="eastAsia"/>
        </w:rPr>
        <w:t>12、酒店业人才培养</w:t>
      </w:r>
      <w:r>
        <w:rPr>
          <w:rFonts w:hint="eastAsia"/>
          <w:lang w:val="en-US" w:eastAsia="zh-CN"/>
        </w:rPr>
        <w:t>项目</w:t>
      </w:r>
      <w:r>
        <w:rPr>
          <w:rFonts w:hint="eastAsia"/>
        </w:rPr>
        <w:t>绩效自评综述</w:t>
      </w:r>
    </w:p>
    <w:p>
      <w:pPr>
        <w:bidi w:val="0"/>
        <w:rPr>
          <w:rFonts w:hint="eastAsia"/>
          <w:lang w:eastAsia="zh-CN"/>
        </w:rPr>
      </w:pPr>
      <w:r>
        <w:rPr>
          <w:rFonts w:hint="eastAsia"/>
        </w:rPr>
        <w:t>根据年初设定的绩效目标，项目自评得分为</w:t>
      </w:r>
      <w:r>
        <w:rPr>
          <w:rFonts w:hint="eastAsia"/>
          <w:lang w:val="en-US" w:eastAsia="zh-CN"/>
        </w:rPr>
        <w:t>98.11</w:t>
      </w:r>
      <w:r>
        <w:rPr>
          <w:rFonts w:hint="eastAsia"/>
        </w:rPr>
        <w:t>分。资金总额年初预算数921</w:t>
      </w:r>
      <w:r>
        <w:rPr>
          <w:rFonts w:hint="eastAsia"/>
          <w:lang w:val="en-US" w:eastAsia="zh-CN"/>
        </w:rPr>
        <w:t>,</w:t>
      </w:r>
      <w:r>
        <w:rPr>
          <w:rFonts w:hint="eastAsia"/>
        </w:rPr>
        <w:t>460元，资金总额全年预算数1</w:t>
      </w:r>
      <w:r>
        <w:rPr>
          <w:rFonts w:hint="eastAsia"/>
          <w:lang w:val="en-US" w:eastAsia="zh-CN"/>
        </w:rPr>
        <w:t>,</w:t>
      </w:r>
      <w:r>
        <w:rPr>
          <w:rFonts w:hint="eastAsia"/>
        </w:rPr>
        <w:t>267</w:t>
      </w:r>
      <w:r>
        <w:rPr>
          <w:rFonts w:hint="eastAsia"/>
          <w:lang w:val="en-US" w:eastAsia="zh-CN"/>
        </w:rPr>
        <w:t>,</w:t>
      </w:r>
      <w:r>
        <w:rPr>
          <w:rFonts w:hint="eastAsia"/>
        </w:rPr>
        <w:t>710元。其中：财政资金年初预算数921</w:t>
      </w:r>
      <w:r>
        <w:rPr>
          <w:rFonts w:hint="eastAsia"/>
          <w:lang w:val="en-US" w:eastAsia="zh-CN"/>
        </w:rPr>
        <w:t>,</w:t>
      </w:r>
      <w:r>
        <w:rPr>
          <w:rFonts w:hint="eastAsia"/>
        </w:rPr>
        <w:t>460元，财政资金全年预算数1</w:t>
      </w:r>
      <w:r>
        <w:rPr>
          <w:rFonts w:hint="eastAsia"/>
          <w:lang w:val="en-US" w:eastAsia="zh-CN"/>
        </w:rPr>
        <w:t>,</w:t>
      </w:r>
      <w:r>
        <w:rPr>
          <w:rFonts w:hint="eastAsia"/>
        </w:rPr>
        <w:t>267</w:t>
      </w:r>
      <w:r>
        <w:rPr>
          <w:rFonts w:hint="eastAsia"/>
          <w:lang w:val="en-US" w:eastAsia="zh-CN"/>
        </w:rPr>
        <w:t>,</w:t>
      </w:r>
      <w:r>
        <w:rPr>
          <w:rFonts w:hint="eastAsia"/>
        </w:rPr>
        <w:t>710元</w:t>
      </w:r>
      <w:r>
        <w:rPr>
          <w:rFonts w:hint="eastAsia"/>
          <w:lang w:eastAsia="zh-CN"/>
        </w:rPr>
        <w:t>。</w:t>
      </w:r>
    </w:p>
    <w:p>
      <w:pPr>
        <w:bidi w:val="0"/>
        <w:rPr>
          <w:rFonts w:hint="eastAsia"/>
          <w:lang w:eastAsia="zh-CN"/>
        </w:rPr>
      </w:pPr>
      <w:r>
        <w:rPr>
          <w:rFonts w:hint="eastAsia"/>
        </w:rPr>
        <w:t>资金总额全年执行数1</w:t>
      </w:r>
      <w:r>
        <w:rPr>
          <w:rFonts w:hint="eastAsia"/>
          <w:lang w:val="en-US" w:eastAsia="zh-CN"/>
        </w:rPr>
        <w:t>,</w:t>
      </w:r>
      <w:r>
        <w:rPr>
          <w:rFonts w:hint="eastAsia"/>
        </w:rPr>
        <w:t>256</w:t>
      </w:r>
      <w:r>
        <w:rPr>
          <w:rFonts w:hint="eastAsia"/>
          <w:lang w:val="en-US" w:eastAsia="zh-CN"/>
        </w:rPr>
        <w:t>,</w:t>
      </w:r>
      <w:r>
        <w:rPr>
          <w:rFonts w:hint="eastAsia"/>
        </w:rPr>
        <w:t>598.46元，执行率</w:t>
      </w:r>
      <w:r>
        <w:rPr>
          <w:rFonts w:hint="eastAsia"/>
          <w:lang w:val="en-US" w:eastAsia="zh-CN"/>
        </w:rPr>
        <w:t>99.12</w:t>
      </w:r>
      <w:r>
        <w:rPr>
          <w:rFonts w:hint="eastAsia"/>
        </w:rPr>
        <w:t>%。其中：财政资金全年执行数1</w:t>
      </w:r>
      <w:r>
        <w:rPr>
          <w:rFonts w:hint="eastAsia"/>
          <w:lang w:val="en-US" w:eastAsia="zh-CN"/>
        </w:rPr>
        <w:t>,</w:t>
      </w:r>
      <w:r>
        <w:rPr>
          <w:rFonts w:hint="eastAsia"/>
        </w:rPr>
        <w:t>256</w:t>
      </w:r>
      <w:r>
        <w:rPr>
          <w:rFonts w:hint="eastAsia"/>
          <w:lang w:val="en-US" w:eastAsia="zh-CN"/>
        </w:rPr>
        <w:t>,</w:t>
      </w:r>
      <w:r>
        <w:rPr>
          <w:rFonts w:hint="eastAsia"/>
        </w:rPr>
        <w:t>598.46元，执行率</w:t>
      </w:r>
      <w:r>
        <w:rPr>
          <w:rFonts w:hint="eastAsia"/>
          <w:lang w:val="en-US" w:eastAsia="zh-CN"/>
        </w:rPr>
        <w:t>99.12</w:t>
      </w:r>
      <w:r>
        <w:rPr>
          <w:rFonts w:hint="eastAsia"/>
        </w:rPr>
        <w:t>%</w:t>
      </w:r>
      <w:r>
        <w:rPr>
          <w:rFonts w:hint="eastAsia"/>
          <w:lang w:eastAsia="zh-CN"/>
        </w:rPr>
        <w:t>。</w:t>
      </w:r>
    </w:p>
    <w:p>
      <w:pPr>
        <w:bidi w:val="0"/>
        <w:rPr>
          <w:rFonts w:hint="eastAsia"/>
        </w:rPr>
      </w:pPr>
      <w:r>
        <w:rPr>
          <w:rFonts w:hint="eastAsia"/>
        </w:rPr>
        <w:t>项目绩效目标完成情况：已完成2021级招生282人，“旺工淡学”、“送教入企”课程开出率达到93%，师生满意度达到93%，基本完成项目年度目标。</w:t>
      </w:r>
    </w:p>
    <w:p>
      <w:pPr>
        <w:bidi w:val="0"/>
      </w:pPr>
      <w:r>
        <w:rPr>
          <w:rFonts w:hint="eastAsia"/>
        </w:rPr>
        <w:t>具体完成情况见表12。</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表12 </w:t>
      </w:r>
      <w:r>
        <w:rPr>
          <w:rFonts w:hint="eastAsia" w:ascii="仿宋" w:hAnsi="仿宋" w:eastAsia="仿宋" w:cs="仿宋"/>
          <w:sz w:val="28"/>
          <w:szCs w:val="28"/>
          <w:lang w:eastAsia="zh-CN"/>
        </w:rPr>
        <w:t>项目绩效自评表</w:t>
      </w:r>
    </w:p>
    <w:tbl>
      <w:tblPr>
        <w:tblStyle w:val="16"/>
        <w:tblW w:w="4850" w:type="pct"/>
        <w:tblInd w:w="0" w:type="dxa"/>
        <w:tblLayout w:type="fixed"/>
        <w:tblCellMar>
          <w:top w:w="0" w:type="dxa"/>
          <w:left w:w="108" w:type="dxa"/>
          <w:bottom w:w="0" w:type="dxa"/>
          <w:right w:w="108" w:type="dxa"/>
        </w:tblCellMar>
      </w:tblPr>
      <w:tblGrid>
        <w:gridCol w:w="1375"/>
        <w:gridCol w:w="1682"/>
        <w:gridCol w:w="2500"/>
        <w:gridCol w:w="1381"/>
        <w:gridCol w:w="1336"/>
      </w:tblGrid>
      <w:tr>
        <w:tblPrEx>
          <w:tblCellMar>
            <w:top w:w="0" w:type="dxa"/>
            <w:left w:w="108" w:type="dxa"/>
            <w:bottom w:w="0" w:type="dxa"/>
            <w:right w:w="108" w:type="dxa"/>
          </w:tblCellMar>
        </w:tblPrEx>
        <w:trPr>
          <w:trHeight w:val="567" w:hRule="atLeast"/>
        </w:trPr>
        <w:tc>
          <w:tcPr>
            <w:tcW w:w="13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一级指标</w:t>
            </w:r>
          </w:p>
        </w:tc>
        <w:tc>
          <w:tcPr>
            <w:tcW w:w="168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二级指标</w:t>
            </w:r>
          </w:p>
        </w:tc>
        <w:tc>
          <w:tcPr>
            <w:tcW w:w="24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三级指标</w:t>
            </w:r>
          </w:p>
        </w:tc>
        <w:tc>
          <w:tcPr>
            <w:tcW w:w="138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年度指标值</w:t>
            </w:r>
          </w:p>
        </w:tc>
        <w:tc>
          <w:tcPr>
            <w:tcW w:w="133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实际完成值</w:t>
            </w:r>
          </w:p>
        </w:tc>
      </w:tr>
      <w:tr>
        <w:tblPrEx>
          <w:tblCellMar>
            <w:top w:w="0" w:type="dxa"/>
            <w:left w:w="108" w:type="dxa"/>
            <w:bottom w:w="0" w:type="dxa"/>
            <w:right w:w="108" w:type="dxa"/>
          </w:tblCellMar>
        </w:tblPrEx>
        <w:trPr>
          <w:trHeight w:val="567" w:hRule="atLeast"/>
        </w:trPr>
        <w:tc>
          <w:tcPr>
            <w:tcW w:w="13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16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数量指标</w:t>
            </w:r>
          </w:p>
        </w:tc>
        <w:tc>
          <w:tcPr>
            <w:tcW w:w="2498"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2021级招生人数</w:t>
            </w:r>
          </w:p>
        </w:tc>
        <w:tc>
          <w:tcPr>
            <w:tcW w:w="13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300人</w:t>
            </w:r>
          </w:p>
        </w:tc>
        <w:tc>
          <w:tcPr>
            <w:tcW w:w="1335"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282人</w:t>
            </w:r>
          </w:p>
        </w:tc>
      </w:tr>
      <w:tr>
        <w:tblPrEx>
          <w:tblCellMar>
            <w:top w:w="0" w:type="dxa"/>
            <w:left w:w="108" w:type="dxa"/>
            <w:bottom w:w="0" w:type="dxa"/>
            <w:right w:w="108" w:type="dxa"/>
          </w:tblCellMar>
        </w:tblPrEx>
        <w:trPr>
          <w:trHeight w:val="567" w:hRule="atLeast"/>
        </w:trPr>
        <w:tc>
          <w:tcPr>
            <w:tcW w:w="13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效益指标</w:t>
            </w:r>
          </w:p>
        </w:tc>
        <w:tc>
          <w:tcPr>
            <w:tcW w:w="16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经济效益指标</w:t>
            </w:r>
          </w:p>
        </w:tc>
        <w:tc>
          <w:tcPr>
            <w:tcW w:w="2498"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“旺工淡学”、“送教入企”课程开出率</w:t>
            </w:r>
          </w:p>
        </w:tc>
        <w:tc>
          <w:tcPr>
            <w:tcW w:w="13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85%</w:t>
            </w:r>
          </w:p>
        </w:tc>
        <w:tc>
          <w:tcPr>
            <w:tcW w:w="1335"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93%</w:t>
            </w:r>
          </w:p>
        </w:tc>
      </w:tr>
      <w:tr>
        <w:tblPrEx>
          <w:tblCellMar>
            <w:top w:w="0" w:type="dxa"/>
            <w:left w:w="108" w:type="dxa"/>
            <w:bottom w:w="0" w:type="dxa"/>
            <w:right w:w="108" w:type="dxa"/>
          </w:tblCellMar>
        </w:tblPrEx>
        <w:trPr>
          <w:trHeight w:val="567" w:hRule="atLeast"/>
        </w:trPr>
        <w:tc>
          <w:tcPr>
            <w:tcW w:w="13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满意度指标</w:t>
            </w:r>
          </w:p>
        </w:tc>
        <w:tc>
          <w:tcPr>
            <w:tcW w:w="16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服务对象满意度</w:t>
            </w:r>
          </w:p>
        </w:tc>
        <w:tc>
          <w:tcPr>
            <w:tcW w:w="2498"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师生满意度</w:t>
            </w:r>
          </w:p>
        </w:tc>
        <w:tc>
          <w:tcPr>
            <w:tcW w:w="13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90%</w:t>
            </w:r>
          </w:p>
        </w:tc>
        <w:tc>
          <w:tcPr>
            <w:tcW w:w="1335"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93%</w:t>
            </w:r>
          </w:p>
        </w:tc>
      </w:tr>
    </w:tbl>
    <w:p>
      <w:pPr>
        <w:bidi w:val="0"/>
        <w:rPr>
          <w:rFonts w:hint="eastAsia"/>
        </w:rPr>
      </w:pPr>
      <w:r>
        <w:rPr>
          <w:rFonts w:hint="eastAsia"/>
        </w:rPr>
        <w:t>发现的主要问题、原因及建议：</w:t>
      </w:r>
    </w:p>
    <w:p>
      <w:pPr>
        <w:bidi w:val="0"/>
        <w:rPr>
          <w:rFonts w:hint="eastAsia"/>
        </w:rPr>
      </w:pPr>
      <w:r>
        <w:rPr>
          <w:rFonts w:hint="eastAsia"/>
          <w:lang w:val="en-US" w:eastAsia="zh-CN"/>
        </w:rPr>
        <w:t>暂无。</w:t>
      </w:r>
    </w:p>
    <w:p>
      <w:pPr>
        <w:bidi w:val="0"/>
      </w:pPr>
      <w:r>
        <w:rPr>
          <w:rFonts w:hint="eastAsia"/>
        </w:rPr>
        <w:t>13、普及中小学生游泳教育项目绩效自评综述</w:t>
      </w:r>
    </w:p>
    <w:p>
      <w:pPr>
        <w:bidi w:val="0"/>
        <w:rPr>
          <w:rFonts w:hint="eastAsia"/>
          <w:lang w:eastAsia="zh-CN"/>
        </w:rPr>
      </w:pPr>
      <w:r>
        <w:rPr>
          <w:rFonts w:hint="eastAsia"/>
        </w:rPr>
        <w:t>根据年初设定的绩效目标，项目自评得分为</w:t>
      </w:r>
      <w:r>
        <w:rPr>
          <w:rFonts w:hint="eastAsia"/>
          <w:lang w:val="en-US" w:eastAsia="zh-CN"/>
        </w:rPr>
        <w:t>97.95</w:t>
      </w:r>
      <w:r>
        <w:rPr>
          <w:rFonts w:hint="eastAsia"/>
        </w:rPr>
        <w:t>分。资金总额年初预算数600</w:t>
      </w:r>
      <w:r>
        <w:rPr>
          <w:rFonts w:hint="eastAsia"/>
          <w:lang w:val="en-US" w:eastAsia="zh-CN"/>
        </w:rPr>
        <w:t>,</w:t>
      </w:r>
      <w:r>
        <w:rPr>
          <w:rFonts w:hint="eastAsia"/>
        </w:rPr>
        <w:t>000元，资金总额全年预算数400</w:t>
      </w:r>
      <w:r>
        <w:rPr>
          <w:rFonts w:hint="eastAsia"/>
          <w:lang w:val="en-US" w:eastAsia="zh-CN"/>
        </w:rPr>
        <w:t>,</w:t>
      </w:r>
      <w:r>
        <w:rPr>
          <w:rFonts w:hint="eastAsia"/>
        </w:rPr>
        <w:t>000元。其中：财政资金年初预算数600</w:t>
      </w:r>
      <w:r>
        <w:rPr>
          <w:rFonts w:hint="eastAsia"/>
          <w:lang w:val="en-US" w:eastAsia="zh-CN"/>
        </w:rPr>
        <w:t>,</w:t>
      </w:r>
      <w:r>
        <w:rPr>
          <w:rFonts w:hint="eastAsia"/>
        </w:rPr>
        <w:t>000元，财政资金全年预算数400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资金总额全年执行数317</w:t>
      </w:r>
      <w:r>
        <w:rPr>
          <w:rFonts w:hint="eastAsia"/>
          <w:lang w:val="en-US" w:eastAsia="zh-CN"/>
        </w:rPr>
        <w:t>,</w:t>
      </w:r>
      <w:r>
        <w:rPr>
          <w:rFonts w:hint="eastAsia"/>
        </w:rPr>
        <w:t>799元，执行率</w:t>
      </w:r>
      <w:r>
        <w:rPr>
          <w:rFonts w:hint="eastAsia"/>
          <w:lang w:val="en-US" w:eastAsia="zh-CN"/>
        </w:rPr>
        <w:t>79.45</w:t>
      </w:r>
      <w:r>
        <w:rPr>
          <w:rFonts w:hint="eastAsia"/>
        </w:rPr>
        <w:t>%。其中：财政资金全年执行数317</w:t>
      </w:r>
      <w:r>
        <w:rPr>
          <w:rFonts w:hint="eastAsia"/>
          <w:lang w:val="en-US" w:eastAsia="zh-CN"/>
        </w:rPr>
        <w:t>,</w:t>
      </w:r>
      <w:r>
        <w:rPr>
          <w:rFonts w:hint="eastAsia"/>
        </w:rPr>
        <w:t>799元，执行率</w:t>
      </w:r>
      <w:r>
        <w:rPr>
          <w:rFonts w:hint="eastAsia"/>
          <w:lang w:val="en-US" w:eastAsia="zh-CN"/>
        </w:rPr>
        <w:t>79.45</w:t>
      </w:r>
      <w:r>
        <w:rPr>
          <w:rFonts w:hint="eastAsia"/>
        </w:rPr>
        <w:t>%</w:t>
      </w:r>
      <w:r>
        <w:rPr>
          <w:rFonts w:hint="eastAsia"/>
          <w:lang w:eastAsia="zh-CN"/>
        </w:rPr>
        <w:t>。</w:t>
      </w:r>
    </w:p>
    <w:p>
      <w:pPr>
        <w:bidi w:val="0"/>
        <w:rPr>
          <w:rFonts w:hint="eastAsia"/>
        </w:rPr>
      </w:pPr>
      <w:r>
        <w:rPr>
          <w:rFonts w:hint="eastAsia"/>
        </w:rPr>
        <w:t>项目绩效目标完成情况</w:t>
      </w:r>
      <w:r>
        <w:rPr>
          <w:rFonts w:hint="eastAsia"/>
          <w:lang w:eastAsia="zh-CN"/>
        </w:rPr>
        <w:t>：</w:t>
      </w:r>
      <w:r>
        <w:rPr>
          <w:rFonts w:hint="eastAsia"/>
        </w:rPr>
        <w:t>已完成抽核学校数量328所，总结学校抽核数据报告328份，按期完成项目绩效目标。</w:t>
      </w:r>
    </w:p>
    <w:p>
      <w:pPr>
        <w:bidi w:val="0"/>
      </w:pPr>
      <w:r>
        <w:rPr>
          <w:rFonts w:hint="eastAsia"/>
        </w:rPr>
        <w:t>具体完成情况见表13。</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表13 </w:t>
      </w:r>
      <w:r>
        <w:rPr>
          <w:rFonts w:hint="eastAsia" w:ascii="仿宋" w:hAnsi="仿宋" w:eastAsia="仿宋" w:cs="仿宋"/>
          <w:sz w:val="28"/>
          <w:szCs w:val="28"/>
          <w:lang w:eastAsia="zh-CN"/>
        </w:rPr>
        <w:t>项目绩效自评表</w:t>
      </w:r>
    </w:p>
    <w:tbl>
      <w:tblPr>
        <w:tblStyle w:val="16"/>
        <w:tblW w:w="50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671"/>
        <w:gridCol w:w="2413"/>
        <w:gridCol w:w="921"/>
        <w:gridCol w:w="10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一级指标</w:t>
            </w:r>
          </w:p>
        </w:tc>
        <w:tc>
          <w:tcPr>
            <w:tcW w:w="166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二级指标</w:t>
            </w:r>
          </w:p>
        </w:tc>
        <w:tc>
          <w:tcPr>
            <w:tcW w:w="241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三级指标</w:t>
            </w: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指标性质</w:t>
            </w:r>
          </w:p>
        </w:tc>
        <w:tc>
          <w:tcPr>
            <w:tcW w:w="100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年度指标值</w:t>
            </w:r>
          </w:p>
        </w:tc>
        <w:tc>
          <w:tcPr>
            <w:tcW w:w="110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166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数量指标</w:t>
            </w:r>
          </w:p>
        </w:tc>
        <w:tc>
          <w:tcPr>
            <w:tcW w:w="241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抽核学校数量</w:t>
            </w: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100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100所</w:t>
            </w:r>
          </w:p>
        </w:tc>
        <w:tc>
          <w:tcPr>
            <w:tcW w:w="110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328所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效益指标</w:t>
            </w:r>
          </w:p>
        </w:tc>
        <w:tc>
          <w:tcPr>
            <w:tcW w:w="166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可持续影响</w:t>
            </w:r>
          </w:p>
        </w:tc>
        <w:tc>
          <w:tcPr>
            <w:tcW w:w="241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抽核学校数据报告数量</w:t>
            </w: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100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100份</w:t>
            </w:r>
          </w:p>
        </w:tc>
        <w:tc>
          <w:tcPr>
            <w:tcW w:w="110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328份</w:t>
            </w:r>
          </w:p>
        </w:tc>
      </w:tr>
    </w:tbl>
    <w:p>
      <w:pPr>
        <w:bidi w:val="0"/>
        <w:rPr>
          <w:rFonts w:hint="eastAsia"/>
        </w:rPr>
      </w:pPr>
      <w:r>
        <w:rPr>
          <w:rFonts w:hint="eastAsia"/>
        </w:rPr>
        <w:t>发现的主要问题、原因及建议：</w:t>
      </w:r>
    </w:p>
    <w:p>
      <w:pPr>
        <w:bidi w:val="0"/>
        <w:rPr>
          <w:rFonts w:hint="eastAsia"/>
        </w:rPr>
      </w:pPr>
      <w:r>
        <w:rPr>
          <w:rFonts w:hint="eastAsia"/>
          <w:lang w:val="en-US" w:eastAsia="zh-CN"/>
        </w:rPr>
        <w:t>暂无。</w:t>
      </w:r>
    </w:p>
    <w:p>
      <w:pPr>
        <w:bidi w:val="0"/>
      </w:pPr>
      <w:r>
        <w:rPr>
          <w:rFonts w:hint="eastAsia"/>
        </w:rPr>
        <w:t>14、海南省特色印记工程</w:t>
      </w:r>
      <w:r>
        <w:rPr>
          <w:rFonts w:hint="eastAsia"/>
          <w:lang w:val="en-US" w:eastAsia="zh-CN"/>
        </w:rPr>
        <w:t>项目</w:t>
      </w:r>
      <w:r>
        <w:rPr>
          <w:rFonts w:hint="eastAsia"/>
        </w:rPr>
        <w:t>绩效自评综述</w:t>
      </w:r>
    </w:p>
    <w:p>
      <w:pPr>
        <w:bidi w:val="0"/>
        <w:rPr>
          <w:rFonts w:hint="eastAsia"/>
          <w:lang w:eastAsia="zh-CN"/>
        </w:rPr>
      </w:pPr>
      <w:r>
        <w:rPr>
          <w:rFonts w:hint="eastAsia"/>
        </w:rPr>
        <w:t>根据年初设定的绩效目标，项目自评得分为</w:t>
      </w:r>
      <w:r>
        <w:rPr>
          <w:rFonts w:hint="eastAsia"/>
          <w:lang w:val="en-US" w:eastAsia="zh-CN"/>
        </w:rPr>
        <w:t>93.78</w:t>
      </w:r>
      <w:r>
        <w:rPr>
          <w:rFonts w:hint="eastAsia"/>
        </w:rPr>
        <w:t>分。资金总额年初预算数470</w:t>
      </w:r>
      <w:r>
        <w:rPr>
          <w:rFonts w:hint="eastAsia"/>
          <w:lang w:val="en-US" w:eastAsia="zh-CN"/>
        </w:rPr>
        <w:t>,</w:t>
      </w:r>
      <w:r>
        <w:rPr>
          <w:rFonts w:hint="eastAsia"/>
        </w:rPr>
        <w:t>000元，资金总额全年预算数470</w:t>
      </w:r>
      <w:r>
        <w:rPr>
          <w:rFonts w:hint="eastAsia"/>
          <w:lang w:val="en-US" w:eastAsia="zh-CN"/>
        </w:rPr>
        <w:t>,</w:t>
      </w:r>
      <w:r>
        <w:rPr>
          <w:rFonts w:hint="eastAsia"/>
        </w:rPr>
        <w:t>000元。其中：财政资金年初预算数470</w:t>
      </w:r>
      <w:r>
        <w:rPr>
          <w:rFonts w:hint="eastAsia"/>
          <w:lang w:val="en-US" w:eastAsia="zh-CN"/>
        </w:rPr>
        <w:t>,</w:t>
      </w:r>
      <w:r>
        <w:rPr>
          <w:rFonts w:hint="eastAsia"/>
        </w:rPr>
        <w:t>000元，财政资金全年预算数470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资金总额全年执行数412</w:t>
      </w:r>
      <w:r>
        <w:rPr>
          <w:rFonts w:hint="eastAsia"/>
          <w:lang w:val="en-US" w:eastAsia="zh-CN"/>
        </w:rPr>
        <w:t>,</w:t>
      </w:r>
      <w:r>
        <w:rPr>
          <w:rFonts w:hint="eastAsia"/>
        </w:rPr>
        <w:t>508元，执行率</w:t>
      </w:r>
      <w:r>
        <w:rPr>
          <w:rFonts w:hint="eastAsia"/>
          <w:lang w:val="en-US" w:eastAsia="zh-CN"/>
        </w:rPr>
        <w:t>87.77</w:t>
      </w:r>
      <w:r>
        <w:rPr>
          <w:rFonts w:hint="eastAsia"/>
        </w:rPr>
        <w:t>%。其中：财政资金全年执行数412</w:t>
      </w:r>
      <w:r>
        <w:rPr>
          <w:rFonts w:hint="eastAsia"/>
          <w:lang w:val="en-US" w:eastAsia="zh-CN"/>
        </w:rPr>
        <w:t>,</w:t>
      </w:r>
      <w:r>
        <w:rPr>
          <w:rFonts w:hint="eastAsia"/>
        </w:rPr>
        <w:t>508元，执行率</w:t>
      </w:r>
      <w:r>
        <w:rPr>
          <w:rFonts w:hint="eastAsia"/>
          <w:lang w:val="en-US" w:eastAsia="zh-CN"/>
        </w:rPr>
        <w:t>87.77</w:t>
      </w:r>
      <w:r>
        <w:rPr>
          <w:rFonts w:hint="eastAsia"/>
        </w:rPr>
        <w:t>%</w:t>
      </w:r>
      <w:r>
        <w:rPr>
          <w:rFonts w:hint="eastAsia"/>
          <w:lang w:eastAsia="zh-CN"/>
        </w:rPr>
        <w:t>。</w:t>
      </w:r>
    </w:p>
    <w:p>
      <w:pPr>
        <w:bidi w:val="0"/>
      </w:pPr>
      <w:r>
        <w:rPr>
          <w:rFonts w:hint="eastAsia"/>
        </w:rPr>
        <w:t>项目绩效目标完成情况：</w:t>
      </w:r>
      <w:r>
        <w:rPr>
          <w:rFonts w:hint="eastAsia"/>
          <w:lang w:val="en-US" w:eastAsia="zh-CN"/>
        </w:rPr>
        <w:t>除</w:t>
      </w:r>
      <w:r>
        <w:rPr>
          <w:rFonts w:hint="eastAsia"/>
        </w:rPr>
        <w:t>疫情影响，有队伍未能及时参加比赛</w:t>
      </w:r>
      <w:r>
        <w:rPr>
          <w:rFonts w:hint="eastAsia"/>
          <w:lang w:val="en-US" w:eastAsia="zh-CN"/>
        </w:rPr>
        <w:t>外，</w:t>
      </w:r>
      <w:r>
        <w:rPr>
          <w:rFonts w:hint="eastAsia"/>
        </w:rPr>
        <w:t>年度目标基本完成</w:t>
      </w:r>
      <w:r>
        <w:rPr>
          <w:rFonts w:hint="eastAsia"/>
          <w:lang w:eastAsia="zh-CN"/>
        </w:rPr>
        <w:t>。</w:t>
      </w:r>
      <w:r>
        <w:rPr>
          <w:rFonts w:hint="eastAsia"/>
          <w:lang w:val="en-US" w:eastAsia="zh-CN"/>
        </w:rPr>
        <w:t>2022年</w:t>
      </w:r>
      <w:r>
        <w:rPr>
          <w:rFonts w:hint="eastAsia"/>
        </w:rPr>
        <w:t>已完成开展海南省高雅艺术进校园演出活动4场，</w:t>
      </w:r>
      <w:r>
        <w:rPr>
          <w:rFonts w:hint="eastAsia"/>
          <w:lang w:val="en-US" w:eastAsia="zh-CN"/>
        </w:rPr>
        <w:t>参与竞赛人数达到25人，</w:t>
      </w:r>
      <w:r>
        <w:rPr>
          <w:rFonts w:hint="eastAsia"/>
        </w:rPr>
        <w:t>服务对象满意度达到90%。</w:t>
      </w:r>
    </w:p>
    <w:p>
      <w:pPr>
        <w:bidi w:val="0"/>
      </w:pPr>
      <w:r>
        <w:rPr>
          <w:rFonts w:hint="eastAsia"/>
        </w:rPr>
        <w:t>具体完成情况见表14。</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表14 </w:t>
      </w:r>
      <w:r>
        <w:rPr>
          <w:rFonts w:hint="eastAsia" w:ascii="仿宋" w:hAnsi="仿宋" w:eastAsia="仿宋" w:cs="仿宋"/>
          <w:sz w:val="28"/>
          <w:szCs w:val="28"/>
          <w:lang w:eastAsia="zh-CN"/>
        </w:rPr>
        <w:t>项目绩效自评表</w:t>
      </w:r>
    </w:p>
    <w:tbl>
      <w:tblPr>
        <w:tblStyle w:val="16"/>
        <w:tblW w:w="4655" w:type="pct"/>
        <w:tblInd w:w="294" w:type="dxa"/>
        <w:tblLayout w:type="fixed"/>
        <w:tblCellMar>
          <w:top w:w="0" w:type="dxa"/>
          <w:left w:w="108" w:type="dxa"/>
          <w:bottom w:w="0" w:type="dxa"/>
          <w:right w:w="108" w:type="dxa"/>
        </w:tblCellMar>
      </w:tblPr>
      <w:tblGrid>
        <w:gridCol w:w="1284"/>
        <w:gridCol w:w="1366"/>
        <w:gridCol w:w="2427"/>
        <w:gridCol w:w="1528"/>
        <w:gridCol w:w="1336"/>
      </w:tblGrid>
      <w:tr>
        <w:tblPrEx>
          <w:tblCellMar>
            <w:top w:w="0" w:type="dxa"/>
            <w:left w:w="108" w:type="dxa"/>
            <w:bottom w:w="0" w:type="dxa"/>
            <w:right w:w="108" w:type="dxa"/>
          </w:tblCellMar>
        </w:tblPrEx>
        <w:trPr>
          <w:trHeight w:val="567"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一级指标</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二级指标</w:t>
            </w:r>
          </w:p>
        </w:tc>
        <w:tc>
          <w:tcPr>
            <w:tcW w:w="24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三级指标</w:t>
            </w:r>
          </w:p>
        </w:tc>
        <w:tc>
          <w:tcPr>
            <w:tcW w:w="15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年度指标值</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实际完成值</w:t>
            </w:r>
          </w:p>
        </w:tc>
      </w:tr>
      <w:tr>
        <w:tblPrEx>
          <w:tblCellMar>
            <w:top w:w="0" w:type="dxa"/>
            <w:left w:w="108" w:type="dxa"/>
            <w:bottom w:w="0" w:type="dxa"/>
            <w:right w:w="108" w:type="dxa"/>
          </w:tblCellMar>
        </w:tblPrEx>
        <w:trPr>
          <w:trHeight w:val="567"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136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数量指标</w:t>
            </w:r>
          </w:p>
        </w:tc>
        <w:tc>
          <w:tcPr>
            <w:tcW w:w="242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开展海南省高雅艺术进校园演出活动场次</w:t>
            </w:r>
          </w:p>
        </w:tc>
        <w:tc>
          <w:tcPr>
            <w:tcW w:w="1526"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4场</w:t>
            </w:r>
          </w:p>
        </w:tc>
        <w:tc>
          <w:tcPr>
            <w:tcW w:w="133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4场</w:t>
            </w:r>
          </w:p>
        </w:tc>
      </w:tr>
      <w:tr>
        <w:tblPrEx>
          <w:tblCellMar>
            <w:top w:w="0" w:type="dxa"/>
            <w:left w:w="108" w:type="dxa"/>
            <w:bottom w:w="0" w:type="dxa"/>
            <w:right w:w="108" w:type="dxa"/>
          </w:tblCellMar>
        </w:tblPrEx>
        <w:trPr>
          <w:trHeight w:val="567"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效益指标</w:t>
            </w:r>
          </w:p>
        </w:tc>
        <w:tc>
          <w:tcPr>
            <w:tcW w:w="136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可持续影响</w:t>
            </w:r>
          </w:p>
        </w:tc>
        <w:tc>
          <w:tcPr>
            <w:tcW w:w="242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参与竞赛人数</w:t>
            </w:r>
          </w:p>
        </w:tc>
        <w:tc>
          <w:tcPr>
            <w:tcW w:w="1526"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150人</w:t>
            </w:r>
          </w:p>
        </w:tc>
        <w:tc>
          <w:tcPr>
            <w:tcW w:w="133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125人</w:t>
            </w:r>
          </w:p>
        </w:tc>
      </w:tr>
      <w:tr>
        <w:tblPrEx>
          <w:tblCellMar>
            <w:top w:w="0" w:type="dxa"/>
            <w:left w:w="108" w:type="dxa"/>
            <w:bottom w:w="0" w:type="dxa"/>
            <w:right w:w="108" w:type="dxa"/>
          </w:tblCellMar>
        </w:tblPrEx>
        <w:trPr>
          <w:trHeight w:val="567"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满意度指标</w:t>
            </w:r>
          </w:p>
        </w:tc>
        <w:tc>
          <w:tcPr>
            <w:tcW w:w="136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服务对象满意度</w:t>
            </w:r>
          </w:p>
        </w:tc>
        <w:tc>
          <w:tcPr>
            <w:tcW w:w="242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师生满意度</w:t>
            </w:r>
          </w:p>
        </w:tc>
        <w:tc>
          <w:tcPr>
            <w:tcW w:w="1526"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90%</w:t>
            </w:r>
          </w:p>
        </w:tc>
        <w:tc>
          <w:tcPr>
            <w:tcW w:w="133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90%</w:t>
            </w:r>
          </w:p>
        </w:tc>
      </w:tr>
    </w:tbl>
    <w:p>
      <w:pPr>
        <w:bidi w:val="0"/>
        <w:rPr>
          <w:rFonts w:hint="eastAsia"/>
        </w:rPr>
      </w:pPr>
      <w:r>
        <w:rPr>
          <w:rFonts w:hint="eastAsia"/>
        </w:rPr>
        <w:t>发现的主要问题、原因及建议：</w:t>
      </w:r>
    </w:p>
    <w:p>
      <w:pPr>
        <w:bidi w:val="0"/>
        <w:rPr>
          <w:rFonts w:hint="eastAsia"/>
        </w:rPr>
      </w:pPr>
      <w:r>
        <w:rPr>
          <w:rFonts w:hint="eastAsia"/>
          <w:lang w:val="en-US" w:eastAsia="zh-CN"/>
        </w:rPr>
        <w:t>暂无。</w:t>
      </w:r>
    </w:p>
    <w:p>
      <w:pPr>
        <w:bidi w:val="0"/>
      </w:pPr>
      <w:r>
        <w:rPr>
          <w:rFonts w:hint="eastAsia"/>
        </w:rPr>
        <w:t>15、公办高校争取社会捐赠配比资金奖励项目绩效自评综述</w:t>
      </w:r>
    </w:p>
    <w:p>
      <w:pPr>
        <w:bidi w:val="0"/>
        <w:rPr>
          <w:rFonts w:hint="eastAsia"/>
          <w:lang w:eastAsia="zh-CN"/>
        </w:rPr>
      </w:pPr>
      <w:r>
        <w:rPr>
          <w:rFonts w:hint="eastAsia"/>
        </w:rPr>
        <w:t>根据年初设定的绩效目标，项目自评得分为</w:t>
      </w:r>
      <w:r>
        <w:rPr>
          <w:rFonts w:hint="eastAsia"/>
          <w:lang w:val="en-US" w:eastAsia="zh-CN"/>
        </w:rPr>
        <w:t>100</w:t>
      </w:r>
      <w:r>
        <w:rPr>
          <w:rFonts w:hint="eastAsia"/>
        </w:rPr>
        <w:t>分。资金总额年初预算数275</w:t>
      </w:r>
      <w:r>
        <w:rPr>
          <w:rFonts w:hint="eastAsia"/>
          <w:lang w:val="en-US" w:eastAsia="zh-CN"/>
        </w:rPr>
        <w:t>,</w:t>
      </w:r>
      <w:r>
        <w:rPr>
          <w:rFonts w:hint="eastAsia"/>
        </w:rPr>
        <w:t>000元，资金总额全年预算数275</w:t>
      </w:r>
      <w:r>
        <w:rPr>
          <w:rFonts w:hint="eastAsia"/>
          <w:lang w:val="en-US" w:eastAsia="zh-CN"/>
        </w:rPr>
        <w:t>,</w:t>
      </w:r>
      <w:r>
        <w:rPr>
          <w:rFonts w:hint="eastAsia"/>
        </w:rPr>
        <w:t>000元。其中：财政资金年初预算数275</w:t>
      </w:r>
      <w:r>
        <w:rPr>
          <w:rFonts w:hint="eastAsia"/>
          <w:lang w:val="en-US" w:eastAsia="zh-CN"/>
        </w:rPr>
        <w:t>,</w:t>
      </w:r>
      <w:r>
        <w:rPr>
          <w:rFonts w:hint="eastAsia"/>
        </w:rPr>
        <w:t>000元，财政资金全年预算数275</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资金总额全年执行数274</w:t>
      </w:r>
      <w:r>
        <w:rPr>
          <w:rFonts w:hint="eastAsia"/>
          <w:lang w:val="en-US" w:eastAsia="zh-CN"/>
        </w:rPr>
        <w:t>,</w:t>
      </w:r>
      <w:r>
        <w:rPr>
          <w:rFonts w:hint="eastAsia"/>
        </w:rPr>
        <w:t>979.9元，执行率</w:t>
      </w:r>
      <w:r>
        <w:rPr>
          <w:rFonts w:hint="eastAsia"/>
          <w:lang w:val="en-US" w:eastAsia="zh-CN"/>
        </w:rPr>
        <w:t>99.99</w:t>
      </w:r>
      <w:r>
        <w:rPr>
          <w:rFonts w:hint="eastAsia"/>
        </w:rPr>
        <w:t>%。其中：财政资金全年执行数274</w:t>
      </w:r>
      <w:r>
        <w:rPr>
          <w:rFonts w:hint="eastAsia"/>
          <w:lang w:val="en-US" w:eastAsia="zh-CN"/>
        </w:rPr>
        <w:t>,</w:t>
      </w:r>
      <w:r>
        <w:rPr>
          <w:rFonts w:hint="eastAsia"/>
        </w:rPr>
        <w:t>979.9元，执行率</w:t>
      </w:r>
      <w:r>
        <w:rPr>
          <w:rFonts w:hint="eastAsia"/>
          <w:lang w:val="en-US" w:eastAsia="zh-CN"/>
        </w:rPr>
        <w:t>99.99</w:t>
      </w:r>
      <w:r>
        <w:rPr>
          <w:rFonts w:hint="eastAsia"/>
        </w:rPr>
        <w:t>%</w:t>
      </w:r>
      <w:r>
        <w:rPr>
          <w:rFonts w:hint="eastAsia"/>
          <w:lang w:eastAsia="zh-CN"/>
        </w:rPr>
        <w:t>。</w:t>
      </w:r>
    </w:p>
    <w:p>
      <w:pPr>
        <w:bidi w:val="0"/>
        <w:rPr>
          <w:rFonts w:hint="eastAsia"/>
        </w:rPr>
      </w:pPr>
      <w:r>
        <w:rPr>
          <w:rFonts w:hint="eastAsia"/>
        </w:rPr>
        <w:t>项目绩效目标完成情况：1.举办海南大学第二界“同心论坛”，产生较好的社会影响。 2.支持各民主党派、统战团体成员参加中央、省部举办的理论培训，统一思想，形成共识。3.支持统一战线成员调研培训，参政议政，助力“双一流建设”和自贸港建设。</w:t>
      </w:r>
    </w:p>
    <w:p>
      <w:pPr>
        <w:bidi w:val="0"/>
      </w:pPr>
      <w:r>
        <w:rPr>
          <w:rFonts w:hint="eastAsia"/>
        </w:rPr>
        <w:t>具体完成情况见表15。</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表15 </w:t>
      </w:r>
      <w:r>
        <w:rPr>
          <w:rFonts w:hint="eastAsia" w:ascii="仿宋" w:hAnsi="仿宋" w:eastAsia="仿宋" w:cs="仿宋"/>
          <w:sz w:val="28"/>
          <w:szCs w:val="28"/>
          <w:lang w:eastAsia="zh-CN"/>
        </w:rPr>
        <w:t>项目绩效自评表</w:t>
      </w:r>
    </w:p>
    <w:tbl>
      <w:tblPr>
        <w:tblStyle w:val="16"/>
        <w:tblW w:w="4426" w:type="pct"/>
        <w:tblInd w:w="459" w:type="dxa"/>
        <w:tblLayout w:type="fixed"/>
        <w:tblCellMar>
          <w:top w:w="0" w:type="dxa"/>
          <w:left w:w="108" w:type="dxa"/>
          <w:bottom w:w="0" w:type="dxa"/>
          <w:right w:w="108" w:type="dxa"/>
        </w:tblCellMar>
      </w:tblPr>
      <w:tblGrid>
        <w:gridCol w:w="1426"/>
        <w:gridCol w:w="1434"/>
        <w:gridCol w:w="2090"/>
        <w:gridCol w:w="1355"/>
        <w:gridCol w:w="1246"/>
      </w:tblGrid>
      <w:tr>
        <w:tblPrEx>
          <w:tblCellMar>
            <w:top w:w="0" w:type="dxa"/>
            <w:left w:w="108" w:type="dxa"/>
            <w:bottom w:w="0" w:type="dxa"/>
            <w:right w:w="108" w:type="dxa"/>
          </w:tblCellMar>
        </w:tblPrEx>
        <w:trPr>
          <w:trHeight w:val="580" w:hRule="atLeast"/>
        </w:trPr>
        <w:tc>
          <w:tcPr>
            <w:tcW w:w="94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一级指标</w:t>
            </w:r>
          </w:p>
        </w:tc>
        <w:tc>
          <w:tcPr>
            <w:tcW w:w="94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二级指标</w:t>
            </w:r>
          </w:p>
        </w:tc>
        <w:tc>
          <w:tcPr>
            <w:tcW w:w="1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三级指标</w:t>
            </w:r>
          </w:p>
        </w:tc>
        <w:tc>
          <w:tcPr>
            <w:tcW w:w="8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年度指标值</w:t>
            </w:r>
          </w:p>
        </w:tc>
        <w:tc>
          <w:tcPr>
            <w:tcW w:w="82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实际完成值</w:t>
            </w:r>
          </w:p>
        </w:tc>
      </w:tr>
      <w:tr>
        <w:tblPrEx>
          <w:tblCellMar>
            <w:top w:w="0" w:type="dxa"/>
            <w:left w:w="108" w:type="dxa"/>
            <w:bottom w:w="0" w:type="dxa"/>
            <w:right w:w="108" w:type="dxa"/>
          </w:tblCellMar>
        </w:tblPrEx>
        <w:trPr>
          <w:trHeight w:val="567" w:hRule="atLeast"/>
        </w:trPr>
        <w:tc>
          <w:tcPr>
            <w:tcW w:w="944" w:type="pct"/>
            <w:tcBorders>
              <w:top w:val="single" w:color="auto" w:sz="4" w:space="0"/>
              <w:left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94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数量指标</w:t>
            </w:r>
          </w:p>
        </w:tc>
        <w:tc>
          <w:tcPr>
            <w:tcW w:w="1383"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资金执行率</w:t>
            </w:r>
          </w:p>
        </w:tc>
        <w:tc>
          <w:tcPr>
            <w:tcW w:w="897"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90%</w:t>
            </w:r>
          </w:p>
        </w:tc>
        <w:tc>
          <w:tcPr>
            <w:tcW w:w="825"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99.99%</w:t>
            </w:r>
          </w:p>
        </w:tc>
      </w:tr>
      <w:tr>
        <w:tblPrEx>
          <w:tblCellMar>
            <w:top w:w="0" w:type="dxa"/>
            <w:left w:w="108" w:type="dxa"/>
            <w:bottom w:w="0" w:type="dxa"/>
            <w:right w:w="108" w:type="dxa"/>
          </w:tblCellMar>
        </w:tblPrEx>
        <w:trPr>
          <w:trHeight w:val="567" w:hRule="atLeast"/>
        </w:trPr>
        <w:tc>
          <w:tcPr>
            <w:tcW w:w="94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效益指标</w:t>
            </w:r>
          </w:p>
        </w:tc>
        <w:tc>
          <w:tcPr>
            <w:tcW w:w="94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社会效益指标</w:t>
            </w:r>
          </w:p>
        </w:tc>
        <w:tc>
          <w:tcPr>
            <w:tcW w:w="1383"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服务对象认可度</w:t>
            </w:r>
          </w:p>
        </w:tc>
        <w:tc>
          <w:tcPr>
            <w:tcW w:w="897"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高中低</w:t>
            </w:r>
          </w:p>
        </w:tc>
        <w:tc>
          <w:tcPr>
            <w:tcW w:w="825"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高</w:t>
            </w:r>
          </w:p>
        </w:tc>
      </w:tr>
    </w:tbl>
    <w:p>
      <w:pPr>
        <w:bidi w:val="0"/>
        <w:rPr>
          <w:rFonts w:hint="eastAsia"/>
        </w:rPr>
      </w:pPr>
      <w:r>
        <w:rPr>
          <w:rFonts w:hint="eastAsia"/>
        </w:rPr>
        <w:t>发现的主要问题、原因及建议：</w:t>
      </w:r>
    </w:p>
    <w:p>
      <w:pPr>
        <w:bidi w:val="0"/>
        <w:rPr>
          <w:rFonts w:hint="eastAsia"/>
        </w:rPr>
      </w:pPr>
      <w:r>
        <w:rPr>
          <w:rFonts w:hint="eastAsia"/>
          <w:lang w:val="en-US" w:eastAsia="zh-CN"/>
        </w:rPr>
        <w:t>暂无。</w:t>
      </w:r>
    </w:p>
    <w:p>
      <w:pPr>
        <w:bidi w:val="0"/>
      </w:pPr>
      <w:r>
        <w:rPr>
          <w:rFonts w:hint="eastAsia"/>
        </w:rPr>
        <w:t>16、海南省东坡文化研究与传播中心发展建设项目绩效自评综述</w:t>
      </w:r>
    </w:p>
    <w:p>
      <w:pPr>
        <w:bidi w:val="0"/>
        <w:rPr>
          <w:rFonts w:hint="eastAsia"/>
          <w:lang w:eastAsia="zh-CN"/>
        </w:rPr>
      </w:pPr>
      <w:r>
        <w:rPr>
          <w:rFonts w:hint="eastAsia"/>
        </w:rPr>
        <w:t>根据年初设定的绩效目标，项目自评得分为</w:t>
      </w:r>
      <w:r>
        <w:rPr>
          <w:rFonts w:hint="eastAsia"/>
          <w:lang w:val="en-US" w:eastAsia="zh-CN"/>
        </w:rPr>
        <w:t>97.82</w:t>
      </w:r>
      <w:r>
        <w:rPr>
          <w:rFonts w:hint="eastAsia"/>
        </w:rPr>
        <w:t>分。资金总额年初预算数</w:t>
      </w:r>
      <w:r>
        <w:rPr>
          <w:rFonts w:hint="eastAsia"/>
          <w:lang w:val="en-US" w:eastAsia="zh-CN"/>
        </w:rPr>
        <w:t>0</w:t>
      </w:r>
      <w:r>
        <w:rPr>
          <w:rFonts w:hint="eastAsia"/>
        </w:rPr>
        <w:t>元，资金总额全年预算数5</w:t>
      </w:r>
      <w:r>
        <w:rPr>
          <w:rFonts w:hint="eastAsia"/>
          <w:lang w:val="en-US" w:eastAsia="zh-CN"/>
        </w:rPr>
        <w:t>,</w:t>
      </w:r>
      <w:r>
        <w:rPr>
          <w:rFonts w:hint="eastAsia"/>
        </w:rPr>
        <w:t>000</w:t>
      </w:r>
      <w:r>
        <w:rPr>
          <w:rFonts w:hint="eastAsia"/>
          <w:lang w:val="en-US" w:eastAsia="zh-CN"/>
        </w:rPr>
        <w:t>,</w:t>
      </w:r>
      <w:r>
        <w:rPr>
          <w:rFonts w:hint="eastAsia"/>
        </w:rPr>
        <w:t>000元。其中：财政资金年初预算数</w:t>
      </w:r>
      <w:r>
        <w:rPr>
          <w:rFonts w:hint="eastAsia"/>
          <w:lang w:val="en-US" w:eastAsia="zh-CN"/>
        </w:rPr>
        <w:t>0</w:t>
      </w:r>
      <w:r>
        <w:rPr>
          <w:rFonts w:hint="eastAsia"/>
        </w:rPr>
        <w:t>元，财政资金全年预算数5</w:t>
      </w:r>
      <w:r>
        <w:rPr>
          <w:rFonts w:hint="eastAsia"/>
          <w:lang w:val="en-US" w:eastAsia="zh-CN"/>
        </w:rPr>
        <w:t>,</w:t>
      </w:r>
      <w:r>
        <w:rPr>
          <w:rFonts w:hint="eastAsia"/>
        </w:rPr>
        <w:t>000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资金总额全年执行数3</w:t>
      </w:r>
      <w:r>
        <w:rPr>
          <w:rFonts w:hint="eastAsia"/>
          <w:lang w:val="en-US" w:eastAsia="zh-CN"/>
        </w:rPr>
        <w:t>,</w:t>
      </w:r>
      <w:r>
        <w:rPr>
          <w:rFonts w:hint="eastAsia"/>
        </w:rPr>
        <w:t>908</w:t>
      </w:r>
      <w:r>
        <w:rPr>
          <w:rFonts w:hint="eastAsia"/>
          <w:lang w:val="en-US" w:eastAsia="zh-CN"/>
        </w:rPr>
        <w:t>,</w:t>
      </w:r>
      <w:r>
        <w:rPr>
          <w:rFonts w:hint="eastAsia"/>
        </w:rPr>
        <w:t>421.03元，执行率</w:t>
      </w:r>
      <w:r>
        <w:rPr>
          <w:rFonts w:hint="eastAsia"/>
          <w:lang w:val="en-US" w:eastAsia="zh-CN"/>
        </w:rPr>
        <w:t>78.17</w:t>
      </w:r>
      <w:r>
        <w:rPr>
          <w:rFonts w:hint="eastAsia"/>
        </w:rPr>
        <w:t>%。其中：财政资金全年执行数3</w:t>
      </w:r>
      <w:r>
        <w:rPr>
          <w:rFonts w:hint="eastAsia"/>
          <w:lang w:val="en-US" w:eastAsia="zh-CN"/>
        </w:rPr>
        <w:t>,</w:t>
      </w:r>
      <w:r>
        <w:rPr>
          <w:rFonts w:hint="eastAsia"/>
        </w:rPr>
        <w:t>908</w:t>
      </w:r>
      <w:r>
        <w:rPr>
          <w:rFonts w:hint="eastAsia"/>
          <w:lang w:val="en-US" w:eastAsia="zh-CN"/>
        </w:rPr>
        <w:t>,</w:t>
      </w:r>
      <w:r>
        <w:rPr>
          <w:rFonts w:hint="eastAsia"/>
        </w:rPr>
        <w:t>421.03元，执行率</w:t>
      </w:r>
      <w:r>
        <w:rPr>
          <w:rFonts w:hint="eastAsia"/>
          <w:lang w:val="en-US" w:eastAsia="zh-CN"/>
        </w:rPr>
        <w:t>78.17</w:t>
      </w:r>
      <w:r>
        <w:rPr>
          <w:rFonts w:hint="eastAsia"/>
        </w:rPr>
        <w:t>%</w:t>
      </w:r>
      <w:r>
        <w:rPr>
          <w:rFonts w:hint="eastAsia"/>
          <w:lang w:eastAsia="zh-CN"/>
        </w:rPr>
        <w:t>。</w:t>
      </w:r>
    </w:p>
    <w:p>
      <w:pPr>
        <w:bidi w:val="0"/>
        <w:rPr>
          <w:rFonts w:hint="eastAsia" w:eastAsia="仿宋"/>
          <w:lang w:eastAsia="zh-CN"/>
        </w:rPr>
      </w:pPr>
      <w:r>
        <w:rPr>
          <w:rFonts w:hint="eastAsia"/>
        </w:rPr>
        <w:t>项目绩效目标完成情况：中心与省社科联2022年发布了“2022年海南省哲学社会科学规划重大专项（东坡文化研究）课题”，共立项18项</w:t>
      </w:r>
      <w:r>
        <w:rPr>
          <w:rFonts w:hint="eastAsia"/>
          <w:lang w:val="en-US" w:eastAsia="zh-CN"/>
        </w:rPr>
        <w:t>;</w:t>
      </w:r>
      <w:r>
        <w:rPr>
          <w:rFonts w:hint="eastAsia"/>
        </w:rPr>
        <w:t>中心购置纸质图书3000册以上</w:t>
      </w:r>
      <w:r>
        <w:rPr>
          <w:rFonts w:hint="eastAsia"/>
          <w:lang w:val="en-US" w:eastAsia="zh-CN"/>
        </w:rPr>
        <w:t>;</w:t>
      </w:r>
      <w:r>
        <w:rPr>
          <w:rFonts w:hint="eastAsia"/>
        </w:rPr>
        <w:t>出版学术著作4本</w:t>
      </w:r>
      <w:r>
        <w:rPr>
          <w:rFonts w:hint="eastAsia"/>
          <w:lang w:val="en-US" w:eastAsia="zh-CN"/>
        </w:rPr>
        <w:t>;</w:t>
      </w:r>
      <w:r>
        <w:rPr>
          <w:rFonts w:hint="eastAsia"/>
        </w:rPr>
        <w:t>中心积极开展学术交流与对外宣传</w:t>
      </w:r>
      <w:r>
        <w:rPr>
          <w:rFonts w:hint="eastAsia"/>
          <w:lang w:val="en-US" w:eastAsia="zh-CN"/>
        </w:rPr>
        <w:t>;</w:t>
      </w:r>
      <w:r>
        <w:rPr>
          <w:rFonts w:hint="eastAsia"/>
        </w:rPr>
        <w:t>中心制定了“十五年规划”</w:t>
      </w:r>
      <w:r>
        <w:rPr>
          <w:rFonts w:hint="eastAsia"/>
          <w:lang w:val="en-US" w:eastAsia="zh-CN"/>
        </w:rPr>
        <w:t>,</w:t>
      </w:r>
      <w:r>
        <w:rPr>
          <w:rFonts w:hint="eastAsia"/>
        </w:rPr>
        <w:t>完成中心发展规划的调研、论证与审定</w:t>
      </w:r>
      <w:r>
        <w:rPr>
          <w:rFonts w:hint="eastAsia"/>
          <w:lang w:eastAsia="zh-CN"/>
        </w:rPr>
        <w:t>。</w:t>
      </w:r>
    </w:p>
    <w:p>
      <w:pPr>
        <w:bidi w:val="0"/>
      </w:pPr>
      <w:r>
        <w:rPr>
          <w:rFonts w:hint="eastAsia"/>
        </w:rPr>
        <w:t>具体完成情况见表16。</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表16 </w:t>
      </w:r>
      <w:r>
        <w:rPr>
          <w:rFonts w:hint="eastAsia" w:ascii="仿宋" w:hAnsi="仿宋" w:eastAsia="仿宋" w:cs="仿宋"/>
          <w:sz w:val="28"/>
          <w:szCs w:val="28"/>
          <w:lang w:eastAsia="zh-CN"/>
        </w:rPr>
        <w:t>项目绩效自评表</w:t>
      </w:r>
    </w:p>
    <w:tbl>
      <w:tblPr>
        <w:tblStyle w:val="16"/>
        <w:tblW w:w="4765" w:type="pct"/>
        <w:tblInd w:w="204" w:type="dxa"/>
        <w:tblLayout w:type="fixed"/>
        <w:tblCellMar>
          <w:top w:w="0" w:type="dxa"/>
          <w:left w:w="108" w:type="dxa"/>
          <w:bottom w:w="0" w:type="dxa"/>
          <w:right w:w="108" w:type="dxa"/>
        </w:tblCellMar>
      </w:tblPr>
      <w:tblGrid>
        <w:gridCol w:w="1306"/>
        <w:gridCol w:w="1735"/>
        <w:gridCol w:w="2086"/>
        <w:gridCol w:w="1487"/>
        <w:gridCol w:w="1515"/>
      </w:tblGrid>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一级指标</w:t>
            </w:r>
          </w:p>
        </w:tc>
        <w:tc>
          <w:tcPr>
            <w:tcW w:w="106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二级指标</w:t>
            </w:r>
          </w:p>
        </w:tc>
        <w:tc>
          <w:tcPr>
            <w:tcW w:w="128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三级指标</w:t>
            </w:r>
          </w:p>
        </w:tc>
        <w:tc>
          <w:tcPr>
            <w:tcW w:w="9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年度指标值</w:t>
            </w:r>
          </w:p>
        </w:tc>
        <w:tc>
          <w:tcPr>
            <w:tcW w:w="9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实际完成值</w:t>
            </w:r>
          </w:p>
        </w:tc>
      </w:tr>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106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质量指标</w:t>
            </w:r>
          </w:p>
        </w:tc>
        <w:tc>
          <w:tcPr>
            <w:tcW w:w="128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科研课题立项</w:t>
            </w:r>
          </w:p>
        </w:tc>
        <w:tc>
          <w:tcPr>
            <w:tcW w:w="91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3项</w:t>
            </w:r>
          </w:p>
        </w:tc>
        <w:tc>
          <w:tcPr>
            <w:tcW w:w="93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18项</w:t>
            </w:r>
          </w:p>
        </w:tc>
      </w:tr>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106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数量指标</w:t>
            </w:r>
          </w:p>
        </w:tc>
        <w:tc>
          <w:tcPr>
            <w:tcW w:w="128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购置纸质图书</w:t>
            </w:r>
          </w:p>
        </w:tc>
        <w:tc>
          <w:tcPr>
            <w:tcW w:w="91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3000册</w:t>
            </w:r>
          </w:p>
        </w:tc>
        <w:tc>
          <w:tcPr>
            <w:tcW w:w="93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3172册</w:t>
            </w:r>
          </w:p>
        </w:tc>
      </w:tr>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106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质量指标</w:t>
            </w:r>
          </w:p>
        </w:tc>
        <w:tc>
          <w:tcPr>
            <w:tcW w:w="128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出版图书</w:t>
            </w:r>
          </w:p>
        </w:tc>
        <w:tc>
          <w:tcPr>
            <w:tcW w:w="91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1本</w:t>
            </w:r>
          </w:p>
        </w:tc>
        <w:tc>
          <w:tcPr>
            <w:tcW w:w="93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4本</w:t>
            </w:r>
          </w:p>
        </w:tc>
      </w:tr>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106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数量指标</w:t>
            </w:r>
          </w:p>
        </w:tc>
        <w:tc>
          <w:tcPr>
            <w:tcW w:w="128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学术交流与对外宣传</w:t>
            </w:r>
          </w:p>
        </w:tc>
        <w:tc>
          <w:tcPr>
            <w:tcW w:w="91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60人次</w:t>
            </w:r>
          </w:p>
        </w:tc>
        <w:tc>
          <w:tcPr>
            <w:tcW w:w="93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200人次</w:t>
            </w:r>
          </w:p>
        </w:tc>
      </w:tr>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效益指标</w:t>
            </w:r>
          </w:p>
        </w:tc>
        <w:tc>
          <w:tcPr>
            <w:tcW w:w="106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可持续发展指标</w:t>
            </w:r>
          </w:p>
        </w:tc>
        <w:tc>
          <w:tcPr>
            <w:tcW w:w="128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发展规划报告</w:t>
            </w:r>
          </w:p>
        </w:tc>
        <w:tc>
          <w:tcPr>
            <w:tcW w:w="91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1篇</w:t>
            </w:r>
          </w:p>
        </w:tc>
        <w:tc>
          <w:tcPr>
            <w:tcW w:w="93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1篇</w:t>
            </w:r>
          </w:p>
        </w:tc>
      </w:tr>
    </w:tbl>
    <w:p>
      <w:pPr>
        <w:bidi w:val="0"/>
        <w:rPr>
          <w:rFonts w:hint="eastAsia"/>
        </w:rPr>
      </w:pPr>
      <w:r>
        <w:rPr>
          <w:rFonts w:hint="eastAsia"/>
        </w:rPr>
        <w:t>发现的主要问题、原因及建议：</w:t>
      </w:r>
    </w:p>
    <w:p>
      <w:pPr>
        <w:bidi w:val="0"/>
        <w:rPr>
          <w:rFonts w:hint="eastAsia"/>
        </w:rPr>
      </w:pPr>
      <w:r>
        <w:rPr>
          <w:rFonts w:hint="eastAsia"/>
          <w:lang w:val="en-US" w:eastAsia="zh-CN"/>
        </w:rPr>
        <w:t>暂无。</w:t>
      </w:r>
    </w:p>
    <w:p>
      <w:pPr>
        <w:bidi w:val="0"/>
      </w:pPr>
      <w:r>
        <w:rPr>
          <w:rFonts w:hint="eastAsia"/>
        </w:rPr>
        <w:t>1</w:t>
      </w:r>
      <w:r>
        <w:rPr>
          <w:rFonts w:hint="eastAsia"/>
          <w:lang w:val="en-US" w:eastAsia="zh-CN"/>
        </w:rPr>
        <w:t>7</w:t>
      </w:r>
      <w:r>
        <w:rPr>
          <w:rFonts w:hint="eastAsia"/>
        </w:rPr>
        <w:t>、国家级创新创业学院项目绩效自评综述</w:t>
      </w:r>
    </w:p>
    <w:p>
      <w:pPr>
        <w:bidi w:val="0"/>
        <w:rPr>
          <w:rFonts w:hint="eastAsia"/>
          <w:lang w:eastAsia="zh-CN"/>
        </w:rPr>
      </w:pPr>
      <w:r>
        <w:rPr>
          <w:rFonts w:hint="eastAsia"/>
        </w:rPr>
        <w:t>根据年初设定的绩效目标，项目自评得分为</w:t>
      </w:r>
      <w:r>
        <w:rPr>
          <w:rFonts w:hint="eastAsia"/>
          <w:lang w:val="en-US" w:eastAsia="zh-CN"/>
        </w:rPr>
        <w:t>95.09</w:t>
      </w:r>
      <w:r>
        <w:rPr>
          <w:rFonts w:hint="eastAsia"/>
        </w:rPr>
        <w:t>分。资金总额年初预算数</w:t>
      </w:r>
      <w:r>
        <w:rPr>
          <w:rFonts w:hint="eastAsia"/>
          <w:lang w:val="en-US" w:eastAsia="zh-CN"/>
        </w:rPr>
        <w:t>0</w:t>
      </w:r>
      <w:r>
        <w:rPr>
          <w:rFonts w:hint="eastAsia"/>
        </w:rPr>
        <w:t>元，资金总额全年预算数500</w:t>
      </w:r>
      <w:r>
        <w:rPr>
          <w:rFonts w:hint="eastAsia"/>
          <w:lang w:val="en-US" w:eastAsia="zh-CN"/>
        </w:rPr>
        <w:t>,</w:t>
      </w:r>
      <w:r>
        <w:rPr>
          <w:rFonts w:hint="eastAsia"/>
        </w:rPr>
        <w:t>000元。其中：财政资金年初预算数</w:t>
      </w:r>
      <w:r>
        <w:rPr>
          <w:rFonts w:hint="eastAsia"/>
          <w:lang w:val="en-US" w:eastAsia="zh-CN"/>
        </w:rPr>
        <w:t>0</w:t>
      </w:r>
      <w:r>
        <w:rPr>
          <w:rFonts w:hint="eastAsia"/>
        </w:rPr>
        <w:t>元，财政资金全年预算数500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资金总额全年执行数254</w:t>
      </w:r>
      <w:r>
        <w:rPr>
          <w:rFonts w:hint="eastAsia"/>
          <w:lang w:val="en-US" w:eastAsia="zh-CN"/>
        </w:rPr>
        <w:t>,</w:t>
      </w:r>
      <w:r>
        <w:rPr>
          <w:rFonts w:hint="eastAsia"/>
        </w:rPr>
        <w:t>240.43元，执行率</w:t>
      </w:r>
      <w:r>
        <w:rPr>
          <w:rFonts w:hint="eastAsia"/>
          <w:lang w:val="en-US" w:eastAsia="zh-CN"/>
        </w:rPr>
        <w:t>50.85</w:t>
      </w:r>
      <w:r>
        <w:rPr>
          <w:rFonts w:hint="eastAsia"/>
        </w:rPr>
        <w:t>%。其中：财政资金全年执行数254</w:t>
      </w:r>
      <w:r>
        <w:rPr>
          <w:rFonts w:hint="eastAsia"/>
          <w:lang w:val="en-US" w:eastAsia="zh-CN"/>
        </w:rPr>
        <w:t>,</w:t>
      </w:r>
      <w:r>
        <w:rPr>
          <w:rFonts w:hint="eastAsia"/>
        </w:rPr>
        <w:t>240.43元，执行率</w:t>
      </w:r>
      <w:r>
        <w:rPr>
          <w:rFonts w:hint="eastAsia"/>
          <w:lang w:val="en-US" w:eastAsia="zh-CN"/>
        </w:rPr>
        <w:t>50.85</w:t>
      </w:r>
      <w:r>
        <w:rPr>
          <w:rFonts w:hint="eastAsia"/>
        </w:rPr>
        <w:t>%</w:t>
      </w:r>
      <w:r>
        <w:rPr>
          <w:rFonts w:hint="eastAsia"/>
          <w:lang w:eastAsia="zh-CN"/>
        </w:rPr>
        <w:t>。</w:t>
      </w:r>
    </w:p>
    <w:p>
      <w:pPr>
        <w:bidi w:val="0"/>
        <w:rPr>
          <w:rFonts w:hint="eastAsia"/>
        </w:rPr>
      </w:pPr>
      <w:r>
        <w:rPr>
          <w:rFonts w:hint="eastAsia"/>
        </w:rPr>
        <w:t>项目绩效目标完成情况：稳步推进国家级创新创业学院建设；目前已立项创新创业课题10项、创新创业课程2门、创新创业教材2本，开展师资培训1次，面向省域内8所高校开展创新创业教育工作，充分发挥服务区域创新创业教育协同发展，整体提升创新创业教育质量的作用，带动提高大学生创新创业能力。</w:t>
      </w:r>
    </w:p>
    <w:p>
      <w:pPr>
        <w:bidi w:val="0"/>
      </w:pPr>
      <w:r>
        <w:rPr>
          <w:rFonts w:hint="eastAsia"/>
        </w:rPr>
        <w:t>具体完成情况见表1</w:t>
      </w:r>
      <w:r>
        <w:rPr>
          <w:rFonts w:hint="eastAsia"/>
          <w:lang w:val="en-US" w:eastAsia="zh-CN"/>
        </w:rPr>
        <w:t>7</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表1</w:t>
      </w:r>
      <w:r>
        <w:rPr>
          <w:rFonts w:hint="eastAsia" w:ascii="仿宋" w:hAnsi="仿宋" w:eastAsia="仿宋" w:cs="仿宋"/>
          <w:sz w:val="28"/>
          <w:szCs w:val="28"/>
          <w:lang w:val="en-US" w:eastAsia="zh-CN"/>
        </w:rPr>
        <w:t>7</w:t>
      </w:r>
      <w:r>
        <w:rPr>
          <w:rFonts w:hint="eastAsia" w:ascii="仿宋" w:hAnsi="仿宋" w:eastAsia="仿宋" w:cs="仿宋"/>
          <w:sz w:val="28"/>
          <w:szCs w:val="28"/>
        </w:rPr>
        <w:t xml:space="preserve"> </w:t>
      </w:r>
      <w:r>
        <w:rPr>
          <w:rFonts w:hint="eastAsia" w:ascii="仿宋" w:hAnsi="仿宋" w:eastAsia="仿宋" w:cs="仿宋"/>
          <w:sz w:val="28"/>
          <w:szCs w:val="28"/>
          <w:lang w:eastAsia="zh-CN"/>
        </w:rPr>
        <w:t>项目绩效自评表</w:t>
      </w:r>
    </w:p>
    <w:tbl>
      <w:tblPr>
        <w:tblStyle w:val="16"/>
        <w:tblW w:w="4968" w:type="pct"/>
        <w:tblInd w:w="54" w:type="dxa"/>
        <w:tblLayout w:type="fixed"/>
        <w:tblCellMar>
          <w:top w:w="0" w:type="dxa"/>
          <w:left w:w="108" w:type="dxa"/>
          <w:bottom w:w="0" w:type="dxa"/>
          <w:right w:w="108" w:type="dxa"/>
        </w:tblCellMar>
      </w:tblPr>
      <w:tblGrid>
        <w:gridCol w:w="1319"/>
        <w:gridCol w:w="1443"/>
        <w:gridCol w:w="2673"/>
        <w:gridCol w:w="1516"/>
        <w:gridCol w:w="1524"/>
      </w:tblGrid>
      <w:tr>
        <w:tblPrEx>
          <w:tblCellMar>
            <w:top w:w="0" w:type="dxa"/>
            <w:left w:w="108" w:type="dxa"/>
            <w:bottom w:w="0" w:type="dxa"/>
            <w:right w:w="108" w:type="dxa"/>
          </w:tblCellMar>
        </w:tblPrEx>
        <w:trPr>
          <w:trHeight w:val="567" w:hRule="atLeast"/>
        </w:trPr>
        <w:tc>
          <w:tcPr>
            <w:tcW w:w="7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一级指标</w:t>
            </w:r>
          </w:p>
        </w:tc>
        <w:tc>
          <w:tcPr>
            <w:tcW w:w="8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二级指标</w:t>
            </w:r>
          </w:p>
        </w:tc>
        <w:tc>
          <w:tcPr>
            <w:tcW w:w="157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三级指标</w:t>
            </w:r>
          </w:p>
        </w:tc>
        <w:tc>
          <w:tcPr>
            <w:tcW w:w="89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年度指标值</w:t>
            </w:r>
          </w:p>
        </w:tc>
        <w:tc>
          <w:tcPr>
            <w:tcW w:w="89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实际完成值</w:t>
            </w:r>
          </w:p>
        </w:tc>
      </w:tr>
      <w:tr>
        <w:tblPrEx>
          <w:tblCellMar>
            <w:top w:w="0" w:type="dxa"/>
            <w:left w:w="108" w:type="dxa"/>
            <w:bottom w:w="0" w:type="dxa"/>
            <w:right w:w="108" w:type="dxa"/>
          </w:tblCellMar>
        </w:tblPrEx>
        <w:trPr>
          <w:trHeight w:val="567" w:hRule="atLeast"/>
        </w:trPr>
        <w:tc>
          <w:tcPr>
            <w:tcW w:w="7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851"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数量指标</w:t>
            </w:r>
          </w:p>
        </w:tc>
        <w:tc>
          <w:tcPr>
            <w:tcW w:w="157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创新创业教学改革课题立项数量</w:t>
            </w:r>
          </w:p>
        </w:tc>
        <w:tc>
          <w:tcPr>
            <w:tcW w:w="89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5项</w:t>
            </w:r>
          </w:p>
        </w:tc>
        <w:tc>
          <w:tcPr>
            <w:tcW w:w="89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10项</w:t>
            </w:r>
          </w:p>
        </w:tc>
      </w:tr>
      <w:tr>
        <w:tblPrEx>
          <w:tblCellMar>
            <w:top w:w="0" w:type="dxa"/>
            <w:left w:w="108" w:type="dxa"/>
            <w:bottom w:w="0" w:type="dxa"/>
            <w:right w:w="108" w:type="dxa"/>
          </w:tblCellMar>
        </w:tblPrEx>
        <w:trPr>
          <w:trHeight w:val="567" w:hRule="atLeast"/>
        </w:trPr>
        <w:tc>
          <w:tcPr>
            <w:tcW w:w="7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851"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数量指标</w:t>
            </w:r>
          </w:p>
        </w:tc>
        <w:tc>
          <w:tcPr>
            <w:tcW w:w="157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创新创业课程建设数量</w:t>
            </w:r>
          </w:p>
        </w:tc>
        <w:tc>
          <w:tcPr>
            <w:tcW w:w="89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2门</w:t>
            </w:r>
          </w:p>
        </w:tc>
        <w:tc>
          <w:tcPr>
            <w:tcW w:w="89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2门</w:t>
            </w:r>
          </w:p>
        </w:tc>
      </w:tr>
      <w:tr>
        <w:tblPrEx>
          <w:tblCellMar>
            <w:top w:w="0" w:type="dxa"/>
            <w:left w:w="108" w:type="dxa"/>
            <w:bottom w:w="0" w:type="dxa"/>
            <w:right w:w="108" w:type="dxa"/>
          </w:tblCellMar>
        </w:tblPrEx>
        <w:trPr>
          <w:trHeight w:val="567" w:hRule="atLeast"/>
        </w:trPr>
        <w:tc>
          <w:tcPr>
            <w:tcW w:w="7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851"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数量指标</w:t>
            </w:r>
          </w:p>
        </w:tc>
        <w:tc>
          <w:tcPr>
            <w:tcW w:w="157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创新创业师资培训人数</w:t>
            </w:r>
          </w:p>
        </w:tc>
        <w:tc>
          <w:tcPr>
            <w:tcW w:w="89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50人次</w:t>
            </w:r>
          </w:p>
        </w:tc>
        <w:tc>
          <w:tcPr>
            <w:tcW w:w="89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50人次</w:t>
            </w:r>
          </w:p>
        </w:tc>
      </w:tr>
      <w:tr>
        <w:tblPrEx>
          <w:tblCellMar>
            <w:top w:w="0" w:type="dxa"/>
            <w:left w:w="108" w:type="dxa"/>
            <w:bottom w:w="0" w:type="dxa"/>
            <w:right w:w="108" w:type="dxa"/>
          </w:tblCellMar>
        </w:tblPrEx>
        <w:trPr>
          <w:trHeight w:val="567" w:hRule="atLeast"/>
        </w:trPr>
        <w:tc>
          <w:tcPr>
            <w:tcW w:w="7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效益指标</w:t>
            </w:r>
          </w:p>
        </w:tc>
        <w:tc>
          <w:tcPr>
            <w:tcW w:w="851"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经济效益指标</w:t>
            </w:r>
          </w:p>
        </w:tc>
        <w:tc>
          <w:tcPr>
            <w:tcW w:w="157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建设高校服务省域内其他高校数量</w:t>
            </w:r>
          </w:p>
        </w:tc>
        <w:tc>
          <w:tcPr>
            <w:tcW w:w="89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3所</w:t>
            </w:r>
          </w:p>
        </w:tc>
        <w:tc>
          <w:tcPr>
            <w:tcW w:w="89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8所</w:t>
            </w:r>
          </w:p>
        </w:tc>
      </w:tr>
    </w:tbl>
    <w:p>
      <w:pPr>
        <w:bidi w:val="0"/>
        <w:rPr>
          <w:rFonts w:hint="eastAsia"/>
        </w:rPr>
      </w:pPr>
      <w:r>
        <w:rPr>
          <w:rFonts w:hint="eastAsia"/>
        </w:rPr>
        <w:t>发现的主要问题、原因及建议：</w:t>
      </w:r>
    </w:p>
    <w:p>
      <w:pPr>
        <w:bidi w:val="0"/>
        <w:rPr>
          <w:rFonts w:hint="eastAsia"/>
        </w:rPr>
      </w:pPr>
      <w:r>
        <w:rPr>
          <w:rFonts w:hint="eastAsia"/>
          <w:lang w:val="en-US" w:eastAsia="zh-CN"/>
        </w:rPr>
        <w:t>暂无。</w:t>
      </w:r>
    </w:p>
    <w:p>
      <w:pPr>
        <w:bidi w:val="0"/>
        <w:rPr>
          <w:rFonts w:hint="eastAsia"/>
        </w:rPr>
      </w:pPr>
      <w:r>
        <w:rPr>
          <w:rFonts w:hint="eastAsia"/>
          <w:lang w:val="en-US" w:eastAsia="zh-CN"/>
        </w:rPr>
        <w:t>18</w:t>
      </w:r>
      <w:r>
        <w:rPr>
          <w:rFonts w:hint="eastAsia"/>
        </w:rPr>
        <w:t>、生物医学与健康研究中心</w:t>
      </w:r>
      <w:r>
        <w:rPr>
          <w:rFonts w:hint="eastAsia"/>
          <w:lang w:val="en-US" w:eastAsia="zh-CN"/>
        </w:rPr>
        <w:t>项目</w:t>
      </w:r>
      <w:r>
        <w:rPr>
          <w:rFonts w:hint="eastAsia"/>
        </w:rPr>
        <w:t>绩效自评综述</w:t>
      </w:r>
    </w:p>
    <w:p>
      <w:pPr>
        <w:bidi w:val="0"/>
        <w:rPr>
          <w:rFonts w:hint="eastAsia"/>
        </w:rPr>
      </w:pPr>
      <w:r>
        <w:rPr>
          <w:rFonts w:hint="eastAsia"/>
        </w:rPr>
        <w:t>根据年初设定的绩效目标，项目自评得分为</w:t>
      </w:r>
      <w:r>
        <w:rPr>
          <w:rFonts w:hint="eastAsia"/>
          <w:lang w:val="en-US" w:eastAsia="zh-CN"/>
        </w:rPr>
        <w:t>58.77</w:t>
      </w:r>
      <w:r>
        <w:rPr>
          <w:rFonts w:hint="eastAsia"/>
        </w:rPr>
        <w:t>分。</w:t>
      </w:r>
    </w:p>
    <w:p>
      <w:pPr>
        <w:bidi w:val="0"/>
        <w:rPr>
          <w:rFonts w:hint="eastAsia"/>
          <w:lang w:eastAsia="zh-CN"/>
        </w:rPr>
      </w:pPr>
      <w:r>
        <w:rPr>
          <w:rFonts w:hint="eastAsia"/>
        </w:rPr>
        <w:t>资金总额年初预算数</w:t>
      </w:r>
      <w:r>
        <w:rPr>
          <w:rFonts w:hint="eastAsia"/>
          <w:lang w:val="en-US" w:eastAsia="zh-CN"/>
        </w:rPr>
        <w:t>271,715,176.24</w:t>
      </w:r>
      <w:r>
        <w:rPr>
          <w:rFonts w:hint="eastAsia"/>
        </w:rPr>
        <w:t>元，全年预算数158</w:t>
      </w:r>
      <w:r>
        <w:rPr>
          <w:rFonts w:hint="eastAsia"/>
          <w:lang w:val="en-US" w:eastAsia="zh-CN"/>
        </w:rPr>
        <w:t>,</w:t>
      </w:r>
      <w:r>
        <w:rPr>
          <w:rFonts w:hint="eastAsia"/>
        </w:rPr>
        <w:t>715</w:t>
      </w:r>
      <w:r>
        <w:rPr>
          <w:rFonts w:hint="eastAsia"/>
          <w:lang w:val="en-US" w:eastAsia="zh-CN"/>
        </w:rPr>
        <w:t>,</w:t>
      </w:r>
      <w:r>
        <w:rPr>
          <w:rFonts w:hint="eastAsia"/>
        </w:rPr>
        <w:t>176.24元。其中：财政资金年初预算数</w:t>
      </w:r>
      <w:r>
        <w:rPr>
          <w:rFonts w:hint="eastAsia"/>
          <w:lang w:val="en-US" w:eastAsia="zh-CN"/>
        </w:rPr>
        <w:t>271,715,176.24</w:t>
      </w:r>
      <w:r>
        <w:rPr>
          <w:rFonts w:hint="eastAsia"/>
        </w:rPr>
        <w:t>元，财政资金全年预算数158</w:t>
      </w:r>
      <w:r>
        <w:rPr>
          <w:rFonts w:hint="eastAsia"/>
          <w:lang w:val="en-US" w:eastAsia="zh-CN"/>
        </w:rPr>
        <w:t>,</w:t>
      </w:r>
      <w:r>
        <w:rPr>
          <w:rFonts w:hint="eastAsia"/>
        </w:rPr>
        <w:t>715</w:t>
      </w:r>
      <w:r>
        <w:rPr>
          <w:rFonts w:hint="eastAsia"/>
          <w:lang w:val="en-US" w:eastAsia="zh-CN"/>
        </w:rPr>
        <w:t>,</w:t>
      </w:r>
      <w:r>
        <w:rPr>
          <w:rFonts w:hint="eastAsia"/>
        </w:rPr>
        <w:t>176.24元</w:t>
      </w:r>
      <w:r>
        <w:rPr>
          <w:rFonts w:hint="eastAsia"/>
          <w:lang w:eastAsia="zh-CN"/>
        </w:rPr>
        <w:t>。</w:t>
      </w:r>
    </w:p>
    <w:p>
      <w:pPr>
        <w:bidi w:val="0"/>
        <w:rPr>
          <w:rFonts w:hint="eastAsia"/>
          <w:lang w:eastAsia="zh-CN"/>
        </w:rPr>
      </w:pPr>
      <w:r>
        <w:rPr>
          <w:rFonts w:hint="eastAsia"/>
        </w:rPr>
        <w:t>资金总额全年执行数</w:t>
      </w:r>
      <w:r>
        <w:rPr>
          <w:rFonts w:hint="eastAsia"/>
          <w:lang w:val="en-US" w:eastAsia="zh-CN"/>
        </w:rPr>
        <w:t>139,207,450.36</w:t>
      </w:r>
      <w:r>
        <w:rPr>
          <w:rFonts w:hint="eastAsia"/>
        </w:rPr>
        <w:t>元，执行率</w:t>
      </w:r>
      <w:r>
        <w:rPr>
          <w:rFonts w:hint="eastAsia"/>
          <w:lang w:val="en-US" w:eastAsia="zh-CN"/>
        </w:rPr>
        <w:t>87.71</w:t>
      </w:r>
      <w:r>
        <w:rPr>
          <w:rFonts w:hint="eastAsia"/>
        </w:rPr>
        <w:t>%。其中：财政资金全年执行数</w:t>
      </w:r>
      <w:r>
        <w:rPr>
          <w:rFonts w:hint="eastAsia"/>
          <w:lang w:val="en-US" w:eastAsia="zh-CN"/>
        </w:rPr>
        <w:t>139,207,450.36</w:t>
      </w:r>
      <w:r>
        <w:rPr>
          <w:rFonts w:hint="eastAsia"/>
        </w:rPr>
        <w:t>元，执行率</w:t>
      </w:r>
      <w:r>
        <w:rPr>
          <w:rFonts w:hint="eastAsia"/>
          <w:lang w:val="en-US" w:eastAsia="zh-CN"/>
        </w:rPr>
        <w:t>87.71</w:t>
      </w:r>
      <w:r>
        <w:rPr>
          <w:rFonts w:hint="eastAsia"/>
        </w:rPr>
        <w:t>%</w:t>
      </w:r>
      <w:r>
        <w:rPr>
          <w:rFonts w:hint="eastAsia"/>
          <w:lang w:eastAsia="zh-CN"/>
        </w:rPr>
        <w:t>。</w:t>
      </w:r>
    </w:p>
    <w:p>
      <w:pPr>
        <w:bidi w:val="0"/>
        <w:rPr>
          <w:rFonts w:hint="eastAsia"/>
          <w:lang w:eastAsia="zh-CN"/>
        </w:rPr>
      </w:pPr>
      <w:r>
        <w:rPr>
          <w:rFonts w:hint="eastAsia"/>
        </w:rPr>
        <w:t>项目绩效目标完成情况：整体来看，项目实施合理，年初设定的</w:t>
      </w:r>
      <w:r>
        <w:rPr>
          <w:rFonts w:hint="eastAsia"/>
          <w:lang w:val="en-US" w:eastAsia="zh-CN"/>
        </w:rPr>
        <w:t>当年</w:t>
      </w:r>
      <w:r>
        <w:rPr>
          <w:rFonts w:hint="eastAsia"/>
        </w:rPr>
        <w:t>绩效目标全部达成</w:t>
      </w:r>
      <w:r>
        <w:rPr>
          <w:rFonts w:hint="eastAsia"/>
          <w:lang w:eastAsia="zh-CN"/>
        </w:rPr>
        <w:t>，</w:t>
      </w:r>
      <w:r>
        <w:rPr>
          <w:rFonts w:hint="eastAsia"/>
          <w:lang w:val="en-US" w:eastAsia="zh-CN"/>
        </w:rPr>
        <w:t>部分指标为整体绩效目标，待项目整体完工后再行考核</w:t>
      </w:r>
      <w:r>
        <w:rPr>
          <w:rFonts w:hint="eastAsia"/>
        </w:rPr>
        <w:t>。目前完成的工程质量和观感均符合规范要求。</w:t>
      </w:r>
    </w:p>
    <w:p>
      <w:pPr>
        <w:bidi w:val="0"/>
      </w:pPr>
      <w:r>
        <w:rPr>
          <w:rFonts w:hint="eastAsia"/>
        </w:rPr>
        <w:t>具体完成情况见表</w:t>
      </w:r>
      <w:r>
        <w:rPr>
          <w:rFonts w:hint="eastAsia"/>
          <w:lang w:val="en-US" w:eastAsia="zh-CN"/>
        </w:rPr>
        <w:t>18</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w:t>
      </w:r>
      <w:r>
        <w:rPr>
          <w:rFonts w:hint="eastAsia" w:ascii="仿宋" w:hAnsi="仿宋" w:eastAsia="仿宋" w:cs="仿宋"/>
          <w:sz w:val="28"/>
          <w:szCs w:val="28"/>
          <w:lang w:val="en-US" w:eastAsia="zh-CN"/>
        </w:rPr>
        <w:t xml:space="preserve">18 </w:t>
      </w:r>
      <w:r>
        <w:rPr>
          <w:rFonts w:hint="eastAsia" w:ascii="仿宋" w:hAnsi="仿宋" w:eastAsia="仿宋" w:cs="仿宋"/>
          <w:sz w:val="28"/>
          <w:szCs w:val="28"/>
          <w:lang w:eastAsia="zh-CN"/>
        </w:rPr>
        <w:t>项目绩效自评表</w:t>
      </w:r>
    </w:p>
    <w:tbl>
      <w:tblPr>
        <w:tblStyle w:val="16"/>
        <w:tblW w:w="8375" w:type="dxa"/>
        <w:tblInd w:w="108" w:type="dxa"/>
        <w:tblLayout w:type="autofit"/>
        <w:tblCellMar>
          <w:top w:w="0" w:type="dxa"/>
          <w:left w:w="108" w:type="dxa"/>
          <w:bottom w:w="0" w:type="dxa"/>
          <w:right w:w="108" w:type="dxa"/>
        </w:tblCellMar>
      </w:tblPr>
      <w:tblGrid>
        <w:gridCol w:w="1346"/>
        <w:gridCol w:w="1486"/>
        <w:gridCol w:w="2363"/>
        <w:gridCol w:w="1583"/>
        <w:gridCol w:w="1597"/>
      </w:tblGrid>
      <w:tr>
        <w:tblPrEx>
          <w:tblCellMar>
            <w:top w:w="0" w:type="dxa"/>
            <w:left w:w="108" w:type="dxa"/>
            <w:bottom w:w="0" w:type="dxa"/>
            <w:right w:w="108" w:type="dxa"/>
          </w:tblCellMar>
        </w:tblPrEx>
        <w:trPr>
          <w:trHeight w:val="72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0" w:type="auto"/>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2363" w:type="dxa"/>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158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159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实际完成值</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建设(改造、修缮)工程量</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2000平方米/公里</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2100</w:t>
            </w:r>
            <w:r>
              <w:rPr>
                <w:rFonts w:hint="eastAsia" w:ascii="仿宋" w:hAnsi="仿宋" w:eastAsia="仿宋" w:cs="仿宋"/>
                <w:sz w:val="21"/>
                <w:szCs w:val="21"/>
              </w:rPr>
              <w:t>平方米/公里</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质量指标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竣工验收合格率</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90%</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95</w:t>
            </w:r>
            <w:r>
              <w:rPr>
                <w:rFonts w:hint="eastAsia" w:ascii="仿宋" w:hAnsi="仿宋" w:eastAsia="仿宋" w:cs="仿宋"/>
                <w:sz w:val="21"/>
                <w:szCs w:val="21"/>
              </w:rPr>
              <w:t>%</w:t>
            </w:r>
          </w:p>
        </w:tc>
      </w:tr>
      <w:tr>
        <w:tblPrEx>
          <w:tblCellMar>
            <w:top w:w="0" w:type="dxa"/>
            <w:left w:w="108" w:type="dxa"/>
            <w:bottom w:w="0" w:type="dxa"/>
            <w:right w:w="108" w:type="dxa"/>
          </w:tblCellMar>
        </w:tblPrEx>
        <w:trPr>
          <w:trHeight w:val="608"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时效指标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项目按计划开工率</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90%</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100</w:t>
            </w:r>
            <w:r>
              <w:rPr>
                <w:rFonts w:hint="eastAsia" w:ascii="仿宋" w:hAnsi="仿宋" w:eastAsia="仿宋" w:cs="仿宋"/>
                <w:sz w:val="21"/>
                <w:szCs w:val="21"/>
              </w:rPr>
              <w:t>%</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时效指标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项目按计划完工率</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50%</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95</w:t>
            </w:r>
            <w:r>
              <w:rPr>
                <w:rFonts w:hint="eastAsia" w:ascii="仿宋" w:hAnsi="仿宋" w:eastAsia="仿宋" w:cs="仿宋"/>
                <w:sz w:val="21"/>
                <w:szCs w:val="21"/>
              </w:rPr>
              <w:t>%</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成本指标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超概算项目比例</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0</w:t>
            </w:r>
            <w:r>
              <w:rPr>
                <w:rFonts w:hint="eastAsia" w:ascii="仿宋" w:hAnsi="仿宋" w:eastAsia="仿宋" w:cs="仿宋"/>
                <w:sz w:val="21"/>
                <w:szCs w:val="21"/>
              </w:rPr>
              <w:t>%</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社会效益指标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建筑（工程）综合利用率</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0</w:t>
            </w:r>
            <w:r>
              <w:rPr>
                <w:rFonts w:hint="eastAsia" w:ascii="仿宋" w:hAnsi="仿宋" w:eastAsia="仿宋" w:cs="仿宋"/>
                <w:sz w:val="21"/>
                <w:szCs w:val="21"/>
              </w:rPr>
              <w:t>%</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社会效益指标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设施正常运转率</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0</w:t>
            </w:r>
            <w:r>
              <w:rPr>
                <w:rFonts w:hint="eastAsia" w:ascii="仿宋" w:hAnsi="仿宋" w:eastAsia="仿宋" w:cs="仿宋"/>
                <w:sz w:val="21"/>
                <w:szCs w:val="21"/>
              </w:rPr>
              <w:t>%</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社会效益指标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项目受益人数</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1000人</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0</w:t>
            </w:r>
            <w:r>
              <w:rPr>
                <w:rFonts w:hint="eastAsia" w:ascii="仿宋" w:hAnsi="仿宋" w:eastAsia="仿宋" w:cs="仿宋"/>
                <w:sz w:val="21"/>
                <w:szCs w:val="21"/>
              </w:rPr>
              <w:t>人</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满意度指标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受益群体满意度</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0</w:t>
            </w:r>
            <w:r>
              <w:rPr>
                <w:rFonts w:hint="eastAsia" w:ascii="仿宋" w:hAnsi="仿宋" w:eastAsia="仿宋" w:cs="仿宋"/>
                <w:sz w:val="21"/>
                <w:szCs w:val="21"/>
              </w:rPr>
              <w:t>%</w:t>
            </w:r>
          </w:p>
        </w:tc>
      </w:tr>
    </w:tbl>
    <w:p>
      <w:pPr>
        <w:bidi w:val="0"/>
        <w:rPr>
          <w:rFonts w:hint="eastAsia"/>
        </w:rPr>
      </w:pPr>
      <w:r>
        <w:rPr>
          <w:rFonts w:hint="eastAsia"/>
        </w:rPr>
        <w:t>发现的主要问题、原因及建议：</w:t>
      </w:r>
    </w:p>
    <w:p>
      <w:pPr>
        <w:pStyle w:val="2"/>
        <w:ind w:left="0" w:leftChars="0" w:firstLine="0" w:firstLineChars="0"/>
        <w:rPr>
          <w:rFonts w:hint="default" w:eastAsia="仿宋"/>
          <w:lang w:val="en-US" w:eastAsia="zh-CN"/>
        </w:rPr>
      </w:pPr>
      <w:r>
        <w:rPr>
          <w:rFonts w:hint="eastAsia"/>
          <w:lang w:val="en-US" w:eastAsia="zh-CN"/>
        </w:rPr>
        <w:t xml:space="preserve">    暂无。</w:t>
      </w:r>
    </w:p>
    <w:p>
      <w:pPr>
        <w:bidi w:val="0"/>
        <w:rPr>
          <w:rFonts w:hint="eastAsia"/>
        </w:rPr>
      </w:pPr>
      <w:r>
        <w:rPr>
          <w:rFonts w:hint="eastAsia"/>
          <w:lang w:val="en-US" w:eastAsia="zh-CN"/>
        </w:rPr>
        <w:t>19</w:t>
      </w:r>
      <w:r>
        <w:rPr>
          <w:rFonts w:hint="eastAsia"/>
        </w:rPr>
        <w:t>、海南大学观澜湖校区教学及生活服务设施（一期）</w:t>
      </w:r>
      <w:r>
        <w:rPr>
          <w:rFonts w:hint="eastAsia"/>
          <w:lang w:val="en-US" w:eastAsia="zh-CN"/>
        </w:rPr>
        <w:t>项目</w:t>
      </w:r>
      <w:r>
        <w:rPr>
          <w:rFonts w:hint="eastAsia"/>
        </w:rPr>
        <w:t>绩效自评综述</w:t>
      </w:r>
    </w:p>
    <w:p>
      <w:pPr>
        <w:bidi w:val="0"/>
        <w:rPr>
          <w:rFonts w:hint="eastAsia"/>
        </w:rPr>
      </w:pPr>
      <w:r>
        <w:rPr>
          <w:rFonts w:hint="eastAsia"/>
        </w:rPr>
        <w:t>根据年初设定的绩效目标，项目自评得分为</w:t>
      </w:r>
      <w:r>
        <w:rPr>
          <w:rFonts w:hint="eastAsia"/>
          <w:lang w:val="en-US" w:eastAsia="zh-CN"/>
        </w:rPr>
        <w:t>65</w:t>
      </w:r>
      <w:r>
        <w:rPr>
          <w:rFonts w:hint="eastAsia"/>
        </w:rPr>
        <w:t>分。</w:t>
      </w:r>
    </w:p>
    <w:p>
      <w:pPr>
        <w:bidi w:val="0"/>
        <w:rPr>
          <w:rFonts w:hint="eastAsia"/>
          <w:lang w:eastAsia="zh-CN"/>
        </w:rPr>
      </w:pPr>
      <w:r>
        <w:rPr>
          <w:rFonts w:hint="eastAsia"/>
        </w:rPr>
        <w:t>资金总额年初预算数</w:t>
      </w:r>
      <w:r>
        <w:rPr>
          <w:rFonts w:hint="eastAsia"/>
          <w:lang w:val="en-US" w:eastAsia="zh-CN"/>
        </w:rPr>
        <w:t>65,158,543.78</w:t>
      </w:r>
      <w:r>
        <w:rPr>
          <w:rFonts w:hint="eastAsia"/>
        </w:rPr>
        <w:t>元，全年预算数142</w:t>
      </w:r>
      <w:r>
        <w:rPr>
          <w:rFonts w:hint="eastAsia"/>
          <w:lang w:val="en-US" w:eastAsia="zh-CN"/>
        </w:rPr>
        <w:t>,</w:t>
      </w:r>
      <w:r>
        <w:rPr>
          <w:rFonts w:hint="eastAsia"/>
        </w:rPr>
        <w:t>158</w:t>
      </w:r>
      <w:r>
        <w:rPr>
          <w:rFonts w:hint="eastAsia"/>
          <w:lang w:val="en-US" w:eastAsia="zh-CN"/>
        </w:rPr>
        <w:t>,</w:t>
      </w:r>
      <w:r>
        <w:rPr>
          <w:rFonts w:hint="eastAsia"/>
        </w:rPr>
        <w:t>543.78元。其中：财政资金年初预算数</w:t>
      </w:r>
      <w:r>
        <w:rPr>
          <w:rFonts w:hint="eastAsia"/>
          <w:lang w:val="en-US" w:eastAsia="zh-CN"/>
        </w:rPr>
        <w:t>65,158,543.78</w:t>
      </w:r>
      <w:r>
        <w:rPr>
          <w:rFonts w:hint="eastAsia"/>
        </w:rPr>
        <w:t>元，财政资金全年预算数142</w:t>
      </w:r>
      <w:r>
        <w:rPr>
          <w:rFonts w:hint="eastAsia"/>
          <w:lang w:val="en-US" w:eastAsia="zh-CN"/>
        </w:rPr>
        <w:t>,</w:t>
      </w:r>
      <w:r>
        <w:rPr>
          <w:rFonts w:hint="eastAsia"/>
        </w:rPr>
        <w:t>158</w:t>
      </w:r>
      <w:r>
        <w:rPr>
          <w:rFonts w:hint="eastAsia"/>
          <w:lang w:val="en-US" w:eastAsia="zh-CN"/>
        </w:rPr>
        <w:t>,</w:t>
      </w:r>
      <w:r>
        <w:rPr>
          <w:rFonts w:hint="eastAsia"/>
        </w:rPr>
        <w:t>543.78元</w:t>
      </w:r>
      <w:r>
        <w:rPr>
          <w:rFonts w:hint="eastAsia"/>
          <w:lang w:eastAsia="zh-CN"/>
        </w:rPr>
        <w:t>。</w:t>
      </w:r>
    </w:p>
    <w:p>
      <w:pPr>
        <w:bidi w:val="0"/>
        <w:rPr>
          <w:rFonts w:hint="eastAsia"/>
          <w:lang w:eastAsia="zh-CN"/>
        </w:rPr>
      </w:pPr>
      <w:r>
        <w:rPr>
          <w:rFonts w:hint="eastAsia"/>
        </w:rPr>
        <w:t>资金总额全年执行数</w:t>
      </w:r>
      <w:r>
        <w:rPr>
          <w:rFonts w:hint="eastAsia"/>
          <w:lang w:val="en-US" w:eastAsia="zh-CN"/>
        </w:rPr>
        <w:t>142,158,543.78</w:t>
      </w:r>
      <w:r>
        <w:rPr>
          <w:rFonts w:hint="eastAsia"/>
        </w:rPr>
        <w:t>元，执行率</w:t>
      </w:r>
      <w:r>
        <w:rPr>
          <w:rFonts w:hint="eastAsia"/>
          <w:lang w:val="en-US" w:eastAsia="zh-CN"/>
        </w:rPr>
        <w:t>100</w:t>
      </w:r>
      <w:r>
        <w:rPr>
          <w:rFonts w:hint="eastAsia"/>
        </w:rPr>
        <w:t>%。其中：财政资金全年执行数</w:t>
      </w:r>
      <w:r>
        <w:rPr>
          <w:rFonts w:hint="eastAsia"/>
          <w:lang w:val="en-US" w:eastAsia="zh-CN"/>
        </w:rPr>
        <w:t>142,158,543.78</w:t>
      </w:r>
      <w:r>
        <w:rPr>
          <w:rFonts w:hint="eastAsia"/>
        </w:rPr>
        <w:t>元，执行率</w:t>
      </w:r>
      <w:r>
        <w:rPr>
          <w:rFonts w:hint="eastAsia"/>
          <w:lang w:val="en-US" w:eastAsia="zh-CN"/>
        </w:rPr>
        <w:t>100</w:t>
      </w:r>
      <w:r>
        <w:rPr>
          <w:rFonts w:hint="eastAsia"/>
        </w:rPr>
        <w:t>%</w:t>
      </w:r>
      <w:r>
        <w:rPr>
          <w:rFonts w:hint="eastAsia"/>
          <w:lang w:eastAsia="zh-CN"/>
        </w:rPr>
        <w:t>。</w:t>
      </w:r>
    </w:p>
    <w:p>
      <w:pPr>
        <w:bidi w:val="0"/>
        <w:rPr>
          <w:rFonts w:hint="eastAsia"/>
          <w:lang w:eastAsia="zh-CN"/>
        </w:rPr>
      </w:pPr>
      <w:r>
        <w:rPr>
          <w:rFonts w:hint="eastAsia"/>
        </w:rPr>
        <w:t>项目绩效目标完成情况：2022年已完成项目室内外装修及室外配套等工作，进入园林园建施并完善周边市政配套工作，完成情况良好。</w:t>
      </w:r>
    </w:p>
    <w:p>
      <w:pPr>
        <w:bidi w:val="0"/>
      </w:pPr>
      <w:r>
        <w:rPr>
          <w:rFonts w:hint="eastAsia"/>
        </w:rPr>
        <w:t>具体完成情况见表</w:t>
      </w:r>
      <w:r>
        <w:rPr>
          <w:rFonts w:hint="eastAsia"/>
          <w:lang w:val="en-US" w:eastAsia="zh-CN"/>
        </w:rPr>
        <w:t>19</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w:t>
      </w:r>
      <w:r>
        <w:rPr>
          <w:rFonts w:hint="eastAsia" w:ascii="仿宋" w:hAnsi="仿宋" w:eastAsia="仿宋" w:cs="仿宋"/>
          <w:sz w:val="28"/>
          <w:szCs w:val="28"/>
          <w:lang w:val="en-US" w:eastAsia="zh-CN"/>
        </w:rPr>
        <w:t xml:space="preserve">19 </w:t>
      </w:r>
      <w:r>
        <w:rPr>
          <w:rFonts w:hint="eastAsia" w:ascii="仿宋" w:hAnsi="仿宋" w:eastAsia="仿宋" w:cs="仿宋"/>
          <w:sz w:val="28"/>
          <w:szCs w:val="28"/>
          <w:lang w:eastAsia="zh-CN"/>
        </w:rPr>
        <w:t>项目绩效自评表</w:t>
      </w:r>
    </w:p>
    <w:tbl>
      <w:tblPr>
        <w:tblStyle w:val="16"/>
        <w:tblpPr w:leftFromText="180" w:rightFromText="180" w:vertAnchor="text" w:horzAnchor="page" w:tblpX="1792" w:tblpY="27"/>
        <w:tblOverlap w:val="never"/>
        <w:tblW w:w="49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445"/>
        <w:gridCol w:w="2703"/>
        <w:gridCol w:w="1463"/>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2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720" w:type="pct"/>
            <w:vMerge w:val="restar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产出指标</w:t>
            </w: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数量指标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建设(改造、修缮)工程量</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81929</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81929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数量指标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建设(改造、修缮)工程数量</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1</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质量指标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竣工验收合格率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100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质量指标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项目设计变更率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20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时效指标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项目按计划开工率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100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时效指标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项目按计划完工率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100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成本指标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超概算项目比例</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10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20" w:type="pct"/>
            <w:vMerge w:val="restar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效益指标</w:t>
            </w: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社会效益指标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建筑（工程）综合利用率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90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项目为跨年度项目，于2021年5月开工，合同竣工日期为2023年5月，尚未投入使用，该绩效目标值是整体绩效目标。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社会效益指标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设施正常运转率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90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项目为跨年度项目，于2021年5月开工，合同竣工日期为2023年5月，尚未投入使用，该绩效目标值是整体绩效目标。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社会效益指标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项目受益人数</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2000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项目为跨年度项目，于2021年5月开工，合同竣工日期为2023年5月，尚未投入使用，该绩效目标值是整体绩效目标。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2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满意度指标</w:t>
            </w: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服务对象满意度</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受益群体满意度</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90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rPr>
              <w:t>项目为跨年度项目，于2021年5月开工，合同竣工日期为2023年5月，尚未投入使用，该绩效目标值是整体绩效目标。</w:t>
            </w:r>
          </w:p>
        </w:tc>
      </w:tr>
    </w:tbl>
    <w:p>
      <w:pPr>
        <w:bidi w:val="0"/>
      </w:pPr>
      <w:r>
        <w:rPr>
          <w:rFonts w:hint="eastAsia"/>
        </w:rPr>
        <w:t>发现的主要问题、原因及建议：</w:t>
      </w:r>
    </w:p>
    <w:p>
      <w:pPr>
        <w:bidi w:val="0"/>
        <w:rPr>
          <w:rFonts w:hint="eastAsia"/>
        </w:rPr>
      </w:pPr>
      <w:r>
        <w:rPr>
          <w:rFonts w:hint="eastAsia"/>
        </w:rPr>
        <w:t>暂无。</w:t>
      </w:r>
    </w:p>
    <w:p>
      <w:pPr>
        <w:bidi w:val="0"/>
        <w:rPr>
          <w:rFonts w:hint="eastAsia"/>
        </w:rPr>
      </w:pPr>
      <w:r>
        <w:rPr>
          <w:rFonts w:hint="eastAsia"/>
          <w:lang w:val="en-US" w:eastAsia="zh-CN"/>
        </w:rPr>
        <w:t>20</w:t>
      </w:r>
      <w:r>
        <w:rPr>
          <w:rFonts w:hint="eastAsia"/>
        </w:rPr>
        <w:t>、研究生公寓及附属食堂</w:t>
      </w:r>
      <w:r>
        <w:rPr>
          <w:rFonts w:hint="eastAsia"/>
          <w:lang w:val="en-US" w:eastAsia="zh-CN"/>
        </w:rPr>
        <w:t>项目</w:t>
      </w:r>
      <w:r>
        <w:rPr>
          <w:rFonts w:hint="eastAsia"/>
        </w:rPr>
        <w:t>绩效自评综述</w:t>
      </w:r>
    </w:p>
    <w:p>
      <w:pPr>
        <w:bidi w:val="0"/>
        <w:rPr>
          <w:rFonts w:hint="eastAsia"/>
        </w:rPr>
      </w:pPr>
      <w:r>
        <w:rPr>
          <w:rFonts w:hint="eastAsia"/>
        </w:rPr>
        <w:t>根据年初设定的绩效目标，项目自评得分为</w:t>
      </w:r>
      <w:r>
        <w:rPr>
          <w:rFonts w:hint="eastAsia"/>
          <w:lang w:val="en-US" w:eastAsia="zh-CN"/>
        </w:rPr>
        <w:t>100</w:t>
      </w:r>
      <w:r>
        <w:rPr>
          <w:rFonts w:hint="eastAsia"/>
        </w:rPr>
        <w:t>分。</w:t>
      </w:r>
    </w:p>
    <w:p>
      <w:pPr>
        <w:bidi w:val="0"/>
        <w:rPr>
          <w:rFonts w:hint="eastAsia"/>
          <w:lang w:eastAsia="zh-CN"/>
        </w:rPr>
      </w:pPr>
      <w:r>
        <w:rPr>
          <w:rFonts w:hint="eastAsia"/>
        </w:rPr>
        <w:t>资金总额年初预算数</w:t>
      </w:r>
      <w:r>
        <w:rPr>
          <w:rFonts w:hint="eastAsia"/>
          <w:lang w:val="en-US" w:eastAsia="zh-CN"/>
        </w:rPr>
        <w:t>48,000,000</w:t>
      </w:r>
      <w:r>
        <w:rPr>
          <w:rFonts w:hint="eastAsia"/>
        </w:rPr>
        <w:t>元，全年预算数48</w:t>
      </w:r>
      <w:r>
        <w:rPr>
          <w:rFonts w:hint="eastAsia"/>
          <w:lang w:val="en-US" w:eastAsia="zh-CN"/>
        </w:rPr>
        <w:t>,</w:t>
      </w:r>
      <w:r>
        <w:rPr>
          <w:rFonts w:hint="eastAsia"/>
        </w:rPr>
        <w:t>000</w:t>
      </w:r>
      <w:r>
        <w:rPr>
          <w:rFonts w:hint="eastAsia"/>
          <w:lang w:val="en-US" w:eastAsia="zh-CN"/>
        </w:rPr>
        <w:t>,</w:t>
      </w:r>
      <w:r>
        <w:rPr>
          <w:rFonts w:hint="eastAsia"/>
        </w:rPr>
        <w:t>000元。其中：财政资金年初预算数</w:t>
      </w:r>
      <w:r>
        <w:rPr>
          <w:rFonts w:hint="eastAsia"/>
          <w:lang w:val="en-US" w:eastAsia="zh-CN"/>
        </w:rPr>
        <w:t>48,000,000</w:t>
      </w:r>
      <w:r>
        <w:rPr>
          <w:rFonts w:hint="eastAsia"/>
        </w:rPr>
        <w:t>元，财政资金全年预算数48</w:t>
      </w:r>
      <w:r>
        <w:rPr>
          <w:rFonts w:hint="eastAsia"/>
          <w:lang w:val="en-US" w:eastAsia="zh-CN"/>
        </w:rPr>
        <w:t>,</w:t>
      </w:r>
      <w:r>
        <w:rPr>
          <w:rFonts w:hint="eastAsia"/>
        </w:rPr>
        <w:t>000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w:t>
      </w:r>
      <w:r>
        <w:rPr>
          <w:rFonts w:hint="eastAsia"/>
          <w:lang w:val="en-US" w:eastAsia="zh-CN"/>
        </w:rPr>
        <w:t>48,000,000</w:t>
      </w:r>
      <w:r>
        <w:rPr>
          <w:rFonts w:hint="eastAsia"/>
        </w:rPr>
        <w:t>元，执行率</w:t>
      </w:r>
      <w:r>
        <w:rPr>
          <w:rFonts w:hint="eastAsia"/>
          <w:lang w:val="en-US" w:eastAsia="zh-CN"/>
        </w:rPr>
        <w:t>100</w:t>
      </w:r>
      <w:r>
        <w:rPr>
          <w:rFonts w:hint="eastAsia"/>
        </w:rPr>
        <w:t>%。其中：财政资金全年执行数</w:t>
      </w:r>
      <w:r>
        <w:rPr>
          <w:rFonts w:hint="eastAsia"/>
          <w:lang w:val="en-US" w:eastAsia="zh-CN"/>
        </w:rPr>
        <w:t>48,000,000</w:t>
      </w:r>
      <w:r>
        <w:rPr>
          <w:rFonts w:hint="eastAsia"/>
        </w:rPr>
        <w:t>元，执行率</w:t>
      </w:r>
      <w:r>
        <w:rPr>
          <w:rFonts w:hint="eastAsia"/>
          <w:lang w:val="en-US" w:eastAsia="zh-CN"/>
        </w:rPr>
        <w:t>100</w:t>
      </w:r>
      <w:r>
        <w:rPr>
          <w:rFonts w:hint="eastAsia"/>
        </w:rPr>
        <w:t>%</w:t>
      </w:r>
      <w:r>
        <w:rPr>
          <w:rFonts w:hint="eastAsia"/>
          <w:lang w:eastAsia="zh-CN"/>
        </w:rPr>
        <w:t>。</w:t>
      </w:r>
    </w:p>
    <w:p>
      <w:pPr>
        <w:bidi w:val="0"/>
        <w:rPr>
          <w:rFonts w:hint="eastAsia"/>
          <w:lang w:eastAsia="zh-CN"/>
        </w:rPr>
      </w:pPr>
      <w:r>
        <w:rPr>
          <w:rFonts w:hint="eastAsia"/>
        </w:rPr>
        <w:t>项目绩效目标完成情况：完成研究生公寓及附属食堂所有建设内容，完成各专项验收并投入使用，开展项目工程结算工作。</w:t>
      </w:r>
    </w:p>
    <w:p>
      <w:pPr>
        <w:bidi w:val="0"/>
      </w:pPr>
      <w:r>
        <w:rPr>
          <w:rFonts w:hint="eastAsia"/>
        </w:rPr>
        <w:t>具体完成情况见表</w:t>
      </w:r>
      <w:r>
        <w:rPr>
          <w:rFonts w:hint="eastAsia"/>
          <w:lang w:val="en-US" w:eastAsia="zh-CN"/>
        </w:rPr>
        <w:t>20</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w:t>
      </w:r>
      <w:r>
        <w:rPr>
          <w:rFonts w:hint="eastAsia" w:ascii="仿宋" w:hAnsi="仿宋" w:eastAsia="仿宋" w:cs="仿宋"/>
          <w:sz w:val="28"/>
          <w:szCs w:val="28"/>
          <w:lang w:val="en-US" w:eastAsia="zh-CN"/>
        </w:rPr>
        <w:t xml:space="preserve">20 </w:t>
      </w:r>
      <w:r>
        <w:rPr>
          <w:rFonts w:hint="eastAsia" w:ascii="仿宋" w:hAnsi="仿宋" w:eastAsia="仿宋" w:cs="仿宋"/>
          <w:sz w:val="28"/>
          <w:szCs w:val="28"/>
          <w:lang w:eastAsia="zh-CN"/>
        </w:rPr>
        <w:t>项目绩效自评表</w:t>
      </w:r>
    </w:p>
    <w:tbl>
      <w:tblPr>
        <w:tblStyle w:val="16"/>
        <w:tblpPr w:leftFromText="180" w:rightFromText="180" w:vertAnchor="text" w:horzAnchor="page" w:tblpX="1792" w:tblpY="27"/>
        <w:tblOverlap w:val="never"/>
        <w:tblW w:w="49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445"/>
        <w:gridCol w:w="2703"/>
        <w:gridCol w:w="1463"/>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产出指标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数量指标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建设(改造、修缮)工程量</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4500平方米/公里</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45423平方米/公里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数量指标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建设(改造、修缮)工程数量</w:t>
            </w:r>
          </w:p>
        </w:tc>
        <w:tc>
          <w:tcPr>
            <w:tcW w:w="1462" w:type="dxa"/>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1个</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质量指标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竣工验收合格率</w:t>
            </w:r>
          </w:p>
        </w:tc>
        <w:tc>
          <w:tcPr>
            <w:tcW w:w="1462" w:type="dxa"/>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时效指标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项目按计划开工率</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100%</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时效指标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项目按计划完工率</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100%</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效益指标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社会效益指标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项目受益人数</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4000人</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5400人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满意度指标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服务对象满意度</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受益群体满意度</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90%</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95%</w:t>
            </w:r>
          </w:p>
        </w:tc>
      </w:tr>
    </w:tbl>
    <w:p>
      <w:pPr>
        <w:bidi w:val="0"/>
      </w:pPr>
      <w:r>
        <w:rPr>
          <w:rFonts w:hint="eastAsia"/>
        </w:rPr>
        <w:t>发现的主要问题、原因及建议：</w:t>
      </w:r>
    </w:p>
    <w:p>
      <w:pPr>
        <w:bidi w:val="0"/>
        <w:rPr>
          <w:rFonts w:hint="eastAsia"/>
        </w:rPr>
      </w:pPr>
      <w:r>
        <w:rPr>
          <w:rFonts w:hint="eastAsia"/>
        </w:rPr>
        <w:t>研究生公寓及附属食堂项目未完成工程结算工作。根据代管单位与施工单位签订的施工合同，结算完成后支付至工程结算审核价格的97%，且未明确约定施工单位要配合省教育厅竣工财务决算评审文件要求的工程竣工结算二次审核。如省教育厅决算时对工程竣工结算进行二次审核，最终可能会审减工程价款，代管单位和学校存在多付风险。因此未完成工程决算前，根据学校会议纪要精神，最多仅支付至</w:t>
      </w:r>
      <w:r>
        <w:rPr>
          <w:rFonts w:hint="eastAsia"/>
          <w:lang w:val="en-US" w:eastAsia="zh-CN"/>
        </w:rPr>
        <w:t>工</w:t>
      </w:r>
      <w:r>
        <w:rPr>
          <w:rFonts w:hint="eastAsia"/>
        </w:rPr>
        <w:t>程结算审核价格的95%。</w:t>
      </w:r>
    </w:p>
    <w:p>
      <w:pPr>
        <w:bidi w:val="0"/>
        <w:rPr>
          <w:rFonts w:hint="eastAsia"/>
        </w:rPr>
      </w:pPr>
      <w:r>
        <w:rPr>
          <w:rFonts w:hint="eastAsia"/>
          <w:lang w:val="en-US" w:eastAsia="zh-CN"/>
        </w:rPr>
        <w:t>21</w:t>
      </w:r>
      <w:r>
        <w:rPr>
          <w:rFonts w:hint="eastAsia"/>
        </w:rPr>
        <w:t>、热带农林学院专家学者楼</w:t>
      </w:r>
      <w:r>
        <w:rPr>
          <w:rFonts w:hint="eastAsia"/>
          <w:lang w:val="en-US" w:eastAsia="zh-CN"/>
        </w:rPr>
        <w:t>项目</w:t>
      </w:r>
      <w:r>
        <w:rPr>
          <w:rFonts w:hint="eastAsia"/>
        </w:rPr>
        <w:t>绩效自评综述</w:t>
      </w:r>
    </w:p>
    <w:p>
      <w:pPr>
        <w:bidi w:val="0"/>
        <w:rPr>
          <w:rFonts w:hint="eastAsia"/>
        </w:rPr>
      </w:pPr>
      <w:r>
        <w:rPr>
          <w:rFonts w:hint="eastAsia"/>
        </w:rPr>
        <w:t>根据年初设定的绩效目标，项目自评得分为</w:t>
      </w:r>
      <w:r>
        <w:rPr>
          <w:rFonts w:hint="eastAsia"/>
          <w:lang w:val="en-US" w:eastAsia="zh-CN"/>
        </w:rPr>
        <w:t>100</w:t>
      </w:r>
      <w:r>
        <w:rPr>
          <w:rFonts w:hint="eastAsia"/>
        </w:rPr>
        <w:t>分。</w:t>
      </w:r>
    </w:p>
    <w:p>
      <w:pPr>
        <w:bidi w:val="0"/>
        <w:rPr>
          <w:rFonts w:hint="eastAsia"/>
          <w:lang w:eastAsia="zh-CN"/>
        </w:rPr>
      </w:pPr>
      <w:r>
        <w:rPr>
          <w:rFonts w:hint="eastAsia"/>
        </w:rPr>
        <w:t>资金总额年初预算数</w:t>
      </w:r>
      <w:r>
        <w:rPr>
          <w:rFonts w:hint="eastAsia"/>
          <w:lang w:val="en-US" w:eastAsia="zh-CN"/>
        </w:rPr>
        <w:t>22,000,000</w:t>
      </w:r>
      <w:r>
        <w:rPr>
          <w:rFonts w:hint="eastAsia"/>
        </w:rPr>
        <w:t>元，全年预算数22</w:t>
      </w:r>
      <w:r>
        <w:rPr>
          <w:rFonts w:hint="eastAsia"/>
          <w:lang w:val="en-US" w:eastAsia="zh-CN"/>
        </w:rPr>
        <w:t>,</w:t>
      </w:r>
      <w:r>
        <w:rPr>
          <w:rFonts w:hint="eastAsia"/>
        </w:rPr>
        <w:t>000</w:t>
      </w:r>
      <w:r>
        <w:rPr>
          <w:rFonts w:hint="eastAsia"/>
          <w:lang w:val="en-US" w:eastAsia="zh-CN"/>
        </w:rPr>
        <w:t>,</w:t>
      </w:r>
      <w:r>
        <w:rPr>
          <w:rFonts w:hint="eastAsia"/>
        </w:rPr>
        <w:t>000元。其中：财政资金年初预算数</w:t>
      </w:r>
      <w:r>
        <w:rPr>
          <w:rFonts w:hint="eastAsia"/>
          <w:lang w:val="en-US" w:eastAsia="zh-CN"/>
        </w:rPr>
        <w:t>22,000,000</w:t>
      </w:r>
      <w:r>
        <w:rPr>
          <w:rFonts w:hint="eastAsia"/>
        </w:rPr>
        <w:t>元，财政资金全年预算数22</w:t>
      </w:r>
      <w:r>
        <w:rPr>
          <w:rFonts w:hint="eastAsia"/>
          <w:lang w:val="en-US" w:eastAsia="zh-CN"/>
        </w:rPr>
        <w:t>,</w:t>
      </w:r>
      <w:r>
        <w:rPr>
          <w:rFonts w:hint="eastAsia"/>
        </w:rPr>
        <w:t>000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w:t>
      </w:r>
      <w:r>
        <w:rPr>
          <w:rFonts w:hint="eastAsia"/>
          <w:lang w:val="en-US" w:eastAsia="zh-CN"/>
        </w:rPr>
        <w:t>22,000,000</w:t>
      </w:r>
      <w:r>
        <w:rPr>
          <w:rFonts w:hint="eastAsia"/>
        </w:rPr>
        <w:t>元，执行率</w:t>
      </w:r>
      <w:r>
        <w:rPr>
          <w:rFonts w:hint="eastAsia"/>
          <w:lang w:val="en-US" w:eastAsia="zh-CN"/>
        </w:rPr>
        <w:t>100</w:t>
      </w:r>
      <w:r>
        <w:rPr>
          <w:rFonts w:hint="eastAsia"/>
        </w:rPr>
        <w:t>%。其中：财政资金全年执行数</w:t>
      </w:r>
      <w:r>
        <w:rPr>
          <w:rFonts w:hint="eastAsia"/>
          <w:lang w:val="en-US" w:eastAsia="zh-CN"/>
        </w:rPr>
        <w:t>22,000,000</w:t>
      </w:r>
      <w:r>
        <w:rPr>
          <w:rFonts w:hint="eastAsia"/>
        </w:rPr>
        <w:t>元，执行率</w:t>
      </w:r>
      <w:r>
        <w:rPr>
          <w:rFonts w:hint="eastAsia"/>
          <w:lang w:val="en-US" w:eastAsia="zh-CN"/>
        </w:rPr>
        <w:t>100</w:t>
      </w:r>
      <w:r>
        <w:rPr>
          <w:rFonts w:hint="eastAsia"/>
        </w:rPr>
        <w:t>%</w:t>
      </w:r>
      <w:r>
        <w:rPr>
          <w:rFonts w:hint="eastAsia"/>
          <w:lang w:eastAsia="zh-CN"/>
        </w:rPr>
        <w:t>。</w:t>
      </w:r>
    </w:p>
    <w:p>
      <w:pPr>
        <w:bidi w:val="0"/>
        <w:rPr>
          <w:rFonts w:hint="eastAsia"/>
          <w:lang w:eastAsia="zh-CN"/>
        </w:rPr>
      </w:pPr>
      <w:r>
        <w:rPr>
          <w:rFonts w:hint="eastAsia"/>
        </w:rPr>
        <w:t>项目绩效目标完成情况：完成该项目所有专项验收和竣工验收备案并且完成工程结算工作。</w:t>
      </w:r>
    </w:p>
    <w:p>
      <w:pPr>
        <w:bidi w:val="0"/>
      </w:pPr>
      <w:r>
        <w:rPr>
          <w:rFonts w:hint="eastAsia"/>
        </w:rPr>
        <w:t>具体完成情况见表</w:t>
      </w:r>
      <w:r>
        <w:rPr>
          <w:rFonts w:hint="eastAsia"/>
          <w:lang w:val="en-US" w:eastAsia="zh-CN"/>
        </w:rPr>
        <w:t>21</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w:t>
      </w:r>
      <w:r>
        <w:rPr>
          <w:rFonts w:hint="eastAsia" w:ascii="仿宋" w:hAnsi="仿宋" w:eastAsia="仿宋" w:cs="仿宋"/>
          <w:sz w:val="28"/>
          <w:szCs w:val="28"/>
          <w:lang w:val="en-US" w:eastAsia="zh-CN"/>
        </w:rPr>
        <w:t xml:space="preserve">21 </w:t>
      </w:r>
      <w:r>
        <w:rPr>
          <w:rFonts w:hint="eastAsia" w:ascii="仿宋" w:hAnsi="仿宋" w:eastAsia="仿宋" w:cs="仿宋"/>
          <w:sz w:val="28"/>
          <w:szCs w:val="28"/>
          <w:lang w:eastAsia="zh-CN"/>
        </w:rPr>
        <w:t>项目绩效自评表</w:t>
      </w:r>
    </w:p>
    <w:tbl>
      <w:tblPr>
        <w:tblStyle w:val="16"/>
        <w:tblW w:w="5184" w:type="pct"/>
        <w:tblInd w:w="-82" w:type="dxa"/>
        <w:tblLayout w:type="autofit"/>
        <w:tblCellMar>
          <w:top w:w="0" w:type="dxa"/>
          <w:left w:w="108" w:type="dxa"/>
          <w:bottom w:w="0" w:type="dxa"/>
          <w:right w:w="108" w:type="dxa"/>
        </w:tblCellMar>
      </w:tblPr>
      <w:tblGrid>
        <w:gridCol w:w="1469"/>
        <w:gridCol w:w="1666"/>
        <w:gridCol w:w="2572"/>
        <w:gridCol w:w="1501"/>
        <w:gridCol w:w="1637"/>
      </w:tblGrid>
      <w:tr>
        <w:tblPrEx>
          <w:tblCellMar>
            <w:top w:w="0" w:type="dxa"/>
            <w:left w:w="108" w:type="dxa"/>
            <w:bottom w:w="0" w:type="dxa"/>
            <w:right w:w="108" w:type="dxa"/>
          </w:tblCellMar>
        </w:tblPrEx>
        <w:trPr>
          <w:trHeight w:val="763" w:hRule="atLeast"/>
        </w:trPr>
        <w:tc>
          <w:tcPr>
            <w:tcW w:w="830"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941"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453"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848"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92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建设(改造、修缮)工程量</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40000平方米/公里</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40956平方米/公里</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建设(改造、修缮)工程数量</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1个</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1个</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质量指标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竣工验收合格率</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90%</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时效指标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项目按计划开工率</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90%</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时效指标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项目按计划完工率</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社会效益指标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项目受益人数</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400人</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400人</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满意度指标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受益群体满意度</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90%</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95%</w:t>
            </w:r>
          </w:p>
        </w:tc>
      </w:tr>
    </w:tbl>
    <w:p>
      <w:pPr>
        <w:bidi w:val="0"/>
      </w:pPr>
      <w:r>
        <w:rPr>
          <w:rFonts w:hint="eastAsia"/>
        </w:rPr>
        <w:t>发现的主要问题、原因及建议：</w:t>
      </w:r>
    </w:p>
    <w:p>
      <w:pPr>
        <w:bidi w:val="0"/>
        <w:rPr>
          <w:rFonts w:hint="eastAsia"/>
        </w:rPr>
      </w:pPr>
      <w:r>
        <w:rPr>
          <w:rFonts w:hint="eastAsia"/>
        </w:rPr>
        <w:t>热带农林学院专家学者楼项目未完成工程决算工作。根据代管单位与施工单位签订的施工合同，结算完成后支付至工程结算审核价格的97%，且未明确约定施工单位要配合省教育厅竣工财务决算评审文件要求的工程竣工结算二次审核。如省教育厅决算时对工程竣工结算进行二次审核，最终可能会审减工程价款，代管单位和学校存在多付风险。因此未完成工程决算前，根据学校会议纪要精神，最多仅支付至程结算审核价格的95%。</w:t>
      </w:r>
    </w:p>
    <w:p>
      <w:pPr>
        <w:bidi w:val="0"/>
        <w:rPr>
          <w:rFonts w:hint="eastAsia"/>
        </w:rPr>
      </w:pPr>
      <w:r>
        <w:rPr>
          <w:rFonts w:hint="eastAsia"/>
          <w:lang w:val="en-US" w:eastAsia="zh-CN"/>
        </w:rPr>
        <w:t>22</w:t>
      </w:r>
      <w:r>
        <w:rPr>
          <w:rFonts w:hint="eastAsia"/>
        </w:rPr>
        <w:t>、紫荆学生公寓3号楼</w:t>
      </w:r>
      <w:r>
        <w:rPr>
          <w:rFonts w:hint="eastAsia"/>
          <w:lang w:val="en-US" w:eastAsia="zh-CN"/>
        </w:rPr>
        <w:t>项目</w:t>
      </w:r>
      <w:r>
        <w:rPr>
          <w:rFonts w:hint="eastAsia"/>
        </w:rPr>
        <w:t>绩效自评综述</w:t>
      </w:r>
    </w:p>
    <w:p>
      <w:pPr>
        <w:bidi w:val="0"/>
        <w:rPr>
          <w:rFonts w:hint="eastAsia"/>
        </w:rPr>
      </w:pPr>
      <w:r>
        <w:rPr>
          <w:rFonts w:hint="eastAsia"/>
        </w:rPr>
        <w:t>根据年初设定的绩效目标，项目自评得分为</w:t>
      </w:r>
      <w:r>
        <w:rPr>
          <w:rFonts w:hint="eastAsia"/>
          <w:lang w:val="en-US" w:eastAsia="zh-CN"/>
        </w:rPr>
        <w:t>90.56</w:t>
      </w:r>
      <w:r>
        <w:rPr>
          <w:rFonts w:hint="eastAsia"/>
        </w:rPr>
        <w:t>分。</w:t>
      </w:r>
    </w:p>
    <w:p>
      <w:pPr>
        <w:bidi w:val="0"/>
        <w:rPr>
          <w:rFonts w:hint="eastAsia"/>
          <w:lang w:eastAsia="zh-CN"/>
        </w:rPr>
      </w:pPr>
      <w:r>
        <w:rPr>
          <w:rFonts w:hint="eastAsia"/>
        </w:rPr>
        <w:t>资金总额年初预算数</w:t>
      </w:r>
      <w:r>
        <w:rPr>
          <w:rFonts w:hint="eastAsia"/>
          <w:lang w:val="en-US" w:eastAsia="zh-CN"/>
        </w:rPr>
        <w:t>20,000,000</w:t>
      </w:r>
      <w:r>
        <w:rPr>
          <w:rFonts w:hint="eastAsia"/>
        </w:rPr>
        <w:t>元，全年预算数20</w:t>
      </w:r>
      <w:r>
        <w:rPr>
          <w:rFonts w:hint="eastAsia"/>
          <w:lang w:val="en-US" w:eastAsia="zh-CN"/>
        </w:rPr>
        <w:t>,</w:t>
      </w:r>
      <w:r>
        <w:rPr>
          <w:rFonts w:hint="eastAsia"/>
        </w:rPr>
        <w:t>000</w:t>
      </w:r>
      <w:r>
        <w:rPr>
          <w:rFonts w:hint="eastAsia"/>
          <w:lang w:val="en-US" w:eastAsia="zh-CN"/>
        </w:rPr>
        <w:t>,</w:t>
      </w:r>
      <w:r>
        <w:rPr>
          <w:rFonts w:hint="eastAsia"/>
        </w:rPr>
        <w:t>000元。其中：财政资金年初预算数</w:t>
      </w:r>
      <w:r>
        <w:rPr>
          <w:rFonts w:hint="eastAsia"/>
          <w:lang w:val="en-US" w:eastAsia="zh-CN"/>
        </w:rPr>
        <w:t>20,000,000</w:t>
      </w:r>
      <w:r>
        <w:rPr>
          <w:rFonts w:hint="eastAsia"/>
        </w:rPr>
        <w:t>元，财政资金全年预算数20</w:t>
      </w:r>
      <w:r>
        <w:rPr>
          <w:rFonts w:hint="eastAsia"/>
          <w:lang w:val="en-US" w:eastAsia="zh-CN"/>
        </w:rPr>
        <w:t>,</w:t>
      </w:r>
      <w:r>
        <w:rPr>
          <w:rFonts w:hint="eastAsia"/>
        </w:rPr>
        <w:t>000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w:t>
      </w:r>
      <w:r>
        <w:rPr>
          <w:rFonts w:hint="eastAsia"/>
          <w:lang w:val="en-US" w:eastAsia="zh-CN"/>
        </w:rPr>
        <w:t>20,000,000</w:t>
      </w:r>
      <w:r>
        <w:rPr>
          <w:rFonts w:hint="eastAsia"/>
        </w:rPr>
        <w:t>元，执行率</w:t>
      </w:r>
      <w:r>
        <w:rPr>
          <w:rFonts w:hint="eastAsia"/>
          <w:lang w:val="en-US" w:eastAsia="zh-CN"/>
        </w:rPr>
        <w:t>100</w:t>
      </w:r>
      <w:r>
        <w:rPr>
          <w:rFonts w:hint="eastAsia"/>
        </w:rPr>
        <w:t>%。其中：财政资金全年执行数</w:t>
      </w:r>
      <w:r>
        <w:rPr>
          <w:rFonts w:hint="eastAsia"/>
          <w:lang w:val="en-US" w:eastAsia="zh-CN"/>
        </w:rPr>
        <w:t>20,000,000</w:t>
      </w:r>
      <w:r>
        <w:rPr>
          <w:rFonts w:hint="eastAsia"/>
        </w:rPr>
        <w:t>元，执行率</w:t>
      </w:r>
      <w:r>
        <w:rPr>
          <w:rFonts w:hint="eastAsia"/>
          <w:lang w:val="en-US" w:eastAsia="zh-CN"/>
        </w:rPr>
        <w:t>100</w:t>
      </w:r>
      <w:r>
        <w:rPr>
          <w:rFonts w:hint="eastAsia"/>
        </w:rPr>
        <w:t>%</w:t>
      </w:r>
      <w:r>
        <w:rPr>
          <w:rFonts w:hint="eastAsia"/>
          <w:lang w:eastAsia="zh-CN"/>
        </w:rPr>
        <w:t>。</w:t>
      </w:r>
    </w:p>
    <w:p>
      <w:pPr>
        <w:bidi w:val="0"/>
        <w:rPr>
          <w:rFonts w:hint="eastAsia"/>
          <w:lang w:eastAsia="zh-CN"/>
        </w:rPr>
      </w:pPr>
      <w:r>
        <w:rPr>
          <w:rFonts w:hint="eastAsia"/>
        </w:rPr>
        <w:t>项目绩效目标完成情况：本年度主要完成工程进场施工，完成工程桩施工，完成基础开挖，垫层施工完成90%，基础防水施工95%，地下室底板钢筋完成40%,地下室底板浇筑完成40%。完成项目整体形象进度17%。</w:t>
      </w:r>
    </w:p>
    <w:p>
      <w:pPr>
        <w:bidi w:val="0"/>
      </w:pPr>
      <w:r>
        <w:rPr>
          <w:rFonts w:hint="eastAsia"/>
        </w:rPr>
        <w:t>具体完成情况见表</w:t>
      </w:r>
      <w:r>
        <w:rPr>
          <w:rFonts w:hint="eastAsia"/>
          <w:lang w:val="en-US" w:eastAsia="zh-CN"/>
        </w:rPr>
        <w:t>22</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w:t>
      </w:r>
      <w:r>
        <w:rPr>
          <w:rFonts w:hint="eastAsia" w:ascii="仿宋" w:hAnsi="仿宋" w:eastAsia="仿宋" w:cs="仿宋"/>
          <w:sz w:val="28"/>
          <w:szCs w:val="28"/>
          <w:lang w:val="en-US" w:eastAsia="zh-CN"/>
        </w:rPr>
        <w:t xml:space="preserve">22 </w:t>
      </w:r>
      <w:r>
        <w:rPr>
          <w:rFonts w:hint="eastAsia" w:ascii="仿宋" w:hAnsi="仿宋" w:eastAsia="仿宋" w:cs="仿宋"/>
          <w:sz w:val="28"/>
          <w:szCs w:val="28"/>
          <w:lang w:eastAsia="zh-CN"/>
        </w:rPr>
        <w:t>项目绩效自评表</w:t>
      </w:r>
    </w:p>
    <w:tbl>
      <w:tblPr>
        <w:tblStyle w:val="16"/>
        <w:tblW w:w="4977" w:type="pct"/>
        <w:tblInd w:w="38" w:type="dxa"/>
        <w:tblLayout w:type="autofit"/>
        <w:tblCellMar>
          <w:top w:w="0" w:type="dxa"/>
          <w:left w:w="108" w:type="dxa"/>
          <w:bottom w:w="0" w:type="dxa"/>
          <w:right w:w="108" w:type="dxa"/>
        </w:tblCellMar>
      </w:tblPr>
      <w:tblGrid>
        <w:gridCol w:w="1324"/>
        <w:gridCol w:w="1466"/>
        <w:gridCol w:w="2622"/>
        <w:gridCol w:w="1456"/>
        <w:gridCol w:w="1624"/>
      </w:tblGrid>
      <w:tr>
        <w:tblPrEx>
          <w:tblCellMar>
            <w:top w:w="0" w:type="dxa"/>
            <w:left w:w="108" w:type="dxa"/>
            <w:bottom w:w="0" w:type="dxa"/>
            <w:right w:w="108" w:type="dxa"/>
          </w:tblCellMar>
        </w:tblPrEx>
        <w:trPr>
          <w:trHeight w:val="780" w:hRule="atLeast"/>
        </w:trPr>
        <w:tc>
          <w:tcPr>
            <w:tcW w:w="77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86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543"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85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95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23" w:hRule="atLeast"/>
        </w:trPr>
        <w:tc>
          <w:tcPr>
            <w:tcW w:w="77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建设(改造、修缮)工程量</w:t>
            </w:r>
          </w:p>
        </w:tc>
        <w:tc>
          <w:tcPr>
            <w:tcW w:w="857"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10000平方米/公里</w:t>
            </w:r>
          </w:p>
        </w:tc>
        <w:tc>
          <w:tcPr>
            <w:tcW w:w="956"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7500</w:t>
            </w:r>
            <w:r>
              <w:rPr>
                <w:rFonts w:hint="eastAsia" w:ascii="仿宋" w:hAnsi="仿宋" w:eastAsia="仿宋" w:cs="仿宋"/>
                <w:sz w:val="21"/>
                <w:szCs w:val="21"/>
              </w:rPr>
              <w:t>平方米/公里</w:t>
            </w:r>
          </w:p>
        </w:tc>
      </w:tr>
      <w:tr>
        <w:tblPrEx>
          <w:tblCellMar>
            <w:top w:w="0" w:type="dxa"/>
            <w:left w:w="108" w:type="dxa"/>
            <w:bottom w:w="0" w:type="dxa"/>
            <w:right w:w="108" w:type="dxa"/>
          </w:tblCellMar>
        </w:tblPrEx>
        <w:trPr>
          <w:trHeight w:val="623" w:hRule="atLeast"/>
        </w:trPr>
        <w:tc>
          <w:tcPr>
            <w:tcW w:w="77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建设(改造、修缮)工程数量</w:t>
            </w:r>
          </w:p>
        </w:tc>
        <w:tc>
          <w:tcPr>
            <w:tcW w:w="857"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1个</w:t>
            </w:r>
          </w:p>
        </w:tc>
        <w:tc>
          <w:tcPr>
            <w:tcW w:w="956"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1个</w:t>
            </w:r>
          </w:p>
        </w:tc>
      </w:tr>
      <w:tr>
        <w:tblPrEx>
          <w:tblCellMar>
            <w:top w:w="0" w:type="dxa"/>
            <w:left w:w="108" w:type="dxa"/>
            <w:bottom w:w="0" w:type="dxa"/>
            <w:right w:w="108" w:type="dxa"/>
          </w:tblCellMar>
        </w:tblPrEx>
        <w:trPr>
          <w:trHeight w:val="623" w:hRule="atLeast"/>
        </w:trPr>
        <w:tc>
          <w:tcPr>
            <w:tcW w:w="77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时效指标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项目按计划开工率</w:t>
            </w:r>
          </w:p>
        </w:tc>
        <w:tc>
          <w:tcPr>
            <w:tcW w:w="857"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w:t>
            </w:r>
          </w:p>
        </w:tc>
        <w:tc>
          <w:tcPr>
            <w:tcW w:w="956"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100%</w:t>
            </w:r>
          </w:p>
        </w:tc>
      </w:tr>
      <w:tr>
        <w:tblPrEx>
          <w:tblCellMar>
            <w:top w:w="0" w:type="dxa"/>
            <w:left w:w="108" w:type="dxa"/>
            <w:bottom w:w="0" w:type="dxa"/>
            <w:right w:w="108" w:type="dxa"/>
          </w:tblCellMar>
        </w:tblPrEx>
        <w:trPr>
          <w:trHeight w:val="623" w:hRule="atLeast"/>
        </w:trPr>
        <w:tc>
          <w:tcPr>
            <w:tcW w:w="77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时效指标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项目按计划完工率</w:t>
            </w:r>
          </w:p>
        </w:tc>
        <w:tc>
          <w:tcPr>
            <w:tcW w:w="857"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90%</w:t>
            </w:r>
          </w:p>
        </w:tc>
        <w:tc>
          <w:tcPr>
            <w:tcW w:w="956"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70%</w:t>
            </w:r>
          </w:p>
        </w:tc>
      </w:tr>
      <w:tr>
        <w:tblPrEx>
          <w:tblCellMar>
            <w:top w:w="0" w:type="dxa"/>
            <w:left w:w="108" w:type="dxa"/>
            <w:bottom w:w="0" w:type="dxa"/>
            <w:right w:w="108" w:type="dxa"/>
          </w:tblCellMar>
        </w:tblPrEx>
        <w:trPr>
          <w:trHeight w:val="670" w:hRule="atLeast"/>
        </w:trPr>
        <w:tc>
          <w:tcPr>
            <w:tcW w:w="77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86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社会效益指标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发生安全事故数量</w:t>
            </w:r>
          </w:p>
        </w:tc>
        <w:tc>
          <w:tcPr>
            <w:tcW w:w="857"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0起</w:t>
            </w:r>
          </w:p>
        </w:tc>
        <w:tc>
          <w:tcPr>
            <w:tcW w:w="956"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0起</w:t>
            </w:r>
          </w:p>
        </w:tc>
      </w:tr>
    </w:tbl>
    <w:p>
      <w:pPr>
        <w:bidi w:val="0"/>
      </w:pPr>
      <w:r>
        <w:rPr>
          <w:rFonts w:hint="eastAsia"/>
        </w:rPr>
        <w:t>发现的主要问题、原因及建议：</w:t>
      </w:r>
    </w:p>
    <w:p>
      <w:pPr>
        <w:bidi w:val="0"/>
        <w:rPr>
          <w:rFonts w:hint="eastAsia"/>
        </w:rPr>
      </w:pPr>
      <w:r>
        <w:rPr>
          <w:rFonts w:hint="eastAsia"/>
        </w:rPr>
        <w:t>由于项目临近宿舍区，可能会影响到学生生活作息，基建处要求施工单位严格按照要求进行施工，同时安抚好学生的情绪，降低项目施工对周边的影响。</w:t>
      </w:r>
    </w:p>
    <w:p>
      <w:pPr>
        <w:bidi w:val="0"/>
        <w:rPr>
          <w:rFonts w:hint="eastAsia"/>
        </w:rPr>
      </w:pPr>
      <w:r>
        <w:rPr>
          <w:rFonts w:hint="eastAsia"/>
          <w:lang w:val="en-US" w:eastAsia="zh-CN"/>
        </w:rPr>
        <w:t>23</w:t>
      </w:r>
      <w:r>
        <w:rPr>
          <w:rFonts w:hint="eastAsia"/>
        </w:rPr>
        <w:t>、法学科研中心</w:t>
      </w:r>
      <w:r>
        <w:rPr>
          <w:rFonts w:hint="eastAsia"/>
          <w:lang w:val="en-US" w:eastAsia="zh-CN"/>
        </w:rPr>
        <w:t>项目</w:t>
      </w:r>
      <w:r>
        <w:rPr>
          <w:rFonts w:hint="eastAsia"/>
        </w:rPr>
        <w:t>绩效自评综述</w:t>
      </w:r>
    </w:p>
    <w:p>
      <w:pPr>
        <w:bidi w:val="0"/>
        <w:rPr>
          <w:rFonts w:hint="eastAsia"/>
        </w:rPr>
      </w:pPr>
      <w:r>
        <w:rPr>
          <w:rFonts w:hint="eastAsia"/>
        </w:rPr>
        <w:t>根据年初设定的绩效目标，项目自评得分为</w:t>
      </w:r>
      <w:r>
        <w:rPr>
          <w:rFonts w:hint="eastAsia"/>
          <w:lang w:val="en-US" w:eastAsia="zh-CN"/>
        </w:rPr>
        <w:t>95.56</w:t>
      </w:r>
      <w:r>
        <w:rPr>
          <w:rFonts w:hint="eastAsia"/>
        </w:rPr>
        <w:t>分。</w:t>
      </w:r>
    </w:p>
    <w:p>
      <w:pPr>
        <w:bidi w:val="0"/>
        <w:rPr>
          <w:rFonts w:hint="eastAsia"/>
          <w:lang w:eastAsia="zh-CN"/>
        </w:rPr>
      </w:pPr>
      <w:r>
        <w:rPr>
          <w:rFonts w:hint="eastAsia"/>
        </w:rPr>
        <w:t>资金总额年初预算数</w:t>
      </w:r>
      <w:r>
        <w:rPr>
          <w:rFonts w:hint="eastAsia"/>
          <w:lang w:val="en-US" w:eastAsia="zh-CN"/>
        </w:rPr>
        <w:t>15,000,000</w:t>
      </w:r>
      <w:r>
        <w:rPr>
          <w:rFonts w:hint="eastAsia"/>
        </w:rPr>
        <w:t>元，全年预算数28</w:t>
      </w:r>
      <w:r>
        <w:rPr>
          <w:rFonts w:hint="eastAsia"/>
          <w:lang w:val="en-US" w:eastAsia="zh-CN"/>
        </w:rPr>
        <w:t>,</w:t>
      </w:r>
      <w:r>
        <w:rPr>
          <w:rFonts w:hint="eastAsia"/>
        </w:rPr>
        <w:t>000</w:t>
      </w:r>
      <w:r>
        <w:rPr>
          <w:rFonts w:hint="eastAsia"/>
          <w:lang w:val="en-US" w:eastAsia="zh-CN"/>
        </w:rPr>
        <w:t>,</w:t>
      </w:r>
      <w:r>
        <w:rPr>
          <w:rFonts w:hint="eastAsia"/>
        </w:rPr>
        <w:t>000元。其中：财政资金年初预算数</w:t>
      </w:r>
      <w:r>
        <w:rPr>
          <w:rFonts w:hint="eastAsia"/>
          <w:lang w:val="en-US" w:eastAsia="zh-CN"/>
        </w:rPr>
        <w:t>15,000,000</w:t>
      </w:r>
      <w:r>
        <w:rPr>
          <w:rFonts w:hint="eastAsia"/>
        </w:rPr>
        <w:t>元，财政资金全年预算数28</w:t>
      </w:r>
      <w:r>
        <w:rPr>
          <w:rFonts w:hint="eastAsia"/>
          <w:lang w:val="en-US" w:eastAsia="zh-CN"/>
        </w:rPr>
        <w:t>,</w:t>
      </w:r>
      <w:r>
        <w:rPr>
          <w:rFonts w:hint="eastAsia"/>
        </w:rPr>
        <w:t>000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w:t>
      </w:r>
      <w:r>
        <w:rPr>
          <w:rFonts w:hint="eastAsia"/>
          <w:lang w:val="en-US" w:eastAsia="zh-CN"/>
        </w:rPr>
        <w:t>28,000,000</w:t>
      </w:r>
      <w:r>
        <w:rPr>
          <w:rFonts w:hint="eastAsia"/>
        </w:rPr>
        <w:t>元，执行率</w:t>
      </w:r>
      <w:r>
        <w:rPr>
          <w:rFonts w:hint="eastAsia"/>
          <w:lang w:val="en-US" w:eastAsia="zh-CN"/>
        </w:rPr>
        <w:t>100</w:t>
      </w:r>
      <w:r>
        <w:rPr>
          <w:rFonts w:hint="eastAsia"/>
        </w:rPr>
        <w:t>%。其中：财政资金全年执行数</w:t>
      </w:r>
      <w:r>
        <w:rPr>
          <w:rFonts w:hint="eastAsia"/>
          <w:lang w:val="en-US" w:eastAsia="zh-CN"/>
        </w:rPr>
        <w:t>28,000,000</w:t>
      </w:r>
      <w:r>
        <w:rPr>
          <w:rFonts w:hint="eastAsia"/>
        </w:rPr>
        <w:t>元，执行率</w:t>
      </w:r>
      <w:r>
        <w:rPr>
          <w:rFonts w:hint="eastAsia"/>
          <w:lang w:val="en-US" w:eastAsia="zh-CN"/>
        </w:rPr>
        <w:t>100</w:t>
      </w:r>
      <w:r>
        <w:rPr>
          <w:rFonts w:hint="eastAsia"/>
        </w:rPr>
        <w:t>%</w:t>
      </w:r>
      <w:r>
        <w:rPr>
          <w:rFonts w:hint="eastAsia"/>
          <w:lang w:eastAsia="zh-CN"/>
        </w:rPr>
        <w:t>。</w:t>
      </w:r>
    </w:p>
    <w:p>
      <w:pPr>
        <w:bidi w:val="0"/>
        <w:rPr>
          <w:rFonts w:hint="eastAsia"/>
          <w:lang w:eastAsia="zh-CN"/>
        </w:rPr>
      </w:pPr>
      <w:r>
        <w:rPr>
          <w:rFonts w:hint="eastAsia"/>
        </w:rPr>
        <w:t>项目绩效目标完成情况：项目正在按目标实施，目前完成的工程质量和观感均符合规范要求，2022年完成施工招标，施工报建并开工建设，完成工程桩施工，地下基础开挖，进行地下基础施工。项目实施情况良好，质量达到合同约定要求。</w:t>
      </w:r>
    </w:p>
    <w:p>
      <w:pPr>
        <w:bidi w:val="0"/>
      </w:pPr>
      <w:r>
        <w:rPr>
          <w:rFonts w:hint="eastAsia"/>
        </w:rPr>
        <w:t>具体完成情况见表</w:t>
      </w:r>
      <w:r>
        <w:rPr>
          <w:rFonts w:hint="eastAsia"/>
          <w:lang w:val="en-US" w:eastAsia="zh-CN"/>
        </w:rPr>
        <w:t>23</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w:t>
      </w:r>
      <w:r>
        <w:rPr>
          <w:rFonts w:hint="eastAsia" w:ascii="仿宋" w:hAnsi="仿宋" w:eastAsia="仿宋" w:cs="仿宋"/>
          <w:sz w:val="28"/>
          <w:szCs w:val="28"/>
          <w:lang w:val="en-US" w:eastAsia="zh-CN"/>
        </w:rPr>
        <w:t xml:space="preserve">23 </w:t>
      </w:r>
      <w:r>
        <w:rPr>
          <w:rFonts w:hint="eastAsia" w:ascii="仿宋" w:hAnsi="仿宋" w:eastAsia="仿宋" w:cs="仿宋"/>
          <w:sz w:val="28"/>
          <w:szCs w:val="28"/>
          <w:lang w:eastAsia="zh-CN"/>
        </w:rPr>
        <w:t>项目绩效自评表</w:t>
      </w:r>
    </w:p>
    <w:tbl>
      <w:tblPr>
        <w:tblStyle w:val="16"/>
        <w:tblW w:w="4977" w:type="pct"/>
        <w:tblInd w:w="38" w:type="dxa"/>
        <w:tblLayout w:type="autofit"/>
        <w:tblCellMar>
          <w:top w:w="0" w:type="dxa"/>
          <w:left w:w="108" w:type="dxa"/>
          <w:bottom w:w="0" w:type="dxa"/>
          <w:right w:w="108" w:type="dxa"/>
        </w:tblCellMar>
      </w:tblPr>
      <w:tblGrid>
        <w:gridCol w:w="1324"/>
        <w:gridCol w:w="1466"/>
        <w:gridCol w:w="2622"/>
        <w:gridCol w:w="1456"/>
        <w:gridCol w:w="1624"/>
      </w:tblGrid>
      <w:tr>
        <w:tblPrEx>
          <w:tblCellMar>
            <w:top w:w="0" w:type="dxa"/>
            <w:left w:w="108" w:type="dxa"/>
            <w:bottom w:w="0" w:type="dxa"/>
            <w:right w:w="108" w:type="dxa"/>
          </w:tblCellMar>
        </w:tblPrEx>
        <w:trPr>
          <w:trHeight w:val="780" w:hRule="atLeast"/>
        </w:trPr>
        <w:tc>
          <w:tcPr>
            <w:tcW w:w="77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86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543"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85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95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23" w:hRule="atLeast"/>
        </w:trPr>
        <w:tc>
          <w:tcPr>
            <w:tcW w:w="1321"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6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数量指标</w:t>
            </w:r>
          </w:p>
        </w:tc>
        <w:tc>
          <w:tcPr>
            <w:tcW w:w="2619"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建设(改造、修缮)工程量</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3000平方米/公里</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3272平方米/公里</w:t>
            </w:r>
          </w:p>
        </w:tc>
      </w:tr>
      <w:tr>
        <w:tblPrEx>
          <w:tblCellMar>
            <w:top w:w="0" w:type="dxa"/>
            <w:left w:w="108" w:type="dxa"/>
            <w:bottom w:w="0" w:type="dxa"/>
            <w:right w:w="108" w:type="dxa"/>
          </w:tblCellMar>
        </w:tblPrEx>
        <w:trPr>
          <w:trHeight w:val="623" w:hRule="atLeast"/>
        </w:trPr>
        <w:tc>
          <w:tcPr>
            <w:tcW w:w="1321"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6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数量指标</w:t>
            </w:r>
          </w:p>
        </w:tc>
        <w:tc>
          <w:tcPr>
            <w:tcW w:w="2619"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建设(改造、修缮)工程数量</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1个</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1个</w:t>
            </w:r>
          </w:p>
        </w:tc>
      </w:tr>
      <w:tr>
        <w:tblPrEx>
          <w:tblCellMar>
            <w:top w:w="0" w:type="dxa"/>
            <w:left w:w="108" w:type="dxa"/>
            <w:bottom w:w="0" w:type="dxa"/>
            <w:right w:w="108" w:type="dxa"/>
          </w:tblCellMar>
        </w:tblPrEx>
        <w:trPr>
          <w:trHeight w:val="623" w:hRule="atLeast"/>
        </w:trPr>
        <w:tc>
          <w:tcPr>
            <w:tcW w:w="1321"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6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时效指标</w:t>
            </w:r>
          </w:p>
        </w:tc>
        <w:tc>
          <w:tcPr>
            <w:tcW w:w="2619"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项目按计划开工率</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100%</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100%</w:t>
            </w:r>
          </w:p>
        </w:tc>
      </w:tr>
      <w:tr>
        <w:tblPrEx>
          <w:tblCellMar>
            <w:top w:w="0" w:type="dxa"/>
            <w:left w:w="108" w:type="dxa"/>
            <w:bottom w:w="0" w:type="dxa"/>
            <w:right w:w="108" w:type="dxa"/>
          </w:tblCellMar>
        </w:tblPrEx>
        <w:trPr>
          <w:trHeight w:val="623" w:hRule="atLeast"/>
        </w:trPr>
        <w:tc>
          <w:tcPr>
            <w:tcW w:w="1321"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6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时效指标</w:t>
            </w:r>
          </w:p>
        </w:tc>
        <w:tc>
          <w:tcPr>
            <w:tcW w:w="2619"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项目按计划完工率</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90%</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70%</w:t>
            </w:r>
          </w:p>
        </w:tc>
      </w:tr>
      <w:tr>
        <w:tblPrEx>
          <w:tblCellMar>
            <w:top w:w="0" w:type="dxa"/>
            <w:left w:w="108" w:type="dxa"/>
            <w:bottom w:w="0" w:type="dxa"/>
            <w:right w:w="108" w:type="dxa"/>
          </w:tblCellMar>
        </w:tblPrEx>
        <w:trPr>
          <w:trHeight w:val="670" w:hRule="atLeast"/>
        </w:trPr>
        <w:tc>
          <w:tcPr>
            <w:tcW w:w="13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效益指标</w:t>
            </w:r>
          </w:p>
        </w:tc>
        <w:tc>
          <w:tcPr>
            <w:tcW w:w="146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社会效益指标</w:t>
            </w:r>
          </w:p>
        </w:tc>
        <w:tc>
          <w:tcPr>
            <w:tcW w:w="2619"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发生安全事故数量</w:t>
            </w:r>
          </w:p>
        </w:tc>
        <w:tc>
          <w:tcPr>
            <w:tcW w:w="145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2起</w:t>
            </w:r>
          </w:p>
        </w:tc>
        <w:tc>
          <w:tcPr>
            <w:tcW w:w="162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0起</w:t>
            </w:r>
          </w:p>
        </w:tc>
      </w:tr>
    </w:tbl>
    <w:p>
      <w:pPr>
        <w:bidi w:val="0"/>
      </w:pPr>
      <w:r>
        <w:rPr>
          <w:rFonts w:hint="eastAsia"/>
        </w:rPr>
        <w:t>发现的主要问题、原因及建议：</w:t>
      </w:r>
    </w:p>
    <w:p>
      <w:pPr>
        <w:bidi w:val="0"/>
        <w:rPr>
          <w:rFonts w:hint="eastAsia"/>
        </w:rPr>
      </w:pPr>
      <w:r>
        <w:rPr>
          <w:rFonts w:hint="eastAsia"/>
        </w:rPr>
        <w:t>2022年完成施工招标，施工报建并开工建设，完成工程桩施工，地下基础开挖，进行地下基础施工。项目按计划开工，但因疫情影响，当年实际完成未达到预期目标。</w:t>
      </w:r>
    </w:p>
    <w:p>
      <w:pPr>
        <w:bidi w:val="0"/>
        <w:rPr>
          <w:rFonts w:hint="eastAsia"/>
        </w:rPr>
      </w:pPr>
      <w:r>
        <w:rPr>
          <w:rFonts w:hint="eastAsia"/>
          <w:lang w:val="en-US" w:eastAsia="zh-CN"/>
        </w:rPr>
        <w:t>24</w:t>
      </w:r>
      <w:r>
        <w:rPr>
          <w:rFonts w:hint="eastAsia"/>
        </w:rPr>
        <w:t>、信息科技大搂扩建</w:t>
      </w:r>
      <w:r>
        <w:rPr>
          <w:rFonts w:hint="eastAsia"/>
          <w:lang w:val="en-US" w:eastAsia="zh-CN"/>
        </w:rPr>
        <w:t>项目</w:t>
      </w:r>
      <w:r>
        <w:rPr>
          <w:rFonts w:hint="eastAsia"/>
        </w:rPr>
        <w:t>绩效自评综述</w:t>
      </w:r>
    </w:p>
    <w:p>
      <w:pPr>
        <w:bidi w:val="0"/>
        <w:rPr>
          <w:rFonts w:hint="eastAsia"/>
        </w:rPr>
      </w:pPr>
      <w:r>
        <w:rPr>
          <w:rFonts w:hint="eastAsia"/>
        </w:rPr>
        <w:t>根据年初设定的绩效目标，项目自评得分为</w:t>
      </w:r>
      <w:r>
        <w:rPr>
          <w:rFonts w:hint="eastAsia"/>
          <w:lang w:val="en-US" w:eastAsia="zh-CN"/>
        </w:rPr>
        <w:t>100</w:t>
      </w:r>
      <w:r>
        <w:rPr>
          <w:rFonts w:hint="eastAsia"/>
        </w:rPr>
        <w:t>分。</w:t>
      </w:r>
    </w:p>
    <w:p>
      <w:pPr>
        <w:bidi w:val="0"/>
        <w:rPr>
          <w:rFonts w:hint="eastAsia"/>
          <w:lang w:eastAsia="zh-CN"/>
        </w:rPr>
      </w:pPr>
      <w:r>
        <w:rPr>
          <w:rFonts w:hint="eastAsia"/>
        </w:rPr>
        <w:t>资金总额年初预算数</w:t>
      </w:r>
      <w:r>
        <w:rPr>
          <w:rFonts w:hint="eastAsia"/>
          <w:lang w:val="en-US" w:eastAsia="zh-CN"/>
        </w:rPr>
        <w:t>15,000,000</w:t>
      </w:r>
      <w:r>
        <w:rPr>
          <w:rFonts w:hint="eastAsia"/>
        </w:rPr>
        <w:t>元，全年预算数25</w:t>
      </w:r>
      <w:r>
        <w:rPr>
          <w:rFonts w:hint="eastAsia"/>
          <w:lang w:val="en-US" w:eastAsia="zh-CN"/>
        </w:rPr>
        <w:t>,</w:t>
      </w:r>
      <w:r>
        <w:rPr>
          <w:rFonts w:hint="eastAsia"/>
        </w:rPr>
        <w:t>000</w:t>
      </w:r>
      <w:r>
        <w:rPr>
          <w:rFonts w:hint="eastAsia"/>
          <w:lang w:val="en-US" w:eastAsia="zh-CN"/>
        </w:rPr>
        <w:t>,</w:t>
      </w:r>
      <w:r>
        <w:rPr>
          <w:rFonts w:hint="eastAsia"/>
        </w:rPr>
        <w:t>000元。其中：财政资金年初预算数</w:t>
      </w:r>
      <w:r>
        <w:rPr>
          <w:rFonts w:hint="eastAsia"/>
          <w:lang w:val="en-US" w:eastAsia="zh-CN"/>
        </w:rPr>
        <w:t>15,000,000</w:t>
      </w:r>
      <w:r>
        <w:rPr>
          <w:rFonts w:hint="eastAsia"/>
        </w:rPr>
        <w:t>元，财政资金全年预算数25</w:t>
      </w:r>
      <w:r>
        <w:rPr>
          <w:rFonts w:hint="eastAsia"/>
          <w:lang w:val="en-US" w:eastAsia="zh-CN"/>
        </w:rPr>
        <w:t>,</w:t>
      </w:r>
      <w:r>
        <w:rPr>
          <w:rFonts w:hint="eastAsia"/>
        </w:rPr>
        <w:t>000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w:t>
      </w:r>
      <w:r>
        <w:rPr>
          <w:rFonts w:hint="eastAsia"/>
          <w:lang w:val="en-US" w:eastAsia="zh-CN"/>
        </w:rPr>
        <w:t>25,000,000</w:t>
      </w:r>
      <w:r>
        <w:rPr>
          <w:rFonts w:hint="eastAsia"/>
        </w:rPr>
        <w:t>元，执行率</w:t>
      </w:r>
      <w:r>
        <w:rPr>
          <w:rFonts w:hint="eastAsia"/>
          <w:lang w:val="en-US" w:eastAsia="zh-CN"/>
        </w:rPr>
        <w:t>100</w:t>
      </w:r>
      <w:r>
        <w:rPr>
          <w:rFonts w:hint="eastAsia"/>
        </w:rPr>
        <w:t>%。其中：财政资金全年执行数</w:t>
      </w:r>
      <w:r>
        <w:rPr>
          <w:rFonts w:hint="eastAsia"/>
          <w:lang w:val="en-US" w:eastAsia="zh-CN"/>
        </w:rPr>
        <w:t>25,000,000</w:t>
      </w:r>
      <w:r>
        <w:rPr>
          <w:rFonts w:hint="eastAsia"/>
        </w:rPr>
        <w:t>元，执行率</w:t>
      </w:r>
      <w:r>
        <w:rPr>
          <w:rFonts w:hint="eastAsia"/>
          <w:lang w:val="en-US" w:eastAsia="zh-CN"/>
        </w:rPr>
        <w:t>100</w:t>
      </w:r>
      <w:r>
        <w:rPr>
          <w:rFonts w:hint="eastAsia"/>
        </w:rPr>
        <w:t>%</w:t>
      </w:r>
      <w:r>
        <w:rPr>
          <w:rFonts w:hint="eastAsia"/>
          <w:lang w:eastAsia="zh-CN"/>
        </w:rPr>
        <w:t>。</w:t>
      </w:r>
    </w:p>
    <w:p>
      <w:pPr>
        <w:bidi w:val="0"/>
        <w:rPr>
          <w:rFonts w:hint="eastAsia"/>
          <w:lang w:eastAsia="zh-CN"/>
        </w:rPr>
      </w:pPr>
      <w:r>
        <w:rPr>
          <w:rFonts w:hint="eastAsia"/>
        </w:rPr>
        <w:t>项目绩效目标完成情况：2022年完成主体结构封，墙体砌筑、批挡、抹灰等工程，水电、进行安装工程施工，其中：机电安装完成80%，装修硬装完成85%。整体来看，项目实施合理，年初设定的各项绩效目标全部达成。目前完成的工程质量和观感均符合规范要求。</w:t>
      </w:r>
    </w:p>
    <w:p>
      <w:pPr>
        <w:bidi w:val="0"/>
      </w:pPr>
      <w:r>
        <w:rPr>
          <w:rFonts w:hint="eastAsia"/>
        </w:rPr>
        <w:t>具体完成情况见表</w:t>
      </w:r>
      <w:r>
        <w:rPr>
          <w:rFonts w:hint="eastAsia"/>
          <w:lang w:val="en-US" w:eastAsia="zh-CN"/>
        </w:rPr>
        <w:t>24</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w:t>
      </w:r>
      <w:r>
        <w:rPr>
          <w:rFonts w:hint="eastAsia" w:ascii="仿宋" w:hAnsi="仿宋" w:eastAsia="仿宋" w:cs="仿宋"/>
          <w:sz w:val="28"/>
          <w:szCs w:val="28"/>
          <w:lang w:val="en-US" w:eastAsia="zh-CN"/>
        </w:rPr>
        <w:t xml:space="preserve">24 </w:t>
      </w:r>
      <w:r>
        <w:rPr>
          <w:rFonts w:hint="eastAsia" w:ascii="仿宋" w:hAnsi="仿宋" w:eastAsia="仿宋" w:cs="仿宋"/>
          <w:sz w:val="28"/>
          <w:szCs w:val="28"/>
          <w:lang w:eastAsia="zh-CN"/>
        </w:rPr>
        <w:t>项目绩效自评表</w:t>
      </w:r>
    </w:p>
    <w:tbl>
      <w:tblPr>
        <w:tblStyle w:val="16"/>
        <w:tblW w:w="4977" w:type="pct"/>
        <w:tblInd w:w="38" w:type="dxa"/>
        <w:tblLayout w:type="autofit"/>
        <w:tblCellMar>
          <w:top w:w="0" w:type="dxa"/>
          <w:left w:w="108" w:type="dxa"/>
          <w:bottom w:w="0" w:type="dxa"/>
          <w:right w:w="108" w:type="dxa"/>
        </w:tblCellMar>
      </w:tblPr>
      <w:tblGrid>
        <w:gridCol w:w="1322"/>
        <w:gridCol w:w="1467"/>
        <w:gridCol w:w="2622"/>
        <w:gridCol w:w="1456"/>
        <w:gridCol w:w="1625"/>
      </w:tblGrid>
      <w:tr>
        <w:tblPrEx>
          <w:tblCellMar>
            <w:top w:w="0" w:type="dxa"/>
            <w:left w:w="108" w:type="dxa"/>
            <w:bottom w:w="0" w:type="dxa"/>
            <w:right w:w="108" w:type="dxa"/>
          </w:tblCellMar>
        </w:tblPrEx>
        <w:trPr>
          <w:trHeight w:val="780" w:hRule="atLeast"/>
        </w:trPr>
        <w:tc>
          <w:tcPr>
            <w:tcW w:w="778"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86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543"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85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95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23" w:hRule="atLeast"/>
        </w:trPr>
        <w:tc>
          <w:tcPr>
            <w:tcW w:w="778"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数量指标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建设(改造、修缮)工程量</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3000平方米/公里</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3493.85平方米/公里</w:t>
            </w:r>
          </w:p>
        </w:tc>
      </w:tr>
      <w:tr>
        <w:tblPrEx>
          <w:tblCellMar>
            <w:top w:w="0" w:type="dxa"/>
            <w:left w:w="108" w:type="dxa"/>
            <w:bottom w:w="0" w:type="dxa"/>
            <w:right w:w="108" w:type="dxa"/>
          </w:tblCellMar>
        </w:tblPrEx>
        <w:trPr>
          <w:trHeight w:val="623" w:hRule="atLeast"/>
        </w:trPr>
        <w:tc>
          <w:tcPr>
            <w:tcW w:w="778"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时效指标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项目按计划完工率</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90%</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100%</w:t>
            </w:r>
          </w:p>
        </w:tc>
      </w:tr>
      <w:tr>
        <w:tblPrEx>
          <w:tblCellMar>
            <w:top w:w="0" w:type="dxa"/>
            <w:left w:w="108" w:type="dxa"/>
            <w:bottom w:w="0" w:type="dxa"/>
            <w:right w:w="108" w:type="dxa"/>
          </w:tblCellMar>
        </w:tblPrEx>
        <w:trPr>
          <w:trHeight w:val="623" w:hRule="atLeast"/>
        </w:trPr>
        <w:tc>
          <w:tcPr>
            <w:tcW w:w="778"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效益指标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经济效益指标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已完成工程量占比</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70%</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90%</w:t>
            </w:r>
          </w:p>
        </w:tc>
      </w:tr>
      <w:tr>
        <w:tblPrEx>
          <w:tblCellMar>
            <w:top w:w="0" w:type="dxa"/>
            <w:left w:w="108" w:type="dxa"/>
            <w:bottom w:w="0" w:type="dxa"/>
            <w:right w:w="108" w:type="dxa"/>
          </w:tblCellMar>
        </w:tblPrEx>
        <w:trPr>
          <w:trHeight w:val="623" w:hRule="atLeast"/>
        </w:trPr>
        <w:tc>
          <w:tcPr>
            <w:tcW w:w="778"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效益指标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社会效益指标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发生安全事故数量</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2起</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0起</w:t>
            </w:r>
          </w:p>
        </w:tc>
      </w:tr>
    </w:tbl>
    <w:p>
      <w:pPr>
        <w:bidi w:val="0"/>
      </w:pPr>
      <w:r>
        <w:rPr>
          <w:rFonts w:hint="eastAsia"/>
        </w:rPr>
        <w:t>发现的主要问题、原因及建议：</w:t>
      </w:r>
    </w:p>
    <w:p>
      <w:pPr>
        <w:bidi w:val="0"/>
        <w:rPr>
          <w:rFonts w:hint="default"/>
          <w:lang w:val="en-US" w:eastAsia="zh-CN"/>
        </w:rPr>
      </w:pPr>
      <w:r>
        <w:rPr>
          <w:rFonts w:hint="eastAsia"/>
          <w:lang w:val="en-US" w:eastAsia="zh-CN"/>
        </w:rPr>
        <w:t>暂无。</w:t>
      </w:r>
    </w:p>
    <w:p>
      <w:pPr>
        <w:bidi w:val="0"/>
        <w:rPr>
          <w:rFonts w:hint="eastAsia"/>
        </w:rPr>
      </w:pPr>
      <w:r>
        <w:rPr>
          <w:rFonts w:hint="eastAsia"/>
          <w:lang w:val="en-US" w:eastAsia="zh-CN"/>
        </w:rPr>
        <w:t>25</w:t>
      </w:r>
      <w:r>
        <w:rPr>
          <w:rFonts w:hint="eastAsia"/>
        </w:rPr>
        <w:t>、海南大学热带作物国家重点实验室（筹）</w:t>
      </w:r>
      <w:r>
        <w:rPr>
          <w:rFonts w:hint="eastAsia"/>
          <w:lang w:val="en-US" w:eastAsia="zh-CN"/>
        </w:rPr>
        <w:t>项目</w:t>
      </w:r>
      <w:r>
        <w:rPr>
          <w:rFonts w:hint="eastAsia"/>
        </w:rPr>
        <w:t>绩效自评综述</w:t>
      </w:r>
    </w:p>
    <w:p>
      <w:pPr>
        <w:bidi w:val="0"/>
        <w:rPr>
          <w:rFonts w:hint="eastAsia"/>
        </w:rPr>
      </w:pPr>
      <w:r>
        <w:rPr>
          <w:rFonts w:hint="eastAsia"/>
        </w:rPr>
        <w:t>根据年初设定的绩效目标，项目自评得分为</w:t>
      </w:r>
      <w:r>
        <w:rPr>
          <w:rFonts w:hint="eastAsia"/>
          <w:lang w:val="en-US" w:eastAsia="zh-CN"/>
        </w:rPr>
        <w:t>98.67</w:t>
      </w:r>
      <w:r>
        <w:rPr>
          <w:rFonts w:hint="eastAsia"/>
        </w:rPr>
        <w:t>分。</w:t>
      </w:r>
    </w:p>
    <w:p>
      <w:pPr>
        <w:bidi w:val="0"/>
        <w:rPr>
          <w:rFonts w:hint="eastAsia"/>
          <w:lang w:eastAsia="zh-CN"/>
        </w:rPr>
      </w:pPr>
      <w:r>
        <w:rPr>
          <w:rFonts w:hint="eastAsia"/>
        </w:rPr>
        <w:t>资金总额年初预算数</w:t>
      </w:r>
      <w:r>
        <w:rPr>
          <w:rFonts w:hint="eastAsia"/>
          <w:lang w:val="en-US" w:eastAsia="zh-CN"/>
        </w:rPr>
        <w:t>15,000,000</w:t>
      </w:r>
      <w:r>
        <w:rPr>
          <w:rFonts w:hint="eastAsia"/>
        </w:rPr>
        <w:t>元，全年预算数15</w:t>
      </w:r>
      <w:r>
        <w:rPr>
          <w:rFonts w:hint="eastAsia"/>
          <w:lang w:val="en-US" w:eastAsia="zh-CN"/>
        </w:rPr>
        <w:t>,</w:t>
      </w:r>
      <w:r>
        <w:rPr>
          <w:rFonts w:hint="eastAsia"/>
        </w:rPr>
        <w:t>000</w:t>
      </w:r>
      <w:r>
        <w:rPr>
          <w:rFonts w:hint="eastAsia"/>
          <w:lang w:val="en-US" w:eastAsia="zh-CN"/>
        </w:rPr>
        <w:t>,</w:t>
      </w:r>
      <w:r>
        <w:rPr>
          <w:rFonts w:hint="eastAsia"/>
        </w:rPr>
        <w:t>000元。其中：财政资金年初预算数</w:t>
      </w:r>
      <w:r>
        <w:rPr>
          <w:rFonts w:hint="eastAsia"/>
          <w:lang w:val="en-US" w:eastAsia="zh-CN"/>
        </w:rPr>
        <w:t>15,000,000</w:t>
      </w:r>
      <w:r>
        <w:rPr>
          <w:rFonts w:hint="eastAsia"/>
        </w:rPr>
        <w:t>元，财政资金全年预算数15</w:t>
      </w:r>
      <w:r>
        <w:rPr>
          <w:rFonts w:hint="eastAsia"/>
          <w:lang w:val="en-US" w:eastAsia="zh-CN"/>
        </w:rPr>
        <w:t>,</w:t>
      </w:r>
      <w:r>
        <w:rPr>
          <w:rFonts w:hint="eastAsia"/>
        </w:rPr>
        <w:t>000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w:t>
      </w:r>
      <w:r>
        <w:rPr>
          <w:rFonts w:hint="eastAsia"/>
          <w:lang w:val="en-US" w:eastAsia="zh-CN"/>
        </w:rPr>
        <w:t>15,000,000</w:t>
      </w:r>
      <w:r>
        <w:rPr>
          <w:rFonts w:hint="eastAsia"/>
        </w:rPr>
        <w:t>元，执行率</w:t>
      </w:r>
      <w:r>
        <w:rPr>
          <w:rFonts w:hint="eastAsia"/>
          <w:lang w:val="en-US" w:eastAsia="zh-CN"/>
        </w:rPr>
        <w:t>100</w:t>
      </w:r>
      <w:r>
        <w:rPr>
          <w:rFonts w:hint="eastAsia"/>
        </w:rPr>
        <w:t>%。其中：财政资金全年执行数</w:t>
      </w:r>
      <w:r>
        <w:rPr>
          <w:rFonts w:hint="eastAsia"/>
          <w:lang w:val="en-US" w:eastAsia="zh-CN"/>
        </w:rPr>
        <w:t>15,000,000</w:t>
      </w:r>
      <w:r>
        <w:rPr>
          <w:rFonts w:hint="eastAsia"/>
        </w:rPr>
        <w:t>元，执行率</w:t>
      </w:r>
      <w:r>
        <w:rPr>
          <w:rFonts w:hint="eastAsia"/>
          <w:lang w:val="en-US" w:eastAsia="zh-CN"/>
        </w:rPr>
        <w:t>100</w:t>
      </w:r>
      <w:r>
        <w:rPr>
          <w:rFonts w:hint="eastAsia"/>
        </w:rPr>
        <w:t>%</w:t>
      </w:r>
      <w:r>
        <w:rPr>
          <w:rFonts w:hint="eastAsia"/>
          <w:lang w:eastAsia="zh-CN"/>
        </w:rPr>
        <w:t>。</w:t>
      </w:r>
    </w:p>
    <w:p>
      <w:pPr>
        <w:bidi w:val="0"/>
        <w:rPr>
          <w:rFonts w:hint="eastAsia"/>
          <w:lang w:eastAsia="zh-CN"/>
        </w:rPr>
      </w:pPr>
      <w:r>
        <w:rPr>
          <w:rFonts w:hint="eastAsia"/>
        </w:rPr>
        <w:t>项目绩效目标完成情况：</w:t>
      </w:r>
      <w:bookmarkStart w:id="72" w:name="_Hlk132880561"/>
      <w:r>
        <w:rPr>
          <w:rFonts w:hint="eastAsia"/>
        </w:rPr>
        <w:t>整体来看，项目实施合理，年初设定的各项绩效目标全部达成。目前完成的工程质量和观感均符合规范要求。</w:t>
      </w:r>
      <w:bookmarkEnd w:id="72"/>
    </w:p>
    <w:p>
      <w:pPr>
        <w:bidi w:val="0"/>
      </w:pPr>
      <w:r>
        <w:rPr>
          <w:rFonts w:hint="eastAsia"/>
        </w:rPr>
        <w:t>具体完成情况见表</w:t>
      </w:r>
      <w:r>
        <w:rPr>
          <w:rFonts w:hint="eastAsia"/>
          <w:lang w:val="en-US" w:eastAsia="zh-CN"/>
        </w:rPr>
        <w:t>25</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w:t>
      </w:r>
      <w:r>
        <w:rPr>
          <w:rFonts w:hint="eastAsia" w:ascii="仿宋" w:hAnsi="仿宋" w:eastAsia="仿宋" w:cs="仿宋"/>
          <w:sz w:val="28"/>
          <w:szCs w:val="28"/>
          <w:lang w:val="en-US" w:eastAsia="zh-CN"/>
        </w:rPr>
        <w:t xml:space="preserve">25 </w:t>
      </w:r>
      <w:r>
        <w:rPr>
          <w:rFonts w:hint="eastAsia" w:ascii="仿宋" w:hAnsi="仿宋" w:eastAsia="仿宋" w:cs="仿宋"/>
          <w:sz w:val="28"/>
          <w:szCs w:val="28"/>
          <w:lang w:eastAsia="zh-CN"/>
        </w:rPr>
        <w:t>项目绩效自评表</w:t>
      </w:r>
    </w:p>
    <w:tbl>
      <w:tblPr>
        <w:tblStyle w:val="16"/>
        <w:tblW w:w="4779" w:type="pct"/>
        <w:tblInd w:w="232" w:type="dxa"/>
        <w:tblLayout w:type="fixed"/>
        <w:tblCellMar>
          <w:top w:w="0" w:type="dxa"/>
          <w:left w:w="108" w:type="dxa"/>
          <w:bottom w:w="0" w:type="dxa"/>
          <w:right w:w="108" w:type="dxa"/>
        </w:tblCellMar>
      </w:tblPr>
      <w:tblGrid>
        <w:gridCol w:w="1349"/>
        <w:gridCol w:w="1333"/>
        <w:gridCol w:w="2519"/>
        <w:gridCol w:w="1476"/>
        <w:gridCol w:w="1476"/>
      </w:tblGrid>
      <w:tr>
        <w:tblPrEx>
          <w:tblCellMar>
            <w:top w:w="0" w:type="dxa"/>
            <w:left w:w="108" w:type="dxa"/>
            <w:bottom w:w="0" w:type="dxa"/>
            <w:right w:w="108" w:type="dxa"/>
          </w:tblCellMar>
        </w:tblPrEx>
        <w:trPr>
          <w:trHeight w:val="76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817"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817"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建设(改造、修缮)工程量</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rPr>
              <w:t>15000平方米/公里</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13000</w:t>
            </w:r>
            <w:r>
              <w:rPr>
                <w:rFonts w:hint="eastAsia" w:ascii="仿宋" w:hAnsi="仿宋" w:eastAsia="仿宋" w:cs="仿宋"/>
                <w:sz w:val="21"/>
                <w:szCs w:val="21"/>
              </w:rPr>
              <w:t>平方米/公里</w:t>
            </w:r>
          </w:p>
        </w:tc>
      </w:tr>
      <w:tr>
        <w:tblPrEx>
          <w:tblCellMar>
            <w:top w:w="0" w:type="dxa"/>
            <w:left w:w="108" w:type="dxa"/>
            <w:bottom w:w="0" w:type="dxa"/>
            <w:right w:w="108" w:type="dxa"/>
          </w:tblCellMar>
        </w:tblPrEx>
        <w:trPr>
          <w:trHeight w:val="623" w:hRule="atLeast"/>
        </w:trPr>
        <w:tc>
          <w:tcPr>
            <w:tcW w:w="827"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817"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数量指标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建设(改造、修缮)工程数量</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1个</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r>
              <w:rPr>
                <w:rFonts w:hint="eastAsia" w:ascii="仿宋" w:hAnsi="仿宋" w:eastAsia="仿宋" w:cs="仿宋"/>
                <w:sz w:val="21"/>
                <w:szCs w:val="21"/>
              </w:rPr>
              <w:t>个</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质量指标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竣工验收合格率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r>
              <w:rPr>
                <w:rFonts w:hint="eastAsia" w:ascii="仿宋" w:hAnsi="仿宋" w:eastAsia="仿宋" w:cs="仿宋"/>
                <w:sz w:val="21"/>
                <w:szCs w:val="21"/>
              </w:rPr>
              <w:t>%</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质量指标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项目设计变更率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r>
              <w:rPr>
                <w:rFonts w:hint="eastAsia" w:ascii="仿宋" w:hAnsi="仿宋" w:eastAsia="仿宋" w:cs="仿宋"/>
                <w:sz w:val="21"/>
                <w:szCs w:val="21"/>
              </w:rPr>
              <w:t>%</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时效指标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项目按计划开工率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r>
              <w:rPr>
                <w:rFonts w:hint="eastAsia" w:ascii="仿宋" w:hAnsi="仿宋" w:eastAsia="仿宋" w:cs="仿宋"/>
                <w:sz w:val="21"/>
                <w:szCs w:val="21"/>
              </w:rPr>
              <w:t>%</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时效指标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项目按计划完工率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90</w:t>
            </w:r>
            <w:r>
              <w:rPr>
                <w:rFonts w:hint="eastAsia" w:ascii="仿宋" w:hAnsi="仿宋" w:eastAsia="仿宋" w:cs="仿宋"/>
                <w:sz w:val="21"/>
                <w:szCs w:val="21"/>
              </w:rPr>
              <w:t>%</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产出指标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成本指标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超概算项目比例</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10%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eastAsia="zh-CN"/>
              </w:rPr>
            </w:pPr>
            <w:r>
              <w:rPr>
                <w:rFonts w:hint="eastAsia" w:ascii="仿宋" w:hAnsi="仿宋" w:eastAsia="仿宋" w:cs="仿宋"/>
                <w:sz w:val="21"/>
                <w:szCs w:val="21"/>
                <w:lang w:val="en-US" w:eastAsia="zh-CN"/>
              </w:rPr>
              <w:t>0</w:t>
            </w:r>
            <w:r>
              <w:rPr>
                <w:rFonts w:hint="eastAsia" w:ascii="仿宋" w:hAnsi="仿宋" w:eastAsia="仿宋" w:cs="仿宋"/>
                <w:sz w:val="21"/>
                <w:szCs w:val="21"/>
              </w:rPr>
              <w:t>%</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效益指标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社会效益指标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项目受益人数</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3000人</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3000</w:t>
            </w:r>
            <w:r>
              <w:rPr>
                <w:rFonts w:hint="eastAsia" w:ascii="仿宋" w:hAnsi="仿宋" w:eastAsia="仿宋" w:cs="仿宋"/>
                <w:sz w:val="21"/>
                <w:szCs w:val="21"/>
              </w:rPr>
              <w:t>人</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满意度指标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服务对象满意度</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受益群体满意度</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95</w:t>
            </w:r>
            <w:r>
              <w:rPr>
                <w:rFonts w:hint="eastAsia" w:ascii="仿宋" w:hAnsi="仿宋" w:eastAsia="仿宋" w:cs="仿宋"/>
                <w:sz w:val="21"/>
                <w:szCs w:val="21"/>
              </w:rPr>
              <w:t>%</w:t>
            </w:r>
          </w:p>
        </w:tc>
      </w:tr>
    </w:tbl>
    <w:p>
      <w:pPr>
        <w:bidi w:val="0"/>
      </w:pPr>
      <w:r>
        <w:rPr>
          <w:rFonts w:hint="eastAsia"/>
        </w:rPr>
        <w:t>发现的主要问题、原因及建议：</w:t>
      </w:r>
    </w:p>
    <w:p>
      <w:pPr>
        <w:bidi w:val="0"/>
        <w:rPr>
          <w:rFonts w:hint="eastAsia"/>
          <w:highlight w:val="yellow"/>
        </w:rPr>
      </w:pPr>
      <w:r>
        <w:rPr>
          <w:rFonts w:hint="eastAsia"/>
        </w:rPr>
        <w:t>热带作物国家重点实验室项目未完成工程结算工作。根据代管单位与施工单位签订的施工合同，结算完成后支付至工程结算审核价格的97%，且未明确约定施工单位要配合省教育厅竣工财务决算评审文件要求的工程竣工结算二次审核。如省教育厅决算时对工程竣工结算进行二次审核，最终可能会审减工程价款，代管单位和学校存在多付风险。因此未完成工程决算前，根据学校会议纪要精神，最多仅支付至程结算审核价格的95%。</w:t>
      </w:r>
    </w:p>
    <w:p>
      <w:pPr>
        <w:bidi w:val="0"/>
        <w:rPr>
          <w:rFonts w:hint="eastAsia"/>
        </w:rPr>
      </w:pPr>
      <w:r>
        <w:rPr>
          <w:rFonts w:hint="eastAsia"/>
          <w:lang w:val="en-US" w:eastAsia="zh-CN"/>
        </w:rPr>
        <w:t>26</w:t>
      </w:r>
      <w:r>
        <w:rPr>
          <w:rFonts w:hint="eastAsia"/>
        </w:rPr>
        <w:t>、海南大学基建项目前期费用</w:t>
      </w:r>
      <w:r>
        <w:rPr>
          <w:rFonts w:hint="eastAsia"/>
          <w:lang w:val="en-US" w:eastAsia="zh-CN"/>
        </w:rPr>
        <w:t>项目</w:t>
      </w:r>
      <w:r>
        <w:rPr>
          <w:rFonts w:hint="eastAsia"/>
        </w:rPr>
        <w:t>绩效自评综述</w:t>
      </w:r>
    </w:p>
    <w:p>
      <w:pPr>
        <w:bidi w:val="0"/>
        <w:rPr>
          <w:rFonts w:hint="eastAsia"/>
        </w:rPr>
      </w:pPr>
      <w:r>
        <w:rPr>
          <w:rFonts w:hint="eastAsia"/>
        </w:rPr>
        <w:t>根据年初设定的绩效目标，项目自评得分为</w:t>
      </w:r>
      <w:r>
        <w:rPr>
          <w:rFonts w:hint="eastAsia"/>
          <w:lang w:val="en-US" w:eastAsia="zh-CN"/>
        </w:rPr>
        <w:t>100</w:t>
      </w:r>
      <w:r>
        <w:rPr>
          <w:rFonts w:hint="eastAsia"/>
        </w:rPr>
        <w:t>分。</w:t>
      </w:r>
    </w:p>
    <w:p>
      <w:pPr>
        <w:bidi w:val="0"/>
        <w:rPr>
          <w:rFonts w:hint="eastAsia"/>
          <w:lang w:eastAsia="zh-CN"/>
        </w:rPr>
      </w:pPr>
      <w:r>
        <w:rPr>
          <w:rFonts w:hint="eastAsia"/>
        </w:rPr>
        <w:t>资金总额年初预算数</w:t>
      </w:r>
      <w:r>
        <w:rPr>
          <w:rFonts w:hint="eastAsia"/>
          <w:lang w:val="en-US" w:eastAsia="zh-CN"/>
        </w:rPr>
        <w:t>10,000,000</w:t>
      </w:r>
      <w:r>
        <w:rPr>
          <w:rFonts w:hint="eastAsia"/>
        </w:rPr>
        <w:t>元，全年预算数10</w:t>
      </w:r>
      <w:r>
        <w:rPr>
          <w:rFonts w:hint="eastAsia"/>
          <w:lang w:val="en-US" w:eastAsia="zh-CN"/>
        </w:rPr>
        <w:t>,</w:t>
      </w:r>
      <w:r>
        <w:rPr>
          <w:rFonts w:hint="eastAsia"/>
        </w:rPr>
        <w:t>000</w:t>
      </w:r>
      <w:r>
        <w:rPr>
          <w:rFonts w:hint="eastAsia"/>
          <w:lang w:val="en-US" w:eastAsia="zh-CN"/>
        </w:rPr>
        <w:t>,</w:t>
      </w:r>
      <w:r>
        <w:rPr>
          <w:rFonts w:hint="eastAsia"/>
        </w:rPr>
        <w:t>000元。其中：财政资金年初预算数</w:t>
      </w:r>
      <w:r>
        <w:rPr>
          <w:rFonts w:hint="eastAsia"/>
          <w:lang w:val="en-US" w:eastAsia="zh-CN"/>
        </w:rPr>
        <w:t>10,000,000</w:t>
      </w:r>
      <w:r>
        <w:rPr>
          <w:rFonts w:hint="eastAsia"/>
        </w:rPr>
        <w:t>元，财政资金全年预算数10</w:t>
      </w:r>
      <w:r>
        <w:rPr>
          <w:rFonts w:hint="eastAsia"/>
          <w:lang w:val="en-US" w:eastAsia="zh-CN"/>
        </w:rPr>
        <w:t>,</w:t>
      </w:r>
      <w:r>
        <w:rPr>
          <w:rFonts w:hint="eastAsia"/>
        </w:rPr>
        <w:t>000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w:t>
      </w:r>
      <w:r>
        <w:rPr>
          <w:rFonts w:hint="eastAsia"/>
          <w:lang w:val="en-US" w:eastAsia="zh-CN"/>
        </w:rPr>
        <w:t>10,000,000</w:t>
      </w:r>
      <w:r>
        <w:rPr>
          <w:rFonts w:hint="eastAsia"/>
        </w:rPr>
        <w:t>元，执行率</w:t>
      </w:r>
      <w:r>
        <w:rPr>
          <w:rFonts w:hint="eastAsia"/>
          <w:lang w:val="en-US" w:eastAsia="zh-CN"/>
        </w:rPr>
        <w:t>100</w:t>
      </w:r>
      <w:r>
        <w:rPr>
          <w:rFonts w:hint="eastAsia"/>
        </w:rPr>
        <w:t>%。其中：财政资金全年执行数</w:t>
      </w:r>
      <w:r>
        <w:rPr>
          <w:rFonts w:hint="eastAsia"/>
          <w:lang w:val="en-US" w:eastAsia="zh-CN"/>
        </w:rPr>
        <w:t>10,000,000</w:t>
      </w:r>
      <w:r>
        <w:rPr>
          <w:rFonts w:hint="eastAsia"/>
        </w:rPr>
        <w:t>元，执行率</w:t>
      </w:r>
      <w:r>
        <w:rPr>
          <w:rFonts w:hint="eastAsia"/>
          <w:lang w:val="en-US" w:eastAsia="zh-CN"/>
        </w:rPr>
        <w:t>100</w:t>
      </w:r>
      <w:r>
        <w:rPr>
          <w:rFonts w:hint="eastAsia"/>
        </w:rPr>
        <w:t>%</w:t>
      </w:r>
      <w:r>
        <w:rPr>
          <w:rFonts w:hint="eastAsia"/>
          <w:lang w:eastAsia="zh-CN"/>
        </w:rPr>
        <w:t>。</w:t>
      </w:r>
    </w:p>
    <w:p>
      <w:pPr>
        <w:bidi w:val="0"/>
        <w:rPr>
          <w:rFonts w:hint="eastAsia"/>
          <w:lang w:eastAsia="zh-CN"/>
        </w:rPr>
      </w:pPr>
      <w:r>
        <w:rPr>
          <w:rFonts w:hint="eastAsia"/>
        </w:rPr>
        <w:t>项目绩效目标完成情况：已完成海甸校区消防历史遗留问题整改项目、海南大学观澜湖校区教学及生活服务设施（二、三期）、海甸校区东西湖联通与防洪排涝一体化项目、南海海洋资源利用国家重点实验室、儋州校区消防设施改造项目、新药筛选及评价平台项目、儋州校区运动场及第二食堂改造工程项目等基建项目的地质勘察、方案设计、投资咨询等前期工作。整体来看，项目实施合理，年初设定的各项绩效目标全部达成。</w:t>
      </w:r>
    </w:p>
    <w:p>
      <w:pPr>
        <w:bidi w:val="0"/>
      </w:pPr>
      <w:r>
        <w:rPr>
          <w:rFonts w:hint="eastAsia"/>
        </w:rPr>
        <w:t>具体完成情况见表</w:t>
      </w:r>
      <w:r>
        <w:rPr>
          <w:rFonts w:hint="eastAsia"/>
          <w:lang w:val="en-US" w:eastAsia="zh-CN"/>
        </w:rPr>
        <w:t>26</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w:t>
      </w:r>
      <w:r>
        <w:rPr>
          <w:rFonts w:hint="eastAsia" w:ascii="仿宋" w:hAnsi="仿宋" w:eastAsia="仿宋" w:cs="仿宋"/>
          <w:sz w:val="28"/>
          <w:szCs w:val="28"/>
          <w:lang w:val="en-US" w:eastAsia="zh-CN"/>
        </w:rPr>
        <w:t xml:space="preserve">26 </w:t>
      </w:r>
      <w:r>
        <w:rPr>
          <w:rFonts w:hint="eastAsia" w:ascii="仿宋" w:hAnsi="仿宋" w:eastAsia="仿宋" w:cs="仿宋"/>
          <w:sz w:val="28"/>
          <w:szCs w:val="28"/>
          <w:lang w:eastAsia="zh-CN"/>
        </w:rPr>
        <w:t>项目绩效自评表</w:t>
      </w:r>
    </w:p>
    <w:tbl>
      <w:tblPr>
        <w:tblStyle w:val="16"/>
        <w:tblW w:w="4779" w:type="pct"/>
        <w:tblInd w:w="232" w:type="dxa"/>
        <w:tblLayout w:type="fixed"/>
        <w:tblCellMar>
          <w:top w:w="0" w:type="dxa"/>
          <w:left w:w="108" w:type="dxa"/>
          <w:bottom w:w="0" w:type="dxa"/>
          <w:right w:w="108" w:type="dxa"/>
        </w:tblCellMar>
      </w:tblPr>
      <w:tblGrid>
        <w:gridCol w:w="1238"/>
        <w:gridCol w:w="1444"/>
        <w:gridCol w:w="2519"/>
        <w:gridCol w:w="1476"/>
        <w:gridCol w:w="1476"/>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数量指标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建设(改造、修缮)工程数量</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5个</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18个</w:t>
            </w:r>
          </w:p>
        </w:tc>
      </w:tr>
      <w:tr>
        <w:tblPrEx>
          <w:tblCellMar>
            <w:top w:w="0" w:type="dxa"/>
            <w:left w:w="108" w:type="dxa"/>
            <w:bottom w:w="0" w:type="dxa"/>
            <w:right w:w="108" w:type="dxa"/>
          </w:tblCellMar>
        </w:tblPrEx>
        <w:trPr>
          <w:trHeight w:val="623" w:hRule="atLeast"/>
        </w:trPr>
        <w:tc>
          <w:tcPr>
            <w:tcW w:w="75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88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质量指标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竣工验收合格率</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80%</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质量指标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项目设计变更率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10%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时效指标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项目按计划开工率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效益指标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社会效益指标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建筑（工程）综合利用率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95%</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效益指标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社会效益指标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项目受益人数</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20000人</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20000人</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满意度指标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服务对象满意度</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受益群体满意度</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eastAsia="zh-CN"/>
              </w:rPr>
            </w:pPr>
            <w:r>
              <w:rPr>
                <w:rFonts w:hint="eastAsia" w:ascii="仿宋" w:hAnsi="仿宋" w:eastAsia="仿宋" w:cs="仿宋"/>
                <w:sz w:val="21"/>
                <w:szCs w:val="21"/>
                <w:lang w:val="en-US" w:eastAsia="zh-CN"/>
              </w:rPr>
              <w:t>90%</w:t>
            </w:r>
          </w:p>
        </w:tc>
      </w:tr>
    </w:tbl>
    <w:p>
      <w:pPr>
        <w:bidi w:val="0"/>
        <w:rPr>
          <w:rFonts w:hint="eastAsia"/>
        </w:rPr>
      </w:pPr>
      <w:r>
        <w:rPr>
          <w:rFonts w:hint="eastAsia"/>
        </w:rPr>
        <w:t>发现的主要问题、原因及建议：</w:t>
      </w:r>
    </w:p>
    <w:p>
      <w:pPr>
        <w:bidi w:val="0"/>
        <w:rPr>
          <w:rFonts w:hint="default"/>
          <w:lang w:val="en-US" w:eastAsia="zh-CN"/>
        </w:rPr>
      </w:pPr>
      <w:r>
        <w:rPr>
          <w:rFonts w:hint="eastAsia"/>
          <w:lang w:val="en-US" w:eastAsia="zh-CN"/>
        </w:rPr>
        <w:t>暂无。</w:t>
      </w:r>
    </w:p>
    <w:p>
      <w:pPr>
        <w:bidi w:val="0"/>
        <w:rPr>
          <w:rFonts w:hint="eastAsia"/>
        </w:rPr>
      </w:pPr>
      <w:r>
        <w:rPr>
          <w:rFonts w:hint="eastAsia"/>
          <w:lang w:val="en-US" w:eastAsia="zh-CN"/>
        </w:rPr>
        <w:t>27</w:t>
      </w:r>
      <w:r>
        <w:rPr>
          <w:rFonts w:hint="eastAsia"/>
        </w:rPr>
        <w:t>、海南大学协同创新中心项目绩效自评综述</w:t>
      </w:r>
    </w:p>
    <w:p>
      <w:pPr>
        <w:bidi w:val="0"/>
        <w:rPr>
          <w:rFonts w:hint="eastAsia"/>
        </w:rPr>
      </w:pPr>
      <w:r>
        <w:rPr>
          <w:rFonts w:hint="eastAsia"/>
        </w:rPr>
        <w:t>根据年初设定的绩效目标，项目自评得分为</w:t>
      </w:r>
      <w:r>
        <w:rPr>
          <w:rFonts w:hint="eastAsia"/>
          <w:lang w:val="en-US" w:eastAsia="zh-CN"/>
        </w:rPr>
        <w:t>70</w:t>
      </w:r>
      <w:r>
        <w:rPr>
          <w:rFonts w:hint="eastAsia"/>
        </w:rPr>
        <w:t>分。</w:t>
      </w:r>
    </w:p>
    <w:p>
      <w:pPr>
        <w:bidi w:val="0"/>
        <w:rPr>
          <w:rFonts w:hint="eastAsia"/>
          <w:lang w:eastAsia="zh-CN"/>
        </w:rPr>
      </w:pPr>
      <w:r>
        <w:rPr>
          <w:rFonts w:hint="eastAsia"/>
        </w:rPr>
        <w:t>资金总额年初预算数</w:t>
      </w:r>
      <w:r>
        <w:rPr>
          <w:rFonts w:hint="eastAsia"/>
          <w:lang w:val="en-US" w:eastAsia="zh-CN"/>
        </w:rPr>
        <w:t>0</w:t>
      </w:r>
      <w:r>
        <w:rPr>
          <w:rFonts w:hint="eastAsia"/>
        </w:rPr>
        <w:t>元，全年预算数94</w:t>
      </w:r>
      <w:r>
        <w:rPr>
          <w:rFonts w:hint="eastAsia"/>
          <w:lang w:val="en-US" w:eastAsia="zh-CN"/>
        </w:rPr>
        <w:t>,</w:t>
      </w:r>
      <w:r>
        <w:rPr>
          <w:rFonts w:hint="eastAsia"/>
        </w:rPr>
        <w:t>197</w:t>
      </w:r>
      <w:r>
        <w:rPr>
          <w:rFonts w:hint="eastAsia"/>
          <w:lang w:val="en-US" w:eastAsia="zh-CN"/>
        </w:rPr>
        <w:t>,</w:t>
      </w:r>
      <w:r>
        <w:rPr>
          <w:rFonts w:hint="eastAsia"/>
        </w:rPr>
        <w:t>400元。其中：财政资金年初预算数</w:t>
      </w:r>
      <w:r>
        <w:rPr>
          <w:rFonts w:hint="eastAsia"/>
          <w:lang w:val="en-US" w:eastAsia="zh-CN"/>
        </w:rPr>
        <w:t>0</w:t>
      </w:r>
      <w:r>
        <w:rPr>
          <w:rFonts w:hint="eastAsia"/>
        </w:rPr>
        <w:t>元，财政资金全年预算数94</w:t>
      </w:r>
      <w:r>
        <w:rPr>
          <w:rFonts w:hint="eastAsia"/>
          <w:lang w:val="en-US" w:eastAsia="zh-CN"/>
        </w:rPr>
        <w:t>,</w:t>
      </w:r>
      <w:r>
        <w:rPr>
          <w:rFonts w:hint="eastAsia"/>
        </w:rPr>
        <w:t>197</w:t>
      </w:r>
      <w:r>
        <w:rPr>
          <w:rFonts w:hint="eastAsia"/>
          <w:lang w:val="en-US" w:eastAsia="zh-CN"/>
        </w:rPr>
        <w:t>,</w:t>
      </w:r>
      <w:r>
        <w:rPr>
          <w:rFonts w:hint="eastAsia"/>
        </w:rPr>
        <w:t>400元</w:t>
      </w:r>
      <w:r>
        <w:rPr>
          <w:rFonts w:hint="eastAsia"/>
          <w:lang w:eastAsia="zh-CN"/>
        </w:rPr>
        <w:t>。</w:t>
      </w:r>
    </w:p>
    <w:p>
      <w:pPr>
        <w:bidi w:val="0"/>
        <w:rPr>
          <w:rFonts w:hint="eastAsia"/>
          <w:lang w:eastAsia="zh-CN"/>
        </w:rPr>
      </w:pPr>
      <w:r>
        <w:rPr>
          <w:rFonts w:hint="eastAsia"/>
        </w:rPr>
        <w:t>资金总额全年执行数</w:t>
      </w:r>
      <w:r>
        <w:rPr>
          <w:rFonts w:hint="eastAsia"/>
          <w:lang w:val="en-US" w:eastAsia="zh-CN"/>
        </w:rPr>
        <w:t>94,197,400</w:t>
      </w:r>
      <w:r>
        <w:rPr>
          <w:rFonts w:hint="eastAsia"/>
        </w:rPr>
        <w:t>元，执行率</w:t>
      </w:r>
      <w:r>
        <w:rPr>
          <w:rFonts w:hint="eastAsia"/>
          <w:lang w:val="en-US" w:eastAsia="zh-CN"/>
        </w:rPr>
        <w:t>100</w:t>
      </w:r>
      <w:r>
        <w:rPr>
          <w:rFonts w:hint="eastAsia"/>
        </w:rPr>
        <w:t>%。其中：财政资金全年执行数</w:t>
      </w:r>
      <w:r>
        <w:rPr>
          <w:rFonts w:hint="eastAsia"/>
          <w:lang w:val="en-US" w:eastAsia="zh-CN"/>
        </w:rPr>
        <w:t>94,197,400</w:t>
      </w:r>
      <w:r>
        <w:rPr>
          <w:rFonts w:hint="eastAsia"/>
        </w:rPr>
        <w:t>元，执行率</w:t>
      </w:r>
      <w:r>
        <w:rPr>
          <w:rFonts w:hint="eastAsia"/>
          <w:lang w:val="en-US" w:eastAsia="zh-CN"/>
        </w:rPr>
        <w:t>100</w:t>
      </w:r>
      <w:r>
        <w:rPr>
          <w:rFonts w:hint="eastAsia"/>
        </w:rPr>
        <w:t>%</w:t>
      </w:r>
      <w:r>
        <w:rPr>
          <w:rFonts w:hint="eastAsia"/>
          <w:lang w:eastAsia="zh-CN"/>
        </w:rPr>
        <w:t>。</w:t>
      </w:r>
    </w:p>
    <w:p>
      <w:pPr>
        <w:bidi w:val="0"/>
        <w:rPr>
          <w:rFonts w:hint="eastAsia"/>
          <w:lang w:eastAsia="zh-CN"/>
        </w:rPr>
      </w:pPr>
      <w:r>
        <w:rPr>
          <w:rFonts w:hint="eastAsia"/>
        </w:rPr>
        <w:t>项目绩效目标完成情况：2022年完成概算批复，预算编审，施工、监理招标，工程桩施工完成20%，完成投资2682.7万元，总投资完成率3.19%。</w:t>
      </w:r>
    </w:p>
    <w:p>
      <w:pPr>
        <w:bidi w:val="0"/>
      </w:pPr>
      <w:r>
        <w:rPr>
          <w:rFonts w:hint="eastAsia"/>
        </w:rPr>
        <w:t>具体完成情况见表</w:t>
      </w:r>
      <w:r>
        <w:rPr>
          <w:rFonts w:hint="eastAsia"/>
          <w:lang w:val="en-US" w:eastAsia="zh-CN"/>
        </w:rPr>
        <w:t>27</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w:t>
      </w:r>
      <w:r>
        <w:rPr>
          <w:rFonts w:hint="eastAsia" w:ascii="仿宋" w:hAnsi="仿宋" w:eastAsia="仿宋" w:cs="仿宋"/>
          <w:sz w:val="28"/>
          <w:szCs w:val="28"/>
          <w:lang w:val="en-US" w:eastAsia="zh-CN"/>
        </w:rPr>
        <w:t xml:space="preserve">27 </w:t>
      </w:r>
      <w:r>
        <w:rPr>
          <w:rFonts w:hint="eastAsia" w:ascii="仿宋" w:hAnsi="仿宋" w:eastAsia="仿宋" w:cs="仿宋"/>
          <w:sz w:val="28"/>
          <w:szCs w:val="28"/>
          <w:lang w:eastAsia="zh-CN"/>
        </w:rPr>
        <w:t>项目绩效自评表</w:t>
      </w:r>
    </w:p>
    <w:tbl>
      <w:tblPr>
        <w:tblStyle w:val="16"/>
        <w:tblW w:w="4779" w:type="pct"/>
        <w:tblInd w:w="232" w:type="dxa"/>
        <w:tblLayout w:type="fixed"/>
        <w:tblCellMar>
          <w:top w:w="0" w:type="dxa"/>
          <w:left w:w="108" w:type="dxa"/>
          <w:bottom w:w="0" w:type="dxa"/>
          <w:right w:w="108" w:type="dxa"/>
        </w:tblCellMar>
      </w:tblPr>
      <w:tblGrid>
        <w:gridCol w:w="1238"/>
        <w:gridCol w:w="1444"/>
        <w:gridCol w:w="2519"/>
        <w:gridCol w:w="1476"/>
        <w:gridCol w:w="1476"/>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4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时效指标</w:t>
            </w:r>
          </w:p>
        </w:tc>
        <w:tc>
          <w:tcPr>
            <w:tcW w:w="2516"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项目按计划开工率</w:t>
            </w:r>
          </w:p>
        </w:tc>
        <w:tc>
          <w:tcPr>
            <w:tcW w:w="147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80%</w:t>
            </w:r>
          </w:p>
        </w:tc>
        <w:tc>
          <w:tcPr>
            <w:tcW w:w="147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r>
      <w:tr>
        <w:tblPrEx>
          <w:tblCellMar>
            <w:top w:w="0" w:type="dxa"/>
            <w:left w:w="108" w:type="dxa"/>
            <w:bottom w:w="0" w:type="dxa"/>
            <w:right w:w="108" w:type="dxa"/>
          </w:tblCellMar>
        </w:tblPrEx>
        <w:trPr>
          <w:trHeight w:val="623" w:hRule="atLeast"/>
        </w:trPr>
        <w:tc>
          <w:tcPr>
            <w:tcW w:w="123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4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数量指标</w:t>
            </w:r>
          </w:p>
        </w:tc>
        <w:tc>
          <w:tcPr>
            <w:tcW w:w="2516"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建设(改造、修缮)工程数量</w:t>
            </w:r>
          </w:p>
        </w:tc>
        <w:tc>
          <w:tcPr>
            <w:tcW w:w="147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1个</w:t>
            </w:r>
          </w:p>
        </w:tc>
        <w:tc>
          <w:tcPr>
            <w:tcW w:w="147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1个</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时效指标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项目按计划完工率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80%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质量指标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竣工验收合格率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60%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质量指标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项目设计变更率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10%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设施正常运转率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75%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项目受益人数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50000人</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eastAsia="zh-CN"/>
              </w:rPr>
            </w:pPr>
            <w:r>
              <w:rPr>
                <w:rFonts w:hint="eastAsia" w:ascii="仿宋" w:hAnsi="仿宋" w:eastAsia="仿宋" w:cs="仿宋"/>
                <w:sz w:val="21"/>
                <w:szCs w:val="21"/>
                <w:lang w:val="en-US" w:eastAsia="zh-CN"/>
              </w:rPr>
              <w:t>0人</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成本指标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经济成本指标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w:t>
            </w:r>
          </w:p>
        </w:tc>
      </w:tr>
    </w:tbl>
    <w:p>
      <w:pPr>
        <w:bidi w:val="0"/>
        <w:rPr>
          <w:rFonts w:hint="eastAsia"/>
        </w:rPr>
      </w:pPr>
      <w:r>
        <w:rPr>
          <w:rFonts w:hint="eastAsia"/>
        </w:rPr>
        <w:t>发现的主要问题、原因及建议：</w:t>
      </w:r>
    </w:p>
    <w:p>
      <w:pPr>
        <w:bidi w:val="0"/>
        <w:rPr>
          <w:rFonts w:hint="eastAsia"/>
          <w:lang w:val="en-US" w:eastAsia="zh-CN"/>
        </w:rPr>
      </w:pPr>
      <w:r>
        <w:rPr>
          <w:rFonts w:hint="eastAsia"/>
          <w:lang w:val="en-US" w:eastAsia="zh-CN"/>
        </w:rPr>
        <w:t>暂无。</w:t>
      </w:r>
    </w:p>
    <w:p>
      <w:pPr>
        <w:bidi w:val="0"/>
        <w:rPr>
          <w:rFonts w:hint="eastAsia"/>
        </w:rPr>
      </w:pPr>
      <w:r>
        <w:rPr>
          <w:rFonts w:hint="eastAsia"/>
          <w:lang w:val="en-US" w:eastAsia="zh-CN"/>
        </w:rPr>
        <w:t>28</w:t>
      </w:r>
      <w:r>
        <w:rPr>
          <w:rFonts w:hint="eastAsia"/>
        </w:rPr>
        <w:t>、海南大学多功能综合体育馆项目绩效自评综述</w:t>
      </w:r>
    </w:p>
    <w:p>
      <w:pPr>
        <w:bidi w:val="0"/>
        <w:rPr>
          <w:rFonts w:hint="eastAsia"/>
        </w:rPr>
      </w:pPr>
      <w:r>
        <w:rPr>
          <w:rFonts w:hint="eastAsia"/>
        </w:rPr>
        <w:t>根据年初设定的绩效目标，项目自评得分为</w:t>
      </w:r>
      <w:r>
        <w:rPr>
          <w:rFonts w:hint="eastAsia"/>
          <w:lang w:val="en-US" w:eastAsia="zh-CN"/>
        </w:rPr>
        <w:t>100</w:t>
      </w:r>
      <w:r>
        <w:rPr>
          <w:rFonts w:hint="eastAsia"/>
        </w:rPr>
        <w:t>分。</w:t>
      </w:r>
    </w:p>
    <w:p>
      <w:pPr>
        <w:bidi w:val="0"/>
        <w:rPr>
          <w:rFonts w:hint="eastAsia"/>
          <w:lang w:eastAsia="zh-CN"/>
        </w:rPr>
      </w:pPr>
      <w:r>
        <w:rPr>
          <w:rFonts w:hint="eastAsia"/>
        </w:rPr>
        <w:t>资金总额年初预算数</w:t>
      </w:r>
      <w:r>
        <w:rPr>
          <w:rFonts w:hint="eastAsia"/>
          <w:lang w:val="en-US" w:eastAsia="zh-CN"/>
        </w:rPr>
        <w:t>0</w:t>
      </w:r>
      <w:r>
        <w:rPr>
          <w:rFonts w:hint="eastAsia"/>
        </w:rPr>
        <w:t>元，全年预算数16</w:t>
      </w:r>
      <w:r>
        <w:rPr>
          <w:rFonts w:hint="eastAsia"/>
          <w:lang w:val="en-US" w:eastAsia="zh-CN"/>
        </w:rPr>
        <w:t>,</w:t>
      </w:r>
      <w:r>
        <w:rPr>
          <w:rFonts w:hint="eastAsia"/>
        </w:rPr>
        <w:t>000</w:t>
      </w:r>
      <w:r>
        <w:rPr>
          <w:rFonts w:hint="eastAsia"/>
          <w:lang w:val="en-US" w:eastAsia="zh-CN"/>
        </w:rPr>
        <w:t>,</w:t>
      </w:r>
      <w:r>
        <w:rPr>
          <w:rFonts w:hint="eastAsia"/>
        </w:rPr>
        <w:t>000元。其中：财政资金年初预算数</w:t>
      </w:r>
      <w:r>
        <w:rPr>
          <w:rFonts w:hint="eastAsia"/>
          <w:lang w:val="en-US" w:eastAsia="zh-CN"/>
        </w:rPr>
        <w:t>0</w:t>
      </w:r>
      <w:r>
        <w:rPr>
          <w:rFonts w:hint="eastAsia"/>
        </w:rPr>
        <w:t>元，财政资金全年预算数16</w:t>
      </w:r>
      <w:r>
        <w:rPr>
          <w:rFonts w:hint="eastAsia"/>
          <w:lang w:val="en-US" w:eastAsia="zh-CN"/>
        </w:rPr>
        <w:t>,</w:t>
      </w:r>
      <w:r>
        <w:rPr>
          <w:rFonts w:hint="eastAsia"/>
        </w:rPr>
        <w:t>000</w:t>
      </w:r>
      <w:r>
        <w:rPr>
          <w:rFonts w:hint="eastAsia"/>
          <w:lang w:val="en-US" w:eastAsia="zh-CN"/>
        </w:rPr>
        <w:t>,</w:t>
      </w:r>
      <w:r>
        <w:rPr>
          <w:rFonts w:hint="eastAsia"/>
        </w:rPr>
        <w:t>000元</w:t>
      </w:r>
      <w:r>
        <w:rPr>
          <w:rFonts w:hint="eastAsia"/>
          <w:lang w:eastAsia="zh-CN"/>
        </w:rPr>
        <w:t>。</w:t>
      </w:r>
    </w:p>
    <w:p>
      <w:pPr>
        <w:bidi w:val="0"/>
        <w:rPr>
          <w:rFonts w:hint="eastAsia"/>
          <w:lang w:eastAsia="zh-CN"/>
        </w:rPr>
      </w:pPr>
      <w:r>
        <w:rPr>
          <w:rFonts w:hint="eastAsia"/>
        </w:rPr>
        <w:t>资金总额全年执行数</w:t>
      </w:r>
      <w:r>
        <w:rPr>
          <w:rFonts w:hint="eastAsia"/>
          <w:lang w:val="en-US" w:eastAsia="zh-CN"/>
        </w:rPr>
        <w:t>16,000,000</w:t>
      </w:r>
      <w:r>
        <w:rPr>
          <w:rFonts w:hint="eastAsia"/>
        </w:rPr>
        <w:t>元，执行率</w:t>
      </w:r>
      <w:r>
        <w:rPr>
          <w:rFonts w:hint="eastAsia"/>
          <w:lang w:val="en-US" w:eastAsia="zh-CN"/>
        </w:rPr>
        <w:t>100</w:t>
      </w:r>
      <w:r>
        <w:rPr>
          <w:rFonts w:hint="eastAsia"/>
        </w:rPr>
        <w:t>%。其中：财政资金全年执行数</w:t>
      </w:r>
      <w:r>
        <w:rPr>
          <w:rFonts w:hint="eastAsia"/>
          <w:lang w:val="en-US" w:eastAsia="zh-CN"/>
        </w:rPr>
        <w:t>16,000,000</w:t>
      </w:r>
      <w:r>
        <w:rPr>
          <w:rFonts w:hint="eastAsia"/>
        </w:rPr>
        <w:t>元，执行率</w:t>
      </w:r>
      <w:r>
        <w:rPr>
          <w:rFonts w:hint="eastAsia"/>
          <w:lang w:val="en-US" w:eastAsia="zh-CN"/>
        </w:rPr>
        <w:t>100</w:t>
      </w:r>
      <w:r>
        <w:rPr>
          <w:rFonts w:hint="eastAsia"/>
        </w:rPr>
        <w:t>%</w:t>
      </w:r>
      <w:r>
        <w:rPr>
          <w:rFonts w:hint="eastAsia"/>
          <w:lang w:eastAsia="zh-CN"/>
        </w:rPr>
        <w:t>。</w:t>
      </w:r>
    </w:p>
    <w:p>
      <w:pPr>
        <w:bidi w:val="0"/>
        <w:rPr>
          <w:rFonts w:hint="default"/>
          <w:lang w:val="en-US" w:eastAsia="zh-CN"/>
        </w:rPr>
      </w:pPr>
      <w:r>
        <w:rPr>
          <w:rFonts w:hint="eastAsia"/>
        </w:rPr>
        <w:t>项目绩效目标完成情况：项目已完成验收，并投入使用，目前结算资料正在报送中。</w:t>
      </w:r>
    </w:p>
    <w:p>
      <w:pPr>
        <w:bidi w:val="0"/>
      </w:pPr>
      <w:r>
        <w:rPr>
          <w:rFonts w:hint="eastAsia"/>
        </w:rPr>
        <w:t>具体完成情况见表</w:t>
      </w:r>
      <w:r>
        <w:rPr>
          <w:rFonts w:hint="eastAsia"/>
          <w:lang w:val="en-US" w:eastAsia="zh-CN"/>
        </w:rPr>
        <w:t>28</w:t>
      </w:r>
      <w:r>
        <w:rPr>
          <w:rFonts w:hint="eastAsia"/>
        </w:rPr>
        <w:t>。</w:t>
      </w:r>
    </w:p>
    <w:p>
      <w:pPr>
        <w:bidi w:val="0"/>
        <w:spacing w:line="288" w:lineRule="auto"/>
        <w:ind w:firstLine="880"/>
        <w:jc w:val="center"/>
        <w:rPr>
          <w:rFonts w:hint="eastAsia" w:ascii="仿宋" w:hAnsi="仿宋" w:eastAsia="仿宋" w:cs="仿宋"/>
          <w:sz w:val="28"/>
          <w:szCs w:val="28"/>
          <w:lang w:eastAsia="zh-CN"/>
        </w:rPr>
      </w:pPr>
      <w:r>
        <w:rPr>
          <w:rFonts w:hint="eastAsia" w:ascii="仿宋" w:hAnsi="仿宋" w:eastAsia="仿宋" w:cs="仿宋"/>
          <w:sz w:val="28"/>
          <w:szCs w:val="28"/>
        </w:rPr>
        <w:t xml:space="preserve"> 表</w:t>
      </w:r>
      <w:r>
        <w:rPr>
          <w:rFonts w:hint="eastAsia" w:ascii="仿宋" w:hAnsi="仿宋" w:eastAsia="仿宋" w:cs="仿宋"/>
          <w:sz w:val="28"/>
          <w:szCs w:val="28"/>
          <w:lang w:val="en-US" w:eastAsia="zh-CN"/>
        </w:rPr>
        <w:t xml:space="preserve">28 </w:t>
      </w:r>
      <w:r>
        <w:rPr>
          <w:rFonts w:hint="eastAsia" w:ascii="仿宋" w:hAnsi="仿宋" w:eastAsia="仿宋" w:cs="仿宋"/>
          <w:sz w:val="28"/>
          <w:szCs w:val="28"/>
          <w:lang w:eastAsia="zh-CN"/>
        </w:rPr>
        <w:t>项目绩效自评表</w:t>
      </w:r>
    </w:p>
    <w:tbl>
      <w:tblPr>
        <w:tblStyle w:val="16"/>
        <w:tblW w:w="4779" w:type="pct"/>
        <w:tblInd w:w="232" w:type="dxa"/>
        <w:tblLayout w:type="fixed"/>
        <w:tblCellMar>
          <w:top w:w="0" w:type="dxa"/>
          <w:left w:w="108" w:type="dxa"/>
          <w:bottom w:w="0" w:type="dxa"/>
          <w:right w:w="108" w:type="dxa"/>
        </w:tblCellMar>
      </w:tblPr>
      <w:tblGrid>
        <w:gridCol w:w="1238"/>
        <w:gridCol w:w="1444"/>
        <w:gridCol w:w="2519"/>
        <w:gridCol w:w="1476"/>
        <w:gridCol w:w="1476"/>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三级指标</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年度指标值</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数量指标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建设(改造、修缮)工程数量</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1个</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1个</w:t>
            </w:r>
          </w:p>
        </w:tc>
      </w:tr>
      <w:tr>
        <w:tblPrEx>
          <w:tblCellMar>
            <w:top w:w="0" w:type="dxa"/>
            <w:left w:w="108" w:type="dxa"/>
            <w:bottom w:w="0" w:type="dxa"/>
            <w:right w:w="108" w:type="dxa"/>
          </w:tblCellMar>
        </w:tblPrEx>
        <w:trPr>
          <w:trHeight w:val="623" w:hRule="atLeast"/>
        </w:trPr>
        <w:tc>
          <w:tcPr>
            <w:tcW w:w="75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88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时效指标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项目按计划完工率</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100%</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产出指标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质量指标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竣工验收合格率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100%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效益指标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社会效益指标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设施正常运转率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95%</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95%</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效益指标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社会效益指标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建筑（工程）综合利用率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95%</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95%</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成本指标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经济成本指标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sz w:val="21"/>
                <w:szCs w:val="21"/>
              </w:rPr>
            </w:pPr>
            <w:r>
              <w:rPr>
                <w:rFonts w:hint="eastAsia" w:ascii="仿宋" w:hAnsi="仿宋" w:eastAsia="仿宋" w:cs="仿宋"/>
                <w:sz w:val="21"/>
                <w:szCs w:val="21"/>
                <w:lang w:val="en-US" w:eastAsia="zh-CN"/>
              </w:rPr>
              <w:t>成本控制率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rPr>
            </w:pPr>
            <w:r>
              <w:rPr>
                <w:rFonts w:hint="eastAsia" w:ascii="仿宋" w:hAnsi="仿宋" w:eastAsia="仿宋" w:cs="仿宋"/>
                <w:sz w:val="21"/>
                <w:szCs w:val="21"/>
                <w:lang w:val="en-US" w:eastAsia="zh-CN"/>
              </w:rPr>
              <w:t>5%</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0%</w:t>
            </w:r>
          </w:p>
        </w:tc>
      </w:tr>
    </w:tbl>
    <w:p>
      <w:pPr>
        <w:bidi w:val="0"/>
        <w:rPr>
          <w:rFonts w:hint="eastAsia"/>
        </w:rPr>
      </w:pPr>
      <w:r>
        <w:rPr>
          <w:rFonts w:hint="eastAsia"/>
        </w:rPr>
        <w:t>发现的主要问题、原因及建议：</w:t>
      </w:r>
    </w:p>
    <w:p>
      <w:pPr>
        <w:bidi w:val="0"/>
        <w:rPr>
          <w:rFonts w:hint="eastAsia"/>
          <w:lang w:val="en-US" w:eastAsia="zh-CN"/>
        </w:rPr>
      </w:pPr>
      <w:r>
        <w:rPr>
          <w:rFonts w:hint="eastAsia"/>
          <w:lang w:val="en-US" w:eastAsia="zh-CN"/>
        </w:rPr>
        <w:t>暂无。</w:t>
      </w:r>
    </w:p>
    <w:p>
      <w:pPr>
        <w:bidi w:val="0"/>
        <w:rPr>
          <w:rFonts w:hint="eastAsia"/>
          <w:lang w:val="en-US" w:eastAsia="zh-CN"/>
        </w:rPr>
      </w:pPr>
      <w:r>
        <w:rPr>
          <w:rFonts w:hint="eastAsia"/>
          <w:lang w:val="en-US" w:eastAsia="zh-CN"/>
        </w:rPr>
        <w:t>因篇幅有限，其余27个项目绩效自评结果详见附件2。</w:t>
      </w:r>
    </w:p>
    <w:p>
      <w:pPr>
        <w:bidi w:val="0"/>
        <w:spacing w:line="288" w:lineRule="auto"/>
        <w:ind w:firstLine="880"/>
        <w:rPr>
          <w:rFonts w:hint="eastAsia" w:ascii="楷体" w:hAnsi="楷体" w:eastAsia="楷体" w:cs="楷体"/>
          <w:b w:val="0"/>
          <w:bCs w:val="0"/>
          <w:lang w:val="en-US" w:eastAsia="zh-CN"/>
        </w:rPr>
      </w:pPr>
      <w:r>
        <w:rPr>
          <w:rFonts w:hint="eastAsia" w:ascii="楷体" w:hAnsi="楷体" w:eastAsia="楷体" w:cs="楷体"/>
          <w:b w:val="0"/>
          <w:bCs w:val="0"/>
          <w:lang w:val="en-US" w:eastAsia="zh-CN"/>
        </w:rPr>
        <w:t>（三）部门评价结果</w:t>
      </w:r>
    </w:p>
    <w:p>
      <w:pPr>
        <w:bidi w:val="0"/>
        <w:rPr>
          <w:rFonts w:hint="eastAsia"/>
          <w:lang w:val="en-US" w:eastAsia="zh-CN"/>
        </w:rPr>
      </w:pPr>
      <w:r>
        <w:rPr>
          <w:rFonts w:hint="eastAsia"/>
          <w:lang w:val="en-US" w:eastAsia="zh-CN"/>
        </w:rPr>
        <w:t>无。</w:t>
      </w:r>
    </w:p>
    <w:p>
      <w:pPr>
        <w:bidi w:val="0"/>
        <w:spacing w:line="288" w:lineRule="auto"/>
        <w:ind w:firstLine="880"/>
        <w:rPr>
          <w:rFonts w:hint="eastAsia" w:ascii="楷体" w:hAnsi="楷体" w:eastAsia="楷体" w:cs="楷体"/>
          <w:b w:val="0"/>
          <w:bCs w:val="0"/>
          <w:lang w:val="en-US" w:eastAsia="zh-CN"/>
        </w:rPr>
      </w:pPr>
      <w:r>
        <w:rPr>
          <w:rFonts w:hint="eastAsia" w:ascii="楷体" w:hAnsi="楷体" w:eastAsia="楷体" w:cs="楷体"/>
          <w:b w:val="0"/>
          <w:bCs w:val="0"/>
          <w:lang w:val="en-US" w:eastAsia="zh-CN"/>
        </w:rPr>
        <w:t>（四）财政评价结果</w:t>
      </w:r>
    </w:p>
    <w:p>
      <w:pPr>
        <w:bidi w:val="0"/>
        <w:rPr>
          <w:rFonts w:hint="default"/>
        </w:rPr>
      </w:pPr>
      <w:r>
        <w:rPr>
          <w:rFonts w:hint="eastAsia"/>
        </w:rPr>
        <w:t>根据《海南省财政厅关于开展2023年省级财政重点绩效评价工作的通知》（琼教绩〔2023〕355号），“海南大学综合预算改革(2019-2022)政策评估”纳入</w:t>
      </w:r>
      <w:r>
        <w:rPr>
          <w:rFonts w:hint="eastAsia"/>
          <w:lang w:val="en-US" w:eastAsia="zh-CN"/>
        </w:rPr>
        <w:t>省财政厅</w:t>
      </w:r>
      <w:r>
        <w:rPr>
          <w:rFonts w:hint="eastAsia"/>
        </w:rPr>
        <w:t>重点绩效评价考核范围。海南大学积极配合省财政厅委托的第三方机构</w:t>
      </w:r>
      <w:r>
        <w:rPr>
          <w:rFonts w:hint="eastAsia"/>
          <w:lang w:val="en-US" w:eastAsia="zh-CN"/>
        </w:rPr>
        <w:t>提供相关材料，目前省财政厅对该政策的初评结果为“优”，但正式评价报告尚未批复</w:t>
      </w:r>
      <w:r>
        <w:rPr>
          <w:rFonts w:hint="eastAsia"/>
        </w:rPr>
        <w:t>。</w:t>
      </w:r>
    </w:p>
    <w:p>
      <w:pPr>
        <w:pStyle w:val="5"/>
        <w:bidi w:val="0"/>
        <w:rPr>
          <w:rFonts w:hint="eastAsia"/>
        </w:rPr>
      </w:pPr>
      <w:bookmarkStart w:id="73" w:name="_Toc29160"/>
      <w:bookmarkStart w:id="74" w:name="_Toc24755"/>
      <w:bookmarkStart w:id="75" w:name="_Toc14438"/>
      <w:r>
        <w:rPr>
          <w:rFonts w:hint="eastAsia"/>
        </w:rPr>
        <w:t>十一、其他重要事项情况说明</w:t>
      </w:r>
      <w:bookmarkEnd w:id="73"/>
      <w:bookmarkEnd w:id="74"/>
      <w:bookmarkEnd w:id="75"/>
    </w:p>
    <w:p>
      <w:pPr>
        <w:bidi w:val="0"/>
        <w:spacing w:line="288" w:lineRule="auto"/>
        <w:ind w:firstLine="880"/>
        <w:rPr>
          <w:rFonts w:hint="eastAsia" w:ascii="楷体" w:hAnsi="楷体" w:eastAsia="楷体" w:cs="楷体"/>
          <w:b w:val="0"/>
          <w:bCs w:val="0"/>
          <w:lang w:val="en-US" w:eastAsia="zh-CN"/>
        </w:rPr>
      </w:pPr>
      <w:r>
        <w:rPr>
          <w:rFonts w:hint="eastAsia" w:ascii="楷体" w:hAnsi="楷体" w:eastAsia="楷体" w:cs="楷体"/>
          <w:b w:val="0"/>
          <w:bCs w:val="0"/>
          <w:lang w:val="en-US" w:eastAsia="zh-CN"/>
        </w:rPr>
        <w:t>（一）机关运行经费支出情况</w:t>
      </w:r>
    </w:p>
    <w:p>
      <w:pPr>
        <w:bidi w:val="0"/>
        <w:rPr>
          <w:rFonts w:hint="eastAsia"/>
          <w:lang w:eastAsia="zh-CN"/>
        </w:rPr>
      </w:pPr>
      <w:r>
        <w:rPr>
          <w:rFonts w:hint="default"/>
        </w:rPr>
        <w:t>2022年度</w:t>
      </w:r>
      <w:r>
        <w:rPr>
          <w:rFonts w:hint="eastAsia"/>
          <w:lang w:val="en-US" w:eastAsia="zh-CN"/>
        </w:rPr>
        <w:t>海南大学为事业单位，不涉及</w:t>
      </w:r>
      <w:r>
        <w:rPr>
          <w:rFonts w:hint="default"/>
        </w:rPr>
        <w:t>机关运行经费</w:t>
      </w:r>
      <w:r>
        <w:rPr>
          <w:rFonts w:hint="eastAsia"/>
          <w:lang w:val="en-US" w:eastAsia="zh-CN"/>
        </w:rPr>
        <w:t>。</w:t>
      </w:r>
    </w:p>
    <w:p>
      <w:pPr>
        <w:bidi w:val="0"/>
        <w:spacing w:line="288" w:lineRule="auto"/>
        <w:ind w:firstLine="880"/>
        <w:rPr>
          <w:rFonts w:hint="eastAsia" w:ascii="楷体" w:hAnsi="楷体" w:eastAsia="楷体" w:cs="楷体"/>
          <w:b w:val="0"/>
          <w:bCs w:val="0"/>
          <w:lang w:val="en-US" w:eastAsia="zh-CN"/>
        </w:rPr>
      </w:pPr>
      <w:r>
        <w:rPr>
          <w:rFonts w:hint="eastAsia" w:ascii="楷体" w:hAnsi="楷体" w:eastAsia="楷体" w:cs="楷体"/>
          <w:b w:val="0"/>
          <w:bCs w:val="0"/>
          <w:lang w:val="en-US" w:eastAsia="zh-CN"/>
        </w:rPr>
        <w:t>（二）政府采购支出情况</w:t>
      </w:r>
    </w:p>
    <w:p>
      <w:pPr>
        <w:bidi w:val="0"/>
        <w:rPr>
          <w:rFonts w:hint="eastAsia"/>
          <w:lang w:eastAsia="zh-CN"/>
        </w:rPr>
      </w:pPr>
      <w:r>
        <w:rPr>
          <w:rFonts w:hint="default"/>
        </w:rPr>
        <w:t>2022年度</w:t>
      </w:r>
      <w:r>
        <w:rPr>
          <w:rFonts w:hint="eastAsia"/>
          <w:lang w:val="en-US" w:eastAsia="zh-CN"/>
        </w:rPr>
        <w:t>海南大学</w:t>
      </w:r>
      <w:r>
        <w:rPr>
          <w:rFonts w:hint="default"/>
        </w:rPr>
        <w:t>政府采购支出总额</w:t>
      </w:r>
      <w:r>
        <w:rPr>
          <w:rFonts w:hint="eastAsia"/>
          <w:lang w:val="en-US" w:eastAsia="zh-CN"/>
        </w:rPr>
        <w:t>59,406.75</w:t>
      </w:r>
      <w:r>
        <w:rPr>
          <w:rFonts w:hint="default"/>
        </w:rPr>
        <w:t>万元，其中：政府采购货物支出</w:t>
      </w:r>
      <w:r>
        <w:rPr>
          <w:rFonts w:hint="eastAsia"/>
          <w:lang w:val="en-US" w:eastAsia="zh-CN"/>
        </w:rPr>
        <w:t>51,157.40</w:t>
      </w:r>
      <w:r>
        <w:rPr>
          <w:rFonts w:hint="default"/>
        </w:rPr>
        <w:t>万元、政府采购工程支出</w:t>
      </w:r>
      <w:r>
        <w:rPr>
          <w:rFonts w:hint="eastAsia"/>
          <w:lang w:val="en-US" w:eastAsia="zh-CN"/>
        </w:rPr>
        <w:t>4,723.95</w:t>
      </w:r>
      <w:r>
        <w:rPr>
          <w:rFonts w:hint="default"/>
        </w:rPr>
        <w:t>万元、政府采购服务支出</w:t>
      </w:r>
      <w:r>
        <w:rPr>
          <w:rFonts w:hint="eastAsia"/>
          <w:lang w:val="en-US" w:eastAsia="zh-CN"/>
        </w:rPr>
        <w:t>3,525.40</w:t>
      </w:r>
      <w:r>
        <w:rPr>
          <w:rFonts w:hint="default"/>
        </w:rPr>
        <w:t>万元。授予中小企业合同金额</w:t>
      </w:r>
      <w:r>
        <w:rPr>
          <w:rFonts w:hint="eastAsia"/>
          <w:lang w:val="en-US" w:eastAsia="zh-CN"/>
        </w:rPr>
        <w:t>0</w:t>
      </w:r>
      <w:r>
        <w:rPr>
          <w:rFonts w:hint="default"/>
        </w:rPr>
        <w:t>万元</w:t>
      </w:r>
      <w:r>
        <w:rPr>
          <w:rFonts w:hint="eastAsia"/>
          <w:lang w:eastAsia="zh-CN"/>
        </w:rPr>
        <w:t>。</w:t>
      </w:r>
    </w:p>
    <w:p>
      <w:pPr>
        <w:bidi w:val="0"/>
        <w:spacing w:line="288" w:lineRule="auto"/>
        <w:ind w:firstLine="880"/>
        <w:rPr>
          <w:rFonts w:hint="eastAsia"/>
        </w:rPr>
      </w:pPr>
      <w:r>
        <w:rPr>
          <w:rFonts w:hint="eastAsia" w:ascii="楷体" w:hAnsi="楷体" w:eastAsia="楷体" w:cs="楷体"/>
          <w:b w:val="0"/>
          <w:bCs w:val="0"/>
          <w:lang w:val="en-US" w:eastAsia="zh-CN"/>
        </w:rPr>
        <w:t>（三）国有资产占用情况</w:t>
      </w:r>
    </w:p>
    <w:p>
      <w:pPr>
        <w:bidi w:val="0"/>
        <w:rPr>
          <w:rFonts w:hint="default"/>
        </w:rPr>
      </w:pPr>
      <w:r>
        <w:rPr>
          <w:rFonts w:hint="default"/>
        </w:rPr>
        <w:t>截至2022年12月31日，本部门拥有房屋面积</w:t>
      </w:r>
      <w:r>
        <w:rPr>
          <w:rFonts w:hint="eastAsia"/>
          <w:lang w:val="en-US" w:eastAsia="zh-CN"/>
        </w:rPr>
        <w:t>1,419,240.28</w:t>
      </w:r>
      <w:r>
        <w:rPr>
          <w:rFonts w:hint="default"/>
        </w:rPr>
        <w:t>平方米，其中：办公用房</w:t>
      </w:r>
      <w:r>
        <w:rPr>
          <w:rFonts w:hint="eastAsia"/>
          <w:lang w:val="en-US" w:eastAsia="zh-CN"/>
        </w:rPr>
        <w:t>37,895.26</w:t>
      </w:r>
      <w:r>
        <w:rPr>
          <w:rFonts w:hint="default"/>
        </w:rPr>
        <w:t>平方米，业务用房</w:t>
      </w:r>
      <w:r>
        <w:rPr>
          <w:rFonts w:hint="eastAsia"/>
          <w:lang w:val="en-US" w:eastAsia="zh-CN"/>
        </w:rPr>
        <w:t>980,736.31</w:t>
      </w:r>
      <w:r>
        <w:rPr>
          <w:rFonts w:hint="default"/>
        </w:rPr>
        <w:t>平方米，其他（不含构筑物）</w:t>
      </w:r>
      <w:r>
        <w:rPr>
          <w:rFonts w:hint="eastAsia"/>
          <w:lang w:val="en-US" w:eastAsia="zh-CN"/>
        </w:rPr>
        <w:t>400,608.71</w:t>
      </w:r>
      <w:r>
        <w:rPr>
          <w:rFonts w:hint="default"/>
        </w:rPr>
        <w:t>平方米。</w:t>
      </w:r>
    </w:p>
    <w:p>
      <w:pPr>
        <w:bidi w:val="0"/>
        <w:rPr>
          <w:rFonts w:hint="default"/>
        </w:rPr>
      </w:pPr>
      <w:r>
        <w:rPr>
          <w:rFonts w:hint="default"/>
        </w:rPr>
        <w:t>本部门共有车辆</w:t>
      </w:r>
      <w:r>
        <w:rPr>
          <w:rFonts w:hint="eastAsia"/>
          <w:lang w:val="en-US" w:eastAsia="zh-CN"/>
        </w:rPr>
        <w:t>22</w:t>
      </w:r>
      <w:r>
        <w:rPr>
          <w:rFonts w:hint="default"/>
        </w:rPr>
        <w:t>辆，其中，副部（省）级及以上领导用车</w:t>
      </w:r>
      <w:r>
        <w:rPr>
          <w:rFonts w:hint="eastAsia"/>
          <w:lang w:val="en-US" w:eastAsia="zh-CN"/>
        </w:rPr>
        <w:t>0</w:t>
      </w:r>
      <w:r>
        <w:rPr>
          <w:rFonts w:hint="default"/>
        </w:rPr>
        <w:t>辆、主要领导干部用车</w:t>
      </w:r>
      <w:r>
        <w:rPr>
          <w:rFonts w:hint="eastAsia"/>
          <w:lang w:val="en-US" w:eastAsia="zh-CN"/>
        </w:rPr>
        <w:t>0</w:t>
      </w:r>
      <w:r>
        <w:rPr>
          <w:rFonts w:hint="default"/>
        </w:rPr>
        <w:t>辆、机要通信用车</w:t>
      </w:r>
      <w:r>
        <w:rPr>
          <w:rFonts w:hint="eastAsia"/>
          <w:lang w:val="en-US" w:eastAsia="zh-CN"/>
        </w:rPr>
        <w:t>12</w:t>
      </w:r>
      <w:r>
        <w:rPr>
          <w:rFonts w:hint="default"/>
        </w:rPr>
        <w:t>辆、应急保障用车</w:t>
      </w:r>
      <w:r>
        <w:rPr>
          <w:rFonts w:hint="eastAsia"/>
          <w:lang w:val="en-US" w:eastAsia="zh-CN"/>
        </w:rPr>
        <w:t>0</w:t>
      </w:r>
      <w:r>
        <w:rPr>
          <w:rFonts w:hint="default"/>
        </w:rPr>
        <w:t>辆、执法执勤用车</w:t>
      </w:r>
      <w:r>
        <w:rPr>
          <w:rFonts w:hint="eastAsia"/>
          <w:lang w:val="en-US" w:eastAsia="zh-CN"/>
        </w:rPr>
        <w:t>0</w:t>
      </w:r>
      <w:r>
        <w:rPr>
          <w:rFonts w:hint="default"/>
        </w:rPr>
        <w:t>辆、特种专业技术用车</w:t>
      </w:r>
      <w:r>
        <w:rPr>
          <w:rFonts w:hint="eastAsia"/>
          <w:lang w:val="en-US" w:eastAsia="zh-CN"/>
        </w:rPr>
        <w:t>0</w:t>
      </w:r>
      <w:r>
        <w:rPr>
          <w:rFonts w:hint="default"/>
        </w:rPr>
        <w:t>辆、离退休干部用车</w:t>
      </w:r>
      <w:r>
        <w:rPr>
          <w:rFonts w:hint="eastAsia"/>
          <w:lang w:val="en-US" w:eastAsia="zh-CN"/>
        </w:rPr>
        <w:t>0</w:t>
      </w:r>
      <w:r>
        <w:rPr>
          <w:rFonts w:hint="default"/>
        </w:rPr>
        <w:t>辆、其他用车</w:t>
      </w:r>
      <w:r>
        <w:rPr>
          <w:rFonts w:hint="eastAsia"/>
          <w:lang w:val="en-US" w:eastAsia="zh-CN"/>
        </w:rPr>
        <w:t>10</w:t>
      </w:r>
      <w:r>
        <w:rPr>
          <w:rFonts w:hint="default"/>
        </w:rPr>
        <w:t>辆，其他用车主要是</w:t>
      </w:r>
      <w:r>
        <w:rPr>
          <w:rFonts w:hint="eastAsia"/>
        </w:rPr>
        <w:t>救护车、环卫车、高空作业车、货车</w:t>
      </w:r>
      <w:r>
        <w:rPr>
          <w:rFonts w:hint="default"/>
        </w:rPr>
        <w:t>。单价100万元（含）以上设备（不含车辆）</w:t>
      </w:r>
      <w:r>
        <w:rPr>
          <w:rFonts w:hint="eastAsia"/>
          <w:lang w:val="en-US" w:eastAsia="zh-CN"/>
        </w:rPr>
        <w:t>155</w:t>
      </w:r>
      <w:r>
        <w:rPr>
          <w:rFonts w:hint="default"/>
        </w:rPr>
        <w:t>台（套）。</w:t>
      </w:r>
    </w:p>
    <w:p>
      <w:pPr>
        <w:bidi w:val="0"/>
        <w:rPr>
          <w:rFonts w:hint="eastAsia" w:ascii="黑体" w:hAnsi="宋体" w:eastAsia="黑体" w:cs="黑体"/>
          <w:kern w:val="0"/>
          <w:sz w:val="32"/>
          <w:szCs w:val="32"/>
        </w:rPr>
      </w:pPr>
      <w:r>
        <w:rPr>
          <w:rFonts w:hint="default"/>
        </w:rPr>
        <w:t>年末在建工程</w:t>
      </w:r>
      <w:r>
        <w:rPr>
          <w:rFonts w:hint="eastAsia"/>
          <w:lang w:val="en-US" w:eastAsia="zh-CN"/>
        </w:rPr>
        <w:t>117,479.37</w:t>
      </w:r>
      <w:r>
        <w:rPr>
          <w:rFonts w:hint="default"/>
        </w:rPr>
        <w:t xml:space="preserve">万元。 </w:t>
      </w:r>
      <w:r>
        <w:rPr>
          <w:rFonts w:hint="eastAsia"/>
        </w:rPr>
        <w:t xml:space="preserve">  </w:t>
      </w:r>
      <w:bookmarkStart w:id="76" w:name="_Toc29725"/>
    </w:p>
    <w:p>
      <w:pPr>
        <w:pStyle w:val="2"/>
        <w:ind w:left="0" w:leftChars="0" w:firstLine="0" w:firstLineChars="0"/>
        <w:rPr>
          <w:rFonts w:hint="eastAsia" w:ascii="黑体" w:hAnsi="宋体" w:eastAsia="黑体" w:cs="黑体"/>
          <w:kern w:val="0"/>
          <w:sz w:val="32"/>
          <w:szCs w:val="32"/>
        </w:rPr>
      </w:pPr>
    </w:p>
    <w:p>
      <w:pPr>
        <w:pStyle w:val="4"/>
        <w:bidi w:val="0"/>
        <w:rPr>
          <w:rFonts w:hint="eastAsia" w:ascii="宋体" w:hAnsi="宋体" w:eastAsia="宋体" w:cs="宋体"/>
          <w:b/>
          <w:bCs/>
          <w:kern w:val="44"/>
          <w:sz w:val="36"/>
          <w:szCs w:val="48"/>
          <w:lang w:val="en-US" w:eastAsia="zh-CN" w:bidi="ar"/>
        </w:rPr>
      </w:pPr>
      <w:bookmarkStart w:id="77" w:name="_Toc32481"/>
      <w:bookmarkStart w:id="78" w:name="_Toc24773"/>
      <w:r>
        <w:rPr>
          <w:rFonts w:hint="eastAsia"/>
        </w:rPr>
        <w:t>第四部分  名词解释</w:t>
      </w:r>
      <w:bookmarkEnd w:id="76"/>
      <w:r>
        <w:rPr>
          <w:rFonts w:hint="eastAsia"/>
        </w:rPr>
        <w:t xml:space="preserve"> </w:t>
      </w:r>
      <w:bookmarkEnd w:id="77"/>
      <w:r>
        <w:rPr>
          <w:rFonts w:hint="eastAsia"/>
        </w:rPr>
        <w:fldChar w:fldCharType="begin"/>
      </w:r>
      <w:r>
        <w:rPr>
          <w:rFonts w:hint="eastAsia"/>
        </w:rPr>
        <w:instrText xml:space="preserve">TOC \o "1-2" \h \u </w:instrText>
      </w:r>
      <w:r>
        <w:rPr>
          <w:rFonts w:hint="eastAsia"/>
        </w:rPr>
        <w:fldChar w:fldCharType="separate"/>
      </w:r>
      <w:bookmarkEnd w:id="78"/>
    </w:p>
    <w:p>
      <w:pPr>
        <w:bidi w:val="0"/>
        <w:rPr>
          <w:rFonts w:hint="default"/>
        </w:rPr>
      </w:pPr>
      <w:r>
        <w:rPr>
          <w:rFonts w:hint="eastAsia"/>
        </w:rPr>
        <w:fldChar w:fldCharType="end"/>
      </w:r>
      <w:r>
        <w:rPr>
          <w:rFonts w:hint="eastAsia"/>
          <w:lang w:val="en-US" w:eastAsia="zh-CN"/>
        </w:rPr>
        <w:t>一、</w:t>
      </w:r>
      <w:r>
        <w:rPr>
          <w:rFonts w:hint="default"/>
        </w:rPr>
        <w:t>财政拨款收入：指同级政府财政部门当年拨付的各类财政拨款。</w:t>
      </w:r>
    </w:p>
    <w:p>
      <w:pPr>
        <w:bidi w:val="0"/>
        <w:rPr>
          <w:rFonts w:hint="default"/>
        </w:rPr>
      </w:pPr>
      <w:r>
        <w:rPr>
          <w:rFonts w:hint="default"/>
        </w:rPr>
        <w:t>二、上级补助收入：指事业单位从主管部门和上级单位取得的非财政补助收入。</w:t>
      </w:r>
    </w:p>
    <w:p>
      <w:pPr>
        <w:bidi w:val="0"/>
        <w:rPr>
          <w:rFonts w:hint="default"/>
        </w:rPr>
      </w:pPr>
      <w:r>
        <w:rPr>
          <w:rFonts w:hint="default"/>
        </w:rPr>
        <w:t>三、事业收入：指事业单位开展专业业务活动及辅助活动取得的收入。</w:t>
      </w:r>
    </w:p>
    <w:p>
      <w:pPr>
        <w:bidi w:val="0"/>
        <w:rPr>
          <w:rFonts w:hint="default"/>
        </w:rPr>
      </w:pPr>
      <w:r>
        <w:rPr>
          <w:rFonts w:hint="default"/>
        </w:rPr>
        <w:t>四、经营收入：指事业单位在专业业务活动及其辅助活动之外开展非独立核算经营活动取得的收入。</w:t>
      </w:r>
    </w:p>
    <w:p>
      <w:pPr>
        <w:bidi w:val="0"/>
        <w:rPr>
          <w:rFonts w:hint="default"/>
        </w:rPr>
      </w:pPr>
      <w:r>
        <w:rPr>
          <w:rFonts w:hint="default"/>
        </w:rPr>
        <w:t>五、附属单位上缴收入：指事业单位取得附属独立核算单位根据有关规定上缴的收入。</w:t>
      </w:r>
    </w:p>
    <w:p>
      <w:pPr>
        <w:bidi w:val="0"/>
        <w:rPr>
          <w:rFonts w:hint="default"/>
        </w:rPr>
      </w:pPr>
      <w:r>
        <w:rPr>
          <w:rFonts w:hint="default"/>
        </w:rPr>
        <w:t>六、其他收入：指除上述</w:t>
      </w:r>
      <w:r>
        <w:rPr>
          <w:rFonts w:hint="eastAsia"/>
          <w:lang w:eastAsia="zh-CN"/>
        </w:rPr>
        <w:t>“</w:t>
      </w:r>
      <w:r>
        <w:rPr>
          <w:rFonts w:hint="default"/>
        </w:rPr>
        <w:t>财政拨款收入</w:t>
      </w:r>
      <w:r>
        <w:rPr>
          <w:rFonts w:hint="eastAsia"/>
          <w:lang w:eastAsia="zh-CN"/>
        </w:rPr>
        <w:t>”“</w:t>
      </w:r>
      <w:r>
        <w:rPr>
          <w:rFonts w:hint="default"/>
        </w:rPr>
        <w:t>事业收入</w:t>
      </w:r>
      <w:r>
        <w:rPr>
          <w:rFonts w:hint="eastAsia"/>
          <w:lang w:eastAsia="zh-CN"/>
        </w:rPr>
        <w:t>”“</w:t>
      </w:r>
      <w:r>
        <w:rPr>
          <w:rFonts w:hint="default"/>
        </w:rPr>
        <w:t>上级补助收入</w:t>
      </w:r>
      <w:r>
        <w:rPr>
          <w:rFonts w:hint="eastAsia"/>
          <w:lang w:eastAsia="zh-CN"/>
        </w:rPr>
        <w:t>”“</w:t>
      </w:r>
      <w:r>
        <w:rPr>
          <w:rFonts w:hint="default"/>
        </w:rPr>
        <w:t>经营收入</w:t>
      </w:r>
      <w:r>
        <w:rPr>
          <w:rFonts w:hint="eastAsia"/>
          <w:lang w:eastAsia="zh-CN"/>
        </w:rPr>
        <w:t>”“</w:t>
      </w:r>
      <w:r>
        <w:rPr>
          <w:rFonts w:hint="default"/>
        </w:rPr>
        <w:t>附属单位上缴收入</w:t>
      </w:r>
      <w:r>
        <w:rPr>
          <w:rFonts w:hint="eastAsia"/>
          <w:lang w:eastAsia="zh-CN"/>
        </w:rPr>
        <w:t>”</w:t>
      </w:r>
      <w:r>
        <w:rPr>
          <w:rFonts w:hint="default"/>
        </w:rPr>
        <w:t>等以外的收入。</w:t>
      </w:r>
    </w:p>
    <w:p>
      <w:pPr>
        <w:bidi w:val="0"/>
        <w:rPr>
          <w:rFonts w:hint="default"/>
        </w:rPr>
      </w:pPr>
      <w:r>
        <w:rPr>
          <w:rFonts w:hint="default"/>
        </w:rPr>
        <w:t>七、使用非财政拨款结余：指事业单位在当年的</w:t>
      </w:r>
      <w:r>
        <w:rPr>
          <w:rFonts w:hint="eastAsia"/>
          <w:lang w:eastAsia="zh-CN"/>
        </w:rPr>
        <w:t>“</w:t>
      </w:r>
      <w:r>
        <w:rPr>
          <w:rFonts w:hint="default"/>
        </w:rPr>
        <w:t>财政拨款收入</w:t>
      </w:r>
      <w:r>
        <w:rPr>
          <w:rFonts w:hint="eastAsia"/>
          <w:lang w:eastAsia="zh-CN"/>
        </w:rPr>
        <w:t>”“</w:t>
      </w:r>
      <w:r>
        <w:rPr>
          <w:rFonts w:hint="default"/>
        </w:rPr>
        <w:t>事业收入</w:t>
      </w:r>
      <w:r>
        <w:rPr>
          <w:rFonts w:hint="eastAsia"/>
          <w:lang w:eastAsia="zh-CN"/>
        </w:rPr>
        <w:t>”“</w:t>
      </w:r>
      <w:r>
        <w:rPr>
          <w:rFonts w:hint="default"/>
        </w:rPr>
        <w:t>经营收入</w:t>
      </w:r>
      <w:r>
        <w:rPr>
          <w:rFonts w:hint="eastAsia"/>
          <w:lang w:eastAsia="zh-CN"/>
        </w:rPr>
        <w:t>”“</w:t>
      </w:r>
      <w:r>
        <w:rPr>
          <w:rFonts w:hint="default"/>
        </w:rPr>
        <w:t>其他收入</w:t>
      </w:r>
      <w:r>
        <w:rPr>
          <w:rFonts w:hint="eastAsia"/>
          <w:lang w:eastAsia="zh-CN"/>
        </w:rPr>
        <w:t>”</w:t>
      </w:r>
      <w:r>
        <w:rPr>
          <w:rFonts w:hint="default"/>
        </w:rPr>
        <w:t>等不足以安排当年支出的情况下，使用非同级财政拨款结余资金弥补本年度收支缺口。</w:t>
      </w:r>
    </w:p>
    <w:p>
      <w:pPr>
        <w:bidi w:val="0"/>
        <w:rPr>
          <w:rFonts w:hint="default"/>
        </w:rPr>
      </w:pPr>
      <w:r>
        <w:rPr>
          <w:rFonts w:hint="default"/>
        </w:rPr>
        <w:t>八、年初结转和结余：指以前年度尚未完成、结转到本年按有关规定继续使用的资金，或项目已完成等产生的结余资金。</w:t>
      </w:r>
    </w:p>
    <w:p>
      <w:pPr>
        <w:bidi w:val="0"/>
        <w:rPr>
          <w:rFonts w:hint="default"/>
        </w:rPr>
      </w:pPr>
      <w:r>
        <w:rPr>
          <w:rFonts w:hint="default"/>
        </w:rPr>
        <w:t>九、结余分配：指事业单位缴纳企业所得税以及从非财政拨款结余或经营结余中提取各类结余的情况。</w:t>
      </w:r>
    </w:p>
    <w:p>
      <w:pPr>
        <w:bidi w:val="0"/>
        <w:rPr>
          <w:rFonts w:hint="default"/>
        </w:rPr>
      </w:pPr>
      <w:r>
        <w:rPr>
          <w:rFonts w:hint="default"/>
        </w:rPr>
        <w:t>十、年末结转和结余：指本年度或以前年度预算安排、因客观条件发生变化无法按原计划实施，需要延迟到以后年度按有关规定继续使用的资金（不包括事业单位非财政拨款结余和专用结余）。</w:t>
      </w:r>
    </w:p>
    <w:p>
      <w:pPr>
        <w:bidi w:val="0"/>
        <w:rPr>
          <w:rFonts w:hint="default"/>
        </w:rPr>
      </w:pPr>
      <w:r>
        <w:rPr>
          <w:rFonts w:hint="default"/>
        </w:rPr>
        <w:t>十一、基本支出：指为保障机构正常运转、完成日常工作任务而发生的人员支出和公用支出。</w:t>
      </w:r>
    </w:p>
    <w:p>
      <w:pPr>
        <w:bidi w:val="0"/>
        <w:rPr>
          <w:rFonts w:hint="default"/>
        </w:rPr>
      </w:pPr>
      <w:r>
        <w:rPr>
          <w:rFonts w:hint="default"/>
        </w:rPr>
        <w:t>十二、项目支出：指在基本支出之外为完成特定行政任务和事业发展目标所发生的支出。</w:t>
      </w:r>
    </w:p>
    <w:p>
      <w:pPr>
        <w:bidi w:val="0"/>
        <w:rPr>
          <w:rFonts w:hint="default"/>
        </w:rPr>
      </w:pPr>
      <w:r>
        <w:rPr>
          <w:rFonts w:hint="default"/>
        </w:rPr>
        <w:t>十三、经营支出：指事业单位在专业业务活动及其辅助活动之外开展非独立核算经营活动发生的支出。</w:t>
      </w:r>
    </w:p>
    <w:p>
      <w:pPr>
        <w:bidi w:val="0"/>
        <w:rPr>
          <w:rFonts w:hint="default"/>
        </w:rPr>
      </w:pPr>
      <w:r>
        <w:rPr>
          <w:rFonts w:hint="default"/>
        </w:rPr>
        <w:t>十四、</w:t>
      </w:r>
      <w:r>
        <w:rPr>
          <w:rFonts w:hint="eastAsia"/>
          <w:lang w:eastAsia="zh-CN"/>
        </w:rPr>
        <w:t>“</w:t>
      </w:r>
      <w:r>
        <w:rPr>
          <w:rFonts w:hint="default"/>
        </w:rPr>
        <w:t>三公</w:t>
      </w:r>
      <w:r>
        <w:rPr>
          <w:rFonts w:hint="eastAsia"/>
          <w:lang w:eastAsia="zh-CN"/>
        </w:rPr>
        <w:t>”</w:t>
      </w:r>
      <w:r>
        <w:rPr>
          <w:rFonts w:hint="default"/>
        </w:rPr>
        <w:t>经费：纳入本级财政预决算管理的</w:t>
      </w:r>
      <w:r>
        <w:rPr>
          <w:rFonts w:hint="eastAsia"/>
          <w:lang w:eastAsia="zh-CN"/>
        </w:rPr>
        <w:t>“</w:t>
      </w:r>
      <w:r>
        <w:rPr>
          <w:rFonts w:hint="default"/>
        </w:rPr>
        <w:t>三公</w:t>
      </w:r>
      <w:r>
        <w:rPr>
          <w:rFonts w:hint="eastAsia"/>
          <w:lang w:eastAsia="zh-CN"/>
        </w:rPr>
        <w:t>”</w:t>
      </w:r>
      <w:r>
        <w:rPr>
          <w:rFonts w:hint="default"/>
        </w:rPr>
        <w:t>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kern w:val="0"/>
          <w:sz w:val="24"/>
          <w:szCs w:val="24"/>
        </w:rPr>
      </w:pPr>
    </w:p>
    <w:sectPr>
      <w:footerReference r:id="rId5" w:type="default"/>
      <w:pgSz w:w="11915" w:h="16851"/>
      <w:pgMar w:top="1440" w:right="1800" w:bottom="1440" w:left="1800"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ˎ̥">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ind w:firstLine="640"/>
      </w:pPr>
      <w:r>
        <w:separator/>
      </w:r>
    </w:p>
  </w:footnote>
  <w:footnote w:type="continuationSeparator" w:id="1">
    <w:p>
      <w:pPr>
        <w:spacing w:before="0" w:after="0" w:line="288"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CE3A29"/>
    <w:multiLevelType w:val="singleLevel"/>
    <w:tmpl w:val="EECE3A2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7"/>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kZmVlMGEwZGY0YzhjMGZmMmRmMWIzMTEzMmNjOGIifQ=="/>
  </w:docVars>
  <w:rsids>
    <w:rsidRoot w:val="00000000"/>
    <w:rsid w:val="01830099"/>
    <w:rsid w:val="01A71FD9"/>
    <w:rsid w:val="01BE7A48"/>
    <w:rsid w:val="01EE19B6"/>
    <w:rsid w:val="021138F7"/>
    <w:rsid w:val="0257388B"/>
    <w:rsid w:val="037C7496"/>
    <w:rsid w:val="04707BBC"/>
    <w:rsid w:val="05CE2E31"/>
    <w:rsid w:val="06E65352"/>
    <w:rsid w:val="07677C87"/>
    <w:rsid w:val="08C96CD9"/>
    <w:rsid w:val="095F13EB"/>
    <w:rsid w:val="09F91840"/>
    <w:rsid w:val="0A503C83"/>
    <w:rsid w:val="0D0C0087"/>
    <w:rsid w:val="0E385B0D"/>
    <w:rsid w:val="0E4F0A69"/>
    <w:rsid w:val="0EF40828"/>
    <w:rsid w:val="101C0036"/>
    <w:rsid w:val="105453B4"/>
    <w:rsid w:val="10663F71"/>
    <w:rsid w:val="11FC5D8D"/>
    <w:rsid w:val="12A3059B"/>
    <w:rsid w:val="159F14ED"/>
    <w:rsid w:val="16161084"/>
    <w:rsid w:val="17F11DA8"/>
    <w:rsid w:val="188D7D23"/>
    <w:rsid w:val="1BDE2644"/>
    <w:rsid w:val="1CB735C0"/>
    <w:rsid w:val="1D2B1A65"/>
    <w:rsid w:val="1E320A25"/>
    <w:rsid w:val="1E5866DD"/>
    <w:rsid w:val="1EA54AA4"/>
    <w:rsid w:val="1F7944AD"/>
    <w:rsid w:val="22252D7A"/>
    <w:rsid w:val="236478D2"/>
    <w:rsid w:val="252217F3"/>
    <w:rsid w:val="25F807A6"/>
    <w:rsid w:val="26D44D6F"/>
    <w:rsid w:val="278D39F6"/>
    <w:rsid w:val="28FE4325"/>
    <w:rsid w:val="2B667F60"/>
    <w:rsid w:val="2E9A53C7"/>
    <w:rsid w:val="2F9E416C"/>
    <w:rsid w:val="313C59EB"/>
    <w:rsid w:val="328E340B"/>
    <w:rsid w:val="36C50230"/>
    <w:rsid w:val="37F75AC9"/>
    <w:rsid w:val="39396CB4"/>
    <w:rsid w:val="3A2D6818"/>
    <w:rsid w:val="3A5913BB"/>
    <w:rsid w:val="3CC33464"/>
    <w:rsid w:val="3D3B749E"/>
    <w:rsid w:val="3EFF797D"/>
    <w:rsid w:val="40F57964"/>
    <w:rsid w:val="411029F0"/>
    <w:rsid w:val="412D5350"/>
    <w:rsid w:val="415209D4"/>
    <w:rsid w:val="422425C9"/>
    <w:rsid w:val="43AC2499"/>
    <w:rsid w:val="44140054"/>
    <w:rsid w:val="451C5E07"/>
    <w:rsid w:val="45866DE2"/>
    <w:rsid w:val="45DD6E1F"/>
    <w:rsid w:val="469A5235"/>
    <w:rsid w:val="4871646A"/>
    <w:rsid w:val="48A8310A"/>
    <w:rsid w:val="48BF71D5"/>
    <w:rsid w:val="49351245"/>
    <w:rsid w:val="498B355B"/>
    <w:rsid w:val="49E07403"/>
    <w:rsid w:val="4A121587"/>
    <w:rsid w:val="4ADA20A4"/>
    <w:rsid w:val="4BD033F3"/>
    <w:rsid w:val="4CCA7EF7"/>
    <w:rsid w:val="4D2A6BE7"/>
    <w:rsid w:val="4E810A89"/>
    <w:rsid w:val="4FF21C3E"/>
    <w:rsid w:val="505C17AE"/>
    <w:rsid w:val="508A0853"/>
    <w:rsid w:val="51063CEB"/>
    <w:rsid w:val="57AC6B77"/>
    <w:rsid w:val="58C4411D"/>
    <w:rsid w:val="58D77572"/>
    <w:rsid w:val="593C3F2A"/>
    <w:rsid w:val="5BBF3193"/>
    <w:rsid w:val="5C4F35B4"/>
    <w:rsid w:val="5CF50FC0"/>
    <w:rsid w:val="5D0D6309"/>
    <w:rsid w:val="5E1F4554"/>
    <w:rsid w:val="5EAC1D57"/>
    <w:rsid w:val="5F3F4774"/>
    <w:rsid w:val="61756737"/>
    <w:rsid w:val="637925C0"/>
    <w:rsid w:val="63953FA2"/>
    <w:rsid w:val="66666A8A"/>
    <w:rsid w:val="672C1A82"/>
    <w:rsid w:val="674D6117"/>
    <w:rsid w:val="69B86ED7"/>
    <w:rsid w:val="69ED1256"/>
    <w:rsid w:val="6A3D5D54"/>
    <w:rsid w:val="6B5248D3"/>
    <w:rsid w:val="6C4E249B"/>
    <w:rsid w:val="6C9824B9"/>
    <w:rsid w:val="6CFF5543"/>
    <w:rsid w:val="71EE142F"/>
    <w:rsid w:val="729B5D0E"/>
    <w:rsid w:val="733817AF"/>
    <w:rsid w:val="74220495"/>
    <w:rsid w:val="75381A53"/>
    <w:rsid w:val="777C7EBC"/>
    <w:rsid w:val="77860D3A"/>
    <w:rsid w:val="77A94A29"/>
    <w:rsid w:val="7A7B26AD"/>
    <w:rsid w:val="7A9E255E"/>
    <w:rsid w:val="7AE069B4"/>
    <w:rsid w:val="7B7610C6"/>
    <w:rsid w:val="7C6929D9"/>
    <w:rsid w:val="7C786240"/>
    <w:rsid w:val="7EA22B09"/>
    <w:rsid w:val="7FAC50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99"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spacing w:before="0" w:beforeAutospacing="0" w:after="0" w:afterAutospacing="0" w:line="288" w:lineRule="auto"/>
      <w:ind w:left="0" w:right="0" w:firstLine="880" w:firstLineChars="200"/>
      <w:jc w:val="left"/>
    </w:pPr>
    <w:rPr>
      <w:rFonts w:hint="eastAsia" w:ascii="宋体" w:hAnsi="宋体" w:eastAsia="仿宋" w:cs="宋体"/>
      <w:kern w:val="0"/>
      <w:sz w:val="32"/>
      <w:szCs w:val="24"/>
      <w:lang w:val="en-US" w:eastAsia="zh-CN" w:bidi="ar"/>
    </w:rPr>
  </w:style>
  <w:style w:type="paragraph" w:styleId="4">
    <w:name w:val="heading 1"/>
    <w:basedOn w:val="1"/>
    <w:next w:val="1"/>
    <w:qFormat/>
    <w:uiPriority w:val="0"/>
    <w:pPr>
      <w:spacing w:before="0" w:beforeAutospacing="1" w:after="0" w:afterAutospacing="1"/>
      <w:ind w:left="0" w:right="0"/>
      <w:jc w:val="center"/>
      <w:outlineLvl w:val="0"/>
    </w:pPr>
    <w:rPr>
      <w:rFonts w:ascii="宋体" w:hAnsi="宋体" w:eastAsia="宋体"/>
      <w:b/>
      <w:bCs/>
      <w:kern w:val="44"/>
      <w:sz w:val="36"/>
      <w:szCs w:val="48"/>
    </w:rPr>
  </w:style>
  <w:style w:type="paragraph" w:styleId="5">
    <w:name w:val="heading 2"/>
    <w:basedOn w:val="1"/>
    <w:next w:val="1"/>
    <w:link w:val="24"/>
    <w:qFormat/>
    <w:uiPriority w:val="0"/>
    <w:pPr>
      <w:spacing w:before="0" w:beforeAutospacing="1" w:after="0" w:afterAutospacing="1"/>
      <w:ind w:left="0" w:right="0"/>
      <w:jc w:val="left"/>
      <w:outlineLvl w:val="1"/>
    </w:pPr>
    <w:rPr>
      <w:rFonts w:ascii="宋体" w:hAnsi="宋体" w:eastAsia="宋体"/>
      <w:b/>
      <w:bCs/>
      <w:sz w:val="32"/>
      <w:szCs w:val="36"/>
    </w:rPr>
  </w:style>
  <w:style w:type="paragraph" w:styleId="6">
    <w:name w:val="heading 3"/>
    <w:basedOn w:val="1"/>
    <w:next w:val="1"/>
    <w:qFormat/>
    <w:uiPriority w:val="0"/>
    <w:pPr>
      <w:spacing w:before="0" w:beforeAutospacing="1" w:after="0" w:afterAutospacing="1"/>
      <w:ind w:left="0" w:right="0"/>
      <w:jc w:val="left"/>
    </w:pPr>
    <w:rPr>
      <w:rFonts w:hint="eastAsia" w:ascii="宋体" w:hAnsi="宋体" w:eastAsia="宋体" w:cs="宋体"/>
      <w:b/>
      <w:bCs/>
      <w:kern w:val="0"/>
      <w:sz w:val="27"/>
      <w:szCs w:val="27"/>
      <w:lang w:val="en-US" w:eastAsia="zh-CN" w:bidi="ar"/>
    </w:rPr>
  </w:style>
  <w:style w:type="paragraph" w:styleId="7">
    <w:name w:val="heading 4"/>
    <w:basedOn w:val="1"/>
    <w:next w:val="1"/>
    <w:qFormat/>
    <w:uiPriority w:val="0"/>
    <w:pPr>
      <w:spacing w:before="0" w:beforeAutospacing="1" w:after="0" w:afterAutospacing="1"/>
      <w:ind w:left="0" w:right="0"/>
      <w:jc w:val="left"/>
    </w:pPr>
    <w:rPr>
      <w:rFonts w:hint="eastAsia" w:ascii="宋体" w:hAnsi="宋体" w:eastAsia="宋体" w:cs="宋体"/>
      <w:b/>
      <w:bCs/>
      <w:kern w:val="0"/>
      <w:sz w:val="24"/>
      <w:szCs w:val="24"/>
      <w:lang w:val="en-US" w:eastAsia="zh-CN" w:bidi="ar"/>
    </w:rPr>
  </w:style>
  <w:style w:type="paragraph" w:styleId="8">
    <w:name w:val="heading 5"/>
    <w:basedOn w:val="1"/>
    <w:next w:val="1"/>
    <w:qFormat/>
    <w:uiPriority w:val="0"/>
    <w:pPr>
      <w:spacing w:before="0" w:beforeAutospacing="1" w:after="0" w:afterAutospacing="1"/>
      <w:ind w:left="0" w:right="0"/>
      <w:jc w:val="left"/>
    </w:pPr>
    <w:rPr>
      <w:rFonts w:hint="eastAsia" w:ascii="宋体" w:hAnsi="宋体" w:eastAsia="宋体" w:cs="宋体"/>
      <w:b/>
      <w:bCs/>
      <w:kern w:val="0"/>
      <w:sz w:val="20"/>
      <w:szCs w:val="20"/>
      <w:lang w:val="en-US" w:eastAsia="zh-CN" w:bidi="ar"/>
    </w:rPr>
  </w:style>
  <w:style w:type="paragraph" w:styleId="9">
    <w:name w:val="heading 6"/>
    <w:basedOn w:val="1"/>
    <w:next w:val="1"/>
    <w:qFormat/>
    <w:uiPriority w:val="0"/>
    <w:pPr>
      <w:spacing w:before="0" w:beforeAutospacing="1" w:after="0" w:afterAutospacing="1"/>
      <w:ind w:left="0" w:right="0"/>
      <w:jc w:val="left"/>
    </w:pPr>
    <w:rPr>
      <w:rFonts w:hint="eastAsia" w:ascii="宋体" w:hAnsi="宋体" w:eastAsia="宋体" w:cs="宋体"/>
      <w:b/>
      <w:bCs/>
      <w:kern w:val="0"/>
      <w:sz w:val="15"/>
      <w:szCs w:val="15"/>
      <w:lang w:val="en-US" w:eastAsia="zh-CN" w:bidi="ar"/>
    </w:rPr>
  </w:style>
  <w:style w:type="character" w:default="1" w:styleId="17">
    <w:name w:val="Default Paragraph Font"/>
    <w:unhideWhenUsed/>
    <w:qFormat/>
    <w:uiPriority w:val="99"/>
  </w:style>
  <w:style w:type="table" w:default="1" w:styleId="1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0"/>
    <w:pPr>
      <w:textAlignment w:val="baseline"/>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5">
    <w:name w:val="Normal (Web)"/>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18">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19">
    <w:name w:val="16"/>
    <w:basedOn w:val="17"/>
    <w:qFormat/>
    <w:uiPriority w:val="0"/>
    <w:rPr>
      <w:rFonts w:hint="default" w:ascii="Times New Roman" w:hAnsi="Times New Roman" w:cs="Times New Roman"/>
    </w:rPr>
  </w:style>
  <w:style w:type="character" w:customStyle="1" w:styleId="20">
    <w:name w:val="10"/>
    <w:basedOn w:val="17"/>
    <w:qFormat/>
    <w:uiPriority w:val="0"/>
    <w:rPr>
      <w:rFonts w:hint="default" w:ascii="Times New Roman" w:hAnsi="Times New Roman" w:cs="Times New Roman"/>
    </w:rPr>
  </w:style>
  <w:style w:type="character" w:customStyle="1" w:styleId="21">
    <w:name w:val="15"/>
    <w:basedOn w:val="17"/>
    <w:qFormat/>
    <w:uiPriority w:val="0"/>
    <w:rPr>
      <w:rFonts w:hint="default" w:ascii="Times New Roman" w:hAnsi="Times New Roman" w:cs="Times New Roman"/>
    </w:rPr>
  </w:style>
  <w:style w:type="paragraph" w:customStyle="1" w:styleId="22">
    <w:name w:val="HTML 预设格式 Char"/>
    <w:basedOn w:val="1"/>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23">
    <w:name w:val="普通(网站) Char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24">
    <w:name w:val="标题 2 Char"/>
    <w:link w:val="5"/>
    <w:qFormat/>
    <w:uiPriority w:val="0"/>
    <w:rPr>
      <w:rFonts w:ascii="宋体" w:hAnsi="宋体" w:eastAsia="宋体"/>
      <w:b/>
      <w:bCs/>
      <w:sz w:val="32"/>
      <w:szCs w:val="36"/>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80</TotalTime>
  <ScaleCrop>false</ScaleCrop>
  <LinksUpToDate>false</LinksUpToDate>
  <Application>WPS Office_12.1.0.15358_F1E327BC-269C-435d-A152-05C5408002CA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2023-09-01T09:50:00Z</dcterms:created>
  <dc:creator>Huawei</dc:creator>
  <cp:lastModifiedBy>Huawei</cp:lastModifiedBy>
  <dcterms:modified xsi:type="dcterms:W3CDTF">2023-09-11T10:19:26Z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9DCF9F95431840C4B8F107BEA774A097_13</vt:lpwstr>
  </property>
</Properties>
</file>