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default"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附件2</w:t>
      </w:r>
      <w:bookmarkStart w:id="0" w:name="_GoBack"/>
      <w:bookmarkEnd w:id="0"/>
    </w:p>
    <w:p>
      <w:pPr>
        <w:pStyle w:val="2"/>
        <w:jc w:val="center"/>
        <w:rPr>
          <w:rFonts w:hint="default"/>
          <w:sz w:val="36"/>
          <w:szCs w:val="36"/>
          <w:lang w:val="en-US" w:eastAsia="zh-CN"/>
        </w:rPr>
      </w:pPr>
      <w:r>
        <w:rPr>
          <w:rFonts w:hint="eastAsia" w:ascii="仿宋" w:hAnsi="仿宋" w:eastAsia="仿宋" w:cs="仿宋"/>
          <w:b w:val="0"/>
          <w:bCs w:val="0"/>
          <w:sz w:val="36"/>
          <w:szCs w:val="36"/>
          <w:highlight w:val="none"/>
          <w:lang w:val="en-US" w:eastAsia="zh-CN"/>
        </w:rPr>
        <w:t>其余项目绩效自评结果</w:t>
      </w:r>
    </w:p>
    <w:p>
      <w:pPr>
        <w:pStyle w:val="2"/>
        <w:rPr>
          <w:rFonts w:hint="default"/>
          <w:lang w:val="en-US" w:eastAsia="zh-CN"/>
        </w:rPr>
      </w:pPr>
    </w:p>
    <w:p>
      <w:pPr>
        <w:spacing w:line="360" w:lineRule="auto"/>
        <w:ind w:firstLine="640" w:firstLineChars="200"/>
        <w:rPr>
          <w:rFonts w:hint="eastAsia" w:ascii="仿宋" w:hAnsi="仿宋" w:eastAsia="仿宋" w:cs="仿宋"/>
          <w:b w:val="0"/>
          <w:bCs w:val="0"/>
          <w:sz w:val="32"/>
          <w:szCs w:val="32"/>
          <w:highlight w:val="none"/>
        </w:rPr>
      </w:pPr>
      <w:r>
        <w:rPr>
          <w:rFonts w:hint="eastAsia" w:ascii="仿宋" w:hAnsi="仿宋" w:eastAsia="仿宋" w:cs="仿宋"/>
          <w:b w:val="0"/>
          <w:bCs w:val="0"/>
          <w:sz w:val="32"/>
          <w:szCs w:val="32"/>
          <w:highlight w:val="none"/>
          <w:lang w:val="en-US" w:eastAsia="zh-CN"/>
        </w:rPr>
        <w:t>1</w:t>
      </w:r>
      <w:r>
        <w:rPr>
          <w:rFonts w:hint="eastAsia" w:ascii="仿宋" w:hAnsi="仿宋" w:eastAsia="仿宋" w:cs="仿宋"/>
          <w:b w:val="0"/>
          <w:bCs w:val="0"/>
          <w:sz w:val="32"/>
          <w:szCs w:val="32"/>
          <w:highlight w:val="none"/>
        </w:rPr>
        <w:t>、2022年省重点研发项目（第一批）</w:t>
      </w:r>
      <w:r>
        <w:rPr>
          <w:rFonts w:hint="eastAsia" w:ascii="仿宋" w:hAnsi="仿宋" w:eastAsia="仿宋" w:cs="仿宋"/>
          <w:b w:val="0"/>
          <w:bCs w:val="0"/>
          <w:sz w:val="32"/>
          <w:szCs w:val="32"/>
          <w:highlight w:val="none"/>
          <w:lang w:val="en-US" w:eastAsia="zh-CN"/>
        </w:rPr>
        <w:t>项目</w:t>
      </w:r>
      <w:r>
        <w:rPr>
          <w:rFonts w:hint="eastAsia" w:ascii="仿宋" w:hAnsi="仿宋" w:eastAsia="仿宋" w:cs="仿宋"/>
          <w:b w:val="0"/>
          <w:bCs w:val="0"/>
          <w:sz w:val="32"/>
          <w:szCs w:val="32"/>
          <w:highlight w:val="none"/>
        </w:rPr>
        <w:t>绩效自评综述</w:t>
      </w:r>
    </w:p>
    <w:p>
      <w:pPr>
        <w:spacing w:line="360" w:lineRule="auto"/>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83.17</w:t>
      </w:r>
      <w:r>
        <w:rPr>
          <w:rFonts w:hint="eastAsia" w:ascii="仿宋" w:hAnsi="仿宋" w:eastAsia="仿宋" w:cs="仿宋"/>
          <w:sz w:val="32"/>
          <w:szCs w:val="32"/>
          <w:highlight w:val="none"/>
        </w:rPr>
        <w:t>分。</w:t>
      </w:r>
      <w:r>
        <w:rPr>
          <w:rFonts w:hint="eastAsia" w:ascii="仿宋" w:hAnsi="仿宋" w:eastAsia="仿宋" w:cs="仿宋"/>
          <w:color w:val="auto"/>
          <w:sz w:val="32"/>
          <w:szCs w:val="32"/>
          <w:highlight w:val="none"/>
        </w:rPr>
        <w:t>资金总额年初预算数30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605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900元，全年预算数29</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000元。其中：财政资金年初预算数30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605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900元，全年预算数29</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资金总额全年执行数9</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227</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782.52元，执行率</w:t>
      </w:r>
      <w:r>
        <w:rPr>
          <w:rFonts w:hint="eastAsia" w:ascii="仿宋" w:hAnsi="仿宋" w:eastAsia="仿宋" w:cs="仿宋"/>
          <w:color w:val="auto"/>
          <w:sz w:val="32"/>
          <w:szCs w:val="32"/>
          <w:highlight w:val="none"/>
          <w:lang w:val="en-US" w:eastAsia="zh-CN"/>
        </w:rPr>
        <w:t>31.71%</w:t>
      </w:r>
      <w:r>
        <w:rPr>
          <w:rFonts w:hint="eastAsia" w:ascii="仿宋" w:hAnsi="仿宋" w:eastAsia="仿宋" w:cs="仿宋"/>
          <w:color w:val="auto"/>
          <w:sz w:val="32"/>
          <w:szCs w:val="32"/>
          <w:highlight w:val="none"/>
        </w:rPr>
        <w:t>。</w:t>
      </w:r>
    </w:p>
    <w:p>
      <w:pPr>
        <w:pStyle w:val="2"/>
        <w:rPr>
          <w:rFonts w:hint="eastAsia" w:ascii="仿宋" w:hAnsi="仿宋" w:eastAsia="仿宋" w:cs="仿宋"/>
          <w:highlight w:val="none"/>
          <w:lang w:eastAsia="zh-CN"/>
        </w:rPr>
      </w:pPr>
      <w:r>
        <w:rPr>
          <w:rFonts w:hint="eastAsia" w:ascii="仿宋" w:hAnsi="仿宋" w:eastAsia="仿宋" w:cs="仿宋"/>
          <w:color w:val="auto"/>
          <w:sz w:val="32"/>
          <w:szCs w:val="32"/>
          <w:highlight w:val="none"/>
        </w:rPr>
        <w:t>其中：财政资金全年执行数9</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227</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782.52元，执行率</w:t>
      </w:r>
      <w:r>
        <w:rPr>
          <w:rFonts w:hint="eastAsia" w:ascii="仿宋" w:hAnsi="仿宋" w:eastAsia="仿宋" w:cs="仿宋"/>
          <w:color w:val="auto"/>
          <w:sz w:val="32"/>
          <w:szCs w:val="32"/>
          <w:highlight w:val="none"/>
          <w:lang w:val="en-US" w:eastAsia="zh-CN"/>
        </w:rPr>
        <w:t>31.71</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rPr>
          <w:rFonts w:hint="eastAsia" w:ascii="仿宋" w:hAnsi="仿宋" w:eastAsia="仿宋" w:cs="仿宋"/>
          <w:kern w:val="0"/>
          <w:sz w:val="32"/>
          <w:szCs w:val="32"/>
          <w:highlight w:val="none"/>
        </w:rPr>
      </w:pPr>
      <w:r>
        <w:rPr>
          <w:rFonts w:hint="eastAsia" w:ascii="仿宋" w:hAnsi="仿宋" w:eastAsia="仿宋" w:cs="仿宋"/>
          <w:sz w:val="32"/>
          <w:szCs w:val="32"/>
          <w:highlight w:val="none"/>
        </w:rPr>
        <w:t>项目绩效目标完成情况：</w:t>
      </w:r>
      <w:r>
        <w:rPr>
          <w:rFonts w:hint="eastAsia" w:ascii="仿宋" w:hAnsi="仿宋" w:eastAsia="仿宋" w:cs="仿宋"/>
          <w:kern w:val="0"/>
          <w:sz w:val="32"/>
          <w:szCs w:val="32"/>
          <w:highlight w:val="none"/>
        </w:rPr>
        <w:t>项目按照任务书中约定的研究内容和考核指标完成了阶段性任务，顺利、有序进行。该项目成功发挥了高等院校的科研优势，辐射地区经济，推动社会发展，打造创新高地。</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1</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7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48"/>
        <w:gridCol w:w="1725"/>
        <w:gridCol w:w="2910"/>
        <w:gridCol w:w="1425"/>
        <w:gridCol w:w="12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highlight w:val="none"/>
                <w:u w:val="none"/>
              </w:rPr>
            </w:pPr>
            <w:r>
              <w:rPr>
                <w:rFonts w:hint="eastAsia" w:ascii="仿宋" w:hAnsi="仿宋" w:eastAsia="仿宋" w:cs="仿宋"/>
                <w:b/>
                <w:bCs/>
                <w:i w:val="0"/>
                <w:iCs w:val="0"/>
                <w:color w:val="000000"/>
                <w:kern w:val="0"/>
                <w:sz w:val="20"/>
                <w:szCs w:val="20"/>
                <w:highlight w:val="none"/>
                <w:u w:val="none"/>
                <w:lang w:val="en-US" w:eastAsia="zh-CN" w:bidi="ar"/>
              </w:rPr>
              <w:t>一级指标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highlight w:val="none"/>
                <w:u w:val="none"/>
              </w:rPr>
            </w:pPr>
            <w:r>
              <w:rPr>
                <w:rFonts w:hint="eastAsia" w:ascii="仿宋" w:hAnsi="仿宋" w:eastAsia="仿宋" w:cs="仿宋"/>
                <w:b/>
                <w:bCs/>
                <w:i w:val="0"/>
                <w:iCs w:val="0"/>
                <w:color w:val="000000"/>
                <w:kern w:val="0"/>
                <w:sz w:val="20"/>
                <w:szCs w:val="20"/>
                <w:highlight w:val="none"/>
                <w:u w:val="none"/>
                <w:lang w:val="en-US" w:eastAsia="zh-CN" w:bidi="ar"/>
              </w:rPr>
              <w:t>二级指标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highlight w:val="none"/>
                <w:u w:val="none"/>
              </w:rPr>
            </w:pPr>
            <w:r>
              <w:rPr>
                <w:rFonts w:hint="eastAsia" w:ascii="仿宋" w:hAnsi="仿宋" w:eastAsia="仿宋" w:cs="仿宋"/>
                <w:b/>
                <w:bCs/>
                <w:i w:val="0"/>
                <w:iCs w:val="0"/>
                <w:color w:val="000000"/>
                <w:kern w:val="0"/>
                <w:sz w:val="20"/>
                <w:szCs w:val="20"/>
                <w:highlight w:val="none"/>
                <w:u w:val="none"/>
                <w:lang w:val="en-US" w:eastAsia="zh-CN" w:bidi="ar"/>
              </w:rPr>
              <w:t>三级指标</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highlight w:val="none"/>
                <w:u w:val="none"/>
              </w:rPr>
            </w:pPr>
            <w:r>
              <w:rPr>
                <w:rFonts w:hint="eastAsia" w:ascii="仿宋" w:hAnsi="仿宋" w:eastAsia="仿宋" w:cs="仿宋"/>
                <w:b/>
                <w:bCs/>
                <w:i w:val="0"/>
                <w:iCs w:val="0"/>
                <w:color w:val="000000"/>
                <w:kern w:val="0"/>
                <w:sz w:val="20"/>
                <w:szCs w:val="20"/>
                <w:highlight w:val="none"/>
                <w:u w:val="none"/>
                <w:lang w:val="en-US" w:eastAsia="zh-CN" w:bidi="ar"/>
              </w:rPr>
              <w:t>年度指标值</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highlight w:val="none"/>
                <w:u w:val="none"/>
              </w:rPr>
            </w:pPr>
            <w:r>
              <w:rPr>
                <w:rFonts w:hint="eastAsia" w:ascii="仿宋" w:hAnsi="仿宋" w:eastAsia="仿宋" w:cs="仿宋"/>
                <w:b/>
                <w:bCs/>
                <w:i w:val="0"/>
                <w:iCs w:val="0"/>
                <w:color w:val="000000"/>
                <w:kern w:val="0"/>
                <w:sz w:val="20"/>
                <w:szCs w:val="20"/>
                <w:highlight w:val="none"/>
                <w:u w:val="none"/>
                <w:lang w:val="en-US" w:eastAsia="zh-CN" w:bidi="ar"/>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产出指标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EI收录论文数</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3篇</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8篇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产出指标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SCI收录论文数</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5篇</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16篇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产出指标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国内外期刊发表论文数</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40篇</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42篇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产出指标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软件开发数量</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2个</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产出指标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研究报告数量</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20份</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21份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产出指标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验收合格率</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98%</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sz w:val="20"/>
                <w:szCs w:val="20"/>
                <w:highlight w:val="none"/>
                <w:u w:val="none"/>
              </w:rPr>
              <w:t>本项目为跨年度项目，目前按照任务书约定的执行年限正常进行，项目未到期，尚未组织验收。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产出指标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样品样机开发数量</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2台</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2台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产出指标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数量指标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专利申请数</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15项</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16项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效益指标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社会效益指标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SCI收录论文被引用次数</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3次</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效益指标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社会效益指标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获省部级奖励</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3项</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3项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jc w:val="center"/>
        </w:trPr>
        <w:tc>
          <w:tcPr>
            <w:tcW w:w="144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效益指标</w:t>
            </w:r>
          </w:p>
        </w:tc>
        <w:tc>
          <w:tcPr>
            <w:tcW w:w="17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社会效益指标</w:t>
            </w:r>
          </w:p>
        </w:tc>
        <w:tc>
          <w:tcPr>
            <w:tcW w:w="291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支持培养研究生人数</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50人</w:t>
            </w:r>
          </w:p>
        </w:tc>
        <w:tc>
          <w:tcPr>
            <w:tcW w:w="125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highlight w:val="none"/>
                <w:u w:val="none"/>
              </w:rPr>
            </w:pPr>
            <w:r>
              <w:rPr>
                <w:rFonts w:hint="eastAsia" w:ascii="仿宋" w:hAnsi="仿宋" w:eastAsia="仿宋" w:cs="仿宋"/>
                <w:i w:val="0"/>
                <w:iCs w:val="0"/>
                <w:color w:val="000000"/>
                <w:kern w:val="0"/>
                <w:sz w:val="20"/>
                <w:szCs w:val="20"/>
                <w:highlight w:val="none"/>
                <w:u w:val="none"/>
                <w:lang w:val="en-US" w:eastAsia="zh-CN" w:bidi="ar"/>
              </w:rPr>
              <w:t>62人</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存在问题及建议：①科研项目研究具有一定的周期性及支出的不可预见性，而现有科研经费安排是按照“一次拨付，多年使用”的方式，年度资金拨付与实际需求、预算执行是不匹配的，但是科研项目被纳入了部门预算执行进度考核范围；②科研项目</w:t>
      </w:r>
      <w:r>
        <w:rPr>
          <w:rFonts w:hint="eastAsia" w:ascii="仿宋" w:hAnsi="仿宋" w:eastAsia="仿宋" w:cs="仿宋"/>
          <w:color w:val="auto"/>
          <w:kern w:val="0"/>
          <w:sz w:val="32"/>
          <w:szCs w:val="32"/>
          <w:highlight w:val="none"/>
          <w:lang w:val="en-US" w:eastAsia="zh-CN"/>
        </w:rPr>
        <w:t>政府支出经济分类“类”级科目的</w:t>
      </w:r>
      <w:r>
        <w:rPr>
          <w:rFonts w:hint="eastAsia" w:ascii="仿宋" w:hAnsi="仿宋" w:eastAsia="仿宋" w:cs="仿宋"/>
          <w:color w:val="auto"/>
          <w:kern w:val="0"/>
          <w:sz w:val="32"/>
          <w:szCs w:val="32"/>
          <w:highlight w:val="none"/>
        </w:rPr>
        <w:t>预算调剂按照专项资金的预算调剂管理，流程较长，一般调剂周期超过两个月，一定程度影响科研服务水平和预算执行进度；③科研项目一般都有结题要求，且结题时需要进行审计，可以对项目执行结果进行考核和评价，在研究过程中的绩效评价和自评实际效用</w:t>
      </w:r>
      <w:r>
        <w:rPr>
          <w:rFonts w:hint="eastAsia" w:ascii="仿宋" w:hAnsi="仿宋" w:eastAsia="仿宋" w:cs="仿宋"/>
          <w:color w:val="auto"/>
          <w:kern w:val="0"/>
          <w:sz w:val="32"/>
          <w:szCs w:val="32"/>
          <w:highlight w:val="none"/>
          <w:lang w:val="en-US" w:eastAsia="zh-CN"/>
        </w:rPr>
        <w:t>不明显</w:t>
      </w:r>
      <w:r>
        <w:rPr>
          <w:rFonts w:hint="eastAsia" w:ascii="仿宋" w:hAnsi="仿宋" w:eastAsia="仿宋" w:cs="仿宋"/>
          <w:color w:val="auto"/>
          <w:kern w:val="0"/>
          <w:sz w:val="32"/>
          <w:szCs w:val="32"/>
          <w:highlight w:val="none"/>
        </w:rPr>
        <w:t>且重复劳动</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国家和省里鼓励学校多做科研，科研项目数量和经费越多越好，但同时每年绩效评价的工作量大大增加，需要老师和科研管理部门每年填报绩效执行监控表并写自评报告，无形中增加了科研老师的工作量，挤占了老师做科研的时间，与国家、省里的科研鼓励政策及“放管服”政策的初衷相悖。</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基于以上问题提出以下三个解决建议：①科研项目不纳入部门预算执行进度考核范围；②简化科研项目</w:t>
      </w:r>
      <w:r>
        <w:rPr>
          <w:rFonts w:hint="eastAsia" w:ascii="仿宋" w:hAnsi="仿宋" w:eastAsia="仿宋" w:cs="仿宋"/>
          <w:color w:val="auto"/>
          <w:kern w:val="0"/>
          <w:sz w:val="32"/>
          <w:szCs w:val="32"/>
          <w:highlight w:val="none"/>
          <w:lang w:val="en-US" w:eastAsia="zh-CN"/>
        </w:rPr>
        <w:t>政府支出经济分类“类”级科目的</w:t>
      </w:r>
      <w:r>
        <w:rPr>
          <w:rFonts w:hint="eastAsia" w:ascii="仿宋" w:hAnsi="仿宋" w:eastAsia="仿宋" w:cs="仿宋"/>
          <w:color w:val="auto"/>
          <w:kern w:val="0"/>
          <w:sz w:val="32"/>
          <w:szCs w:val="32"/>
          <w:highlight w:val="none"/>
        </w:rPr>
        <w:t>预算调剂流程，采用短流程进行预算调剂，切实将科研放管服的精神落到实处；③科研项目不做绩效自评和绩效执行监控评价。</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、2018-2021省重大科技计划在研项目绩效自评综述</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81.65</w:t>
      </w:r>
      <w:r>
        <w:rPr>
          <w:rFonts w:hint="eastAsia" w:ascii="仿宋" w:hAnsi="仿宋" w:eastAsia="仿宋" w:cs="仿宋"/>
          <w:sz w:val="32"/>
          <w:szCs w:val="32"/>
          <w:highlight w:val="none"/>
        </w:rPr>
        <w:t>分。资金总额年初预算数22</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100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000元，全年预算数22</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100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000元。其中：财政资金年初预算数22</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100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000元，全年预算数22</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100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w:t>
      </w:r>
      <w:r>
        <w:rPr>
          <w:rFonts w:hint="eastAsia" w:ascii="仿宋" w:hAnsi="仿宋" w:eastAsia="仿宋" w:cs="仿宋"/>
          <w:sz w:val="32"/>
          <w:szCs w:val="32"/>
          <w:highlight w:val="none"/>
          <w:lang w:eastAsia="zh-CN"/>
        </w:rPr>
        <w:t>。</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资金总额全年执行数3</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636</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403.9元，执行率16.45%。</w:t>
      </w:r>
    </w:p>
    <w:p>
      <w:pPr>
        <w:autoSpaceDE w:val="0"/>
        <w:spacing w:line="360" w:lineRule="auto"/>
        <w:rPr>
          <w:rFonts w:hint="eastAsia" w:ascii="仿宋" w:hAnsi="仿宋" w:eastAsia="仿宋" w:cs="仿宋"/>
          <w:sz w:val="32"/>
          <w:szCs w:val="32"/>
          <w:highlight w:val="none"/>
        </w:rPr>
      </w:pPr>
      <w:r>
        <w:rPr>
          <w:rFonts w:hint="eastAsia" w:ascii="仿宋" w:hAnsi="仿宋" w:eastAsia="仿宋" w:cs="仿宋"/>
          <w:sz w:val="32"/>
          <w:szCs w:val="32"/>
          <w:highlight w:val="none"/>
        </w:rPr>
        <w:t>其中：财政资金全年执行数3</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636</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403.9元，执行率16.45%</w:t>
      </w:r>
    </w:p>
    <w:p>
      <w:pPr>
        <w:widowControl/>
        <w:spacing w:line="360" w:lineRule="auto"/>
        <w:ind w:firstLine="640"/>
        <w:rPr>
          <w:rFonts w:hint="eastAsia" w:ascii="仿宋" w:hAnsi="仿宋" w:eastAsia="仿宋" w:cs="仿宋"/>
          <w:sz w:val="32"/>
          <w:szCs w:val="32"/>
          <w:highlight w:val="none"/>
        </w:rPr>
      </w:pPr>
      <w:r>
        <w:rPr>
          <w:rFonts w:hint="eastAsia" w:ascii="仿宋" w:hAnsi="仿宋" w:eastAsia="仿宋" w:cs="仿宋"/>
          <w:sz w:val="32"/>
          <w:szCs w:val="32"/>
          <w:highlight w:val="none"/>
        </w:rPr>
        <w:t>项目绩效目标完成情况：项目包括了2020年12月立项的13个省重大项目/课题/子课题第三笔款项及2021年12月立项的45个省重大项目/课题/子课题的第二笔款项，所有项目均未到期。截止至2022年底，本项目EI收录论文数达到21篇，SCI收录论文数达到82篇，分析测试报告数量完成15份，国内外核心期刊发表论文数发表96篇，软件开发数量达到6项，专利申请数42项，获得省部级奖励2项，培养研究生122人，项目达到预期效果，目前按照任务书约定的执行年限正常进行。</w:t>
      </w:r>
      <w:r>
        <w:rPr>
          <w:rFonts w:hint="eastAsia" w:ascii="仿宋" w:hAnsi="仿宋" w:eastAsia="仿宋" w:cs="仿宋"/>
          <w:kern w:val="0"/>
          <w:sz w:val="32"/>
          <w:szCs w:val="32"/>
          <w:highlight w:val="none"/>
        </w:rPr>
        <w:t>项目按照任务书中约定的研究内容和考核指标如期完成了阶段性任务，</w:t>
      </w:r>
      <w:r>
        <w:rPr>
          <w:rFonts w:hint="eastAsia" w:ascii="仿宋" w:hAnsi="仿宋" w:eastAsia="仿宋" w:cs="仿宋"/>
          <w:sz w:val="32"/>
          <w:szCs w:val="32"/>
          <w:highlight w:val="none"/>
          <w:shd w:val="clear" w:color="auto" w:fill="FFFFFF"/>
        </w:rPr>
        <w:t>项目严格按照预算实施，各项工作有序开展，实效符合预期要求</w:t>
      </w:r>
      <w:r>
        <w:rPr>
          <w:rFonts w:hint="eastAsia" w:ascii="仿宋" w:hAnsi="仿宋" w:eastAsia="仿宋" w:cs="仿宋"/>
          <w:kern w:val="0"/>
          <w:sz w:val="32"/>
          <w:szCs w:val="32"/>
          <w:highlight w:val="none"/>
        </w:rPr>
        <w:t>。</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2</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4913" w:type="pct"/>
        <w:jc w:val="center"/>
        <w:tblLayout w:type="autofit"/>
        <w:tblCellMar>
          <w:top w:w="0" w:type="dxa"/>
          <w:left w:w="108" w:type="dxa"/>
          <w:bottom w:w="0" w:type="dxa"/>
          <w:right w:w="108" w:type="dxa"/>
        </w:tblCellMar>
      </w:tblPr>
      <w:tblGrid>
        <w:gridCol w:w="1460"/>
        <w:gridCol w:w="1513"/>
        <w:gridCol w:w="2763"/>
        <w:gridCol w:w="1367"/>
        <w:gridCol w:w="1271"/>
      </w:tblGrid>
      <w:tr>
        <w:tblPrEx>
          <w:tblCellMar>
            <w:top w:w="0" w:type="dxa"/>
            <w:left w:w="108" w:type="dxa"/>
            <w:bottom w:w="0" w:type="dxa"/>
            <w:right w:w="108" w:type="dxa"/>
          </w:tblCellMar>
        </w:tblPrEx>
        <w:trPr>
          <w:trHeight w:val="855" w:hRule="atLeast"/>
          <w:jc w:val="center"/>
        </w:trPr>
        <w:tc>
          <w:tcPr>
            <w:tcW w:w="871"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b/>
                <w:bCs/>
                <w:sz w:val="24"/>
                <w:highlight w:val="none"/>
              </w:rPr>
            </w:pPr>
            <w:r>
              <w:rPr>
                <w:rFonts w:hint="eastAsia" w:ascii="仿宋" w:hAnsi="仿宋" w:eastAsia="仿宋" w:cs="仿宋"/>
                <w:b/>
                <w:bCs/>
                <w:highlight w:val="none"/>
              </w:rPr>
              <w:t>一级指标</w:t>
            </w:r>
          </w:p>
        </w:tc>
        <w:tc>
          <w:tcPr>
            <w:tcW w:w="903" w:type="pct"/>
            <w:tcBorders>
              <w:top w:val="single" w:color="auto" w:sz="4" w:space="0"/>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b/>
                <w:bCs/>
                <w:highlight w:val="none"/>
              </w:rPr>
            </w:pPr>
            <w:r>
              <w:rPr>
                <w:rFonts w:hint="eastAsia" w:ascii="仿宋" w:hAnsi="仿宋" w:eastAsia="仿宋" w:cs="仿宋"/>
                <w:b/>
                <w:bCs/>
                <w:highlight w:val="none"/>
              </w:rPr>
              <w:t>二级指标</w:t>
            </w:r>
          </w:p>
        </w:tc>
        <w:tc>
          <w:tcPr>
            <w:tcW w:w="1649" w:type="pct"/>
            <w:tcBorders>
              <w:top w:val="single" w:color="auto" w:sz="4" w:space="0"/>
              <w:left w:val="nil"/>
              <w:bottom w:val="single" w:color="auto" w:sz="4" w:space="0"/>
              <w:right w:val="nil"/>
            </w:tcBorders>
            <w:shd w:val="clear" w:color="auto" w:fill="FFFFFF"/>
            <w:noWrap w:val="0"/>
            <w:vAlign w:val="center"/>
          </w:tcPr>
          <w:p>
            <w:pPr>
              <w:jc w:val="center"/>
              <w:rPr>
                <w:rFonts w:hint="eastAsia" w:ascii="仿宋" w:hAnsi="仿宋" w:eastAsia="仿宋" w:cs="仿宋"/>
                <w:b/>
                <w:bCs/>
                <w:highlight w:val="none"/>
              </w:rPr>
            </w:pPr>
            <w:r>
              <w:rPr>
                <w:rFonts w:hint="eastAsia" w:ascii="仿宋" w:hAnsi="仿宋" w:eastAsia="仿宋" w:cs="仿宋"/>
                <w:b/>
                <w:bCs/>
                <w:highlight w:val="none"/>
              </w:rPr>
              <w:t>三级指标</w:t>
            </w:r>
          </w:p>
        </w:tc>
        <w:tc>
          <w:tcPr>
            <w:tcW w:w="816" w:type="pct"/>
            <w:tcBorders>
              <w:top w:val="single" w:color="auto" w:sz="4" w:space="0"/>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b/>
                <w:bCs/>
                <w:highlight w:val="none"/>
              </w:rPr>
            </w:pPr>
            <w:r>
              <w:rPr>
                <w:rFonts w:hint="eastAsia" w:ascii="仿宋" w:hAnsi="仿宋" w:eastAsia="仿宋" w:cs="仿宋"/>
                <w:b/>
                <w:bCs/>
                <w:highlight w:val="none"/>
              </w:rPr>
              <w:t>年度指标值</w:t>
            </w:r>
          </w:p>
        </w:tc>
        <w:tc>
          <w:tcPr>
            <w:tcW w:w="758" w:type="pct"/>
            <w:tcBorders>
              <w:top w:val="single" w:color="auto" w:sz="4" w:space="0"/>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b/>
                <w:bCs/>
                <w:highlight w:val="none"/>
              </w:rPr>
            </w:pPr>
            <w:r>
              <w:rPr>
                <w:rFonts w:hint="eastAsia" w:ascii="仿宋" w:hAnsi="仿宋" w:eastAsia="仿宋" w:cs="仿宋"/>
                <w:b/>
                <w:bCs/>
                <w:highlight w:val="none"/>
              </w:rPr>
              <w:t>实际完成值</w:t>
            </w:r>
          </w:p>
        </w:tc>
      </w:tr>
      <w:tr>
        <w:tblPrEx>
          <w:tblCellMar>
            <w:top w:w="0" w:type="dxa"/>
            <w:left w:w="108" w:type="dxa"/>
            <w:bottom w:w="0" w:type="dxa"/>
            <w:right w:w="108" w:type="dxa"/>
          </w:tblCellMar>
        </w:tblPrEx>
        <w:trPr>
          <w:trHeight w:val="570"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kern w:val="0"/>
                <w:sz w:val="22"/>
                <w:szCs w:val="22"/>
                <w:highlight w:val="none"/>
              </w:rPr>
            </w:pPr>
            <w:r>
              <w:rPr>
                <w:rFonts w:hint="eastAsia" w:ascii="仿宋" w:hAnsi="仿宋" w:eastAsia="仿宋" w:cs="仿宋"/>
                <w:color w:val="000000"/>
                <w:kern w:val="0"/>
                <w:sz w:val="20"/>
                <w:szCs w:val="20"/>
                <w:highlight w:val="none"/>
                <w:lang w:bidi="ar"/>
              </w:rPr>
              <w:t>产出指标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数量指标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EI收录论文数</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20篇</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color w:val="000000"/>
                <w:kern w:val="0"/>
                <w:sz w:val="20"/>
                <w:szCs w:val="20"/>
                <w:highlight w:val="none"/>
                <w:lang w:bidi="ar"/>
              </w:rPr>
              <w:t>21篇</w:t>
            </w:r>
          </w:p>
        </w:tc>
      </w:tr>
      <w:tr>
        <w:tblPrEx>
          <w:tblCellMar>
            <w:top w:w="0" w:type="dxa"/>
            <w:left w:w="108" w:type="dxa"/>
            <w:bottom w:w="0" w:type="dxa"/>
            <w:right w:w="108" w:type="dxa"/>
          </w:tblCellMar>
        </w:tblPrEx>
        <w:trPr>
          <w:trHeight w:val="570"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kern w:val="0"/>
                <w:sz w:val="22"/>
                <w:szCs w:val="22"/>
                <w:highlight w:val="none"/>
              </w:rPr>
            </w:pPr>
            <w:r>
              <w:rPr>
                <w:rFonts w:hint="eastAsia" w:ascii="仿宋" w:hAnsi="仿宋" w:eastAsia="仿宋" w:cs="仿宋"/>
                <w:color w:val="000000"/>
                <w:kern w:val="0"/>
                <w:sz w:val="20"/>
                <w:szCs w:val="20"/>
                <w:highlight w:val="none"/>
                <w:lang w:bidi="ar"/>
              </w:rPr>
              <w:t>产出指标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数量指标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SCI收录论文数</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80篇</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color w:val="000000"/>
                <w:kern w:val="0"/>
                <w:sz w:val="20"/>
                <w:szCs w:val="20"/>
                <w:highlight w:val="none"/>
                <w:lang w:bidi="ar"/>
              </w:rPr>
              <w:t>82篇</w:t>
            </w:r>
          </w:p>
        </w:tc>
      </w:tr>
      <w:tr>
        <w:tblPrEx>
          <w:tblCellMar>
            <w:top w:w="0" w:type="dxa"/>
            <w:left w:w="108" w:type="dxa"/>
            <w:bottom w:w="0" w:type="dxa"/>
            <w:right w:w="108" w:type="dxa"/>
          </w:tblCellMar>
        </w:tblPrEx>
        <w:trPr>
          <w:trHeight w:val="570"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产出指标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数量指标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分析测试报告数量</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15份</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color w:val="000000"/>
                <w:kern w:val="0"/>
                <w:sz w:val="20"/>
                <w:szCs w:val="20"/>
                <w:highlight w:val="none"/>
                <w:lang w:bidi="ar"/>
              </w:rPr>
              <w:t>15份</w:t>
            </w:r>
          </w:p>
        </w:tc>
      </w:tr>
      <w:tr>
        <w:tblPrEx>
          <w:tblCellMar>
            <w:top w:w="0" w:type="dxa"/>
            <w:left w:w="108" w:type="dxa"/>
            <w:bottom w:w="0" w:type="dxa"/>
            <w:right w:w="108" w:type="dxa"/>
          </w:tblCellMar>
        </w:tblPrEx>
        <w:trPr>
          <w:trHeight w:val="570"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产出指标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数量指标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国内外核心期刊发表论文数</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90篇</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color w:val="000000"/>
                <w:kern w:val="0"/>
                <w:sz w:val="20"/>
                <w:szCs w:val="20"/>
                <w:highlight w:val="none"/>
                <w:lang w:bidi="ar"/>
              </w:rPr>
              <w:t>96篇</w:t>
            </w:r>
          </w:p>
        </w:tc>
      </w:tr>
      <w:tr>
        <w:tblPrEx>
          <w:tblCellMar>
            <w:top w:w="0" w:type="dxa"/>
            <w:left w:w="108" w:type="dxa"/>
            <w:bottom w:w="0" w:type="dxa"/>
            <w:right w:w="108" w:type="dxa"/>
          </w:tblCellMar>
        </w:tblPrEx>
        <w:trPr>
          <w:trHeight w:val="570"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产出指标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数量指标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软件开发数量</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6项</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color w:val="000000"/>
                <w:kern w:val="0"/>
                <w:sz w:val="20"/>
                <w:szCs w:val="20"/>
                <w:highlight w:val="none"/>
                <w:lang w:bidi="ar"/>
              </w:rPr>
              <w:t>6项</w:t>
            </w:r>
          </w:p>
        </w:tc>
      </w:tr>
      <w:tr>
        <w:tblPrEx>
          <w:tblCellMar>
            <w:top w:w="0" w:type="dxa"/>
            <w:left w:w="108" w:type="dxa"/>
            <w:bottom w:w="0" w:type="dxa"/>
            <w:right w:w="108" w:type="dxa"/>
          </w:tblCellMar>
        </w:tblPrEx>
        <w:trPr>
          <w:trHeight w:val="570"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产出指标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数量指标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验收合格率</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95%</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sz w:val="20"/>
                <w:szCs w:val="20"/>
                <w:highlight w:val="none"/>
              </w:rPr>
              <w:t>本项目为跨年度项目，目前按照任务书约定的执行年限正常进行，项目均未到期，尚未组织验收。</w:t>
            </w:r>
          </w:p>
        </w:tc>
      </w:tr>
      <w:tr>
        <w:tblPrEx>
          <w:tblCellMar>
            <w:top w:w="0" w:type="dxa"/>
            <w:left w:w="108" w:type="dxa"/>
            <w:bottom w:w="0" w:type="dxa"/>
            <w:right w:w="108" w:type="dxa"/>
          </w:tblCellMar>
        </w:tblPrEx>
        <w:trPr>
          <w:trHeight w:val="570"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kern w:val="0"/>
                <w:sz w:val="22"/>
                <w:szCs w:val="22"/>
                <w:highlight w:val="none"/>
              </w:rPr>
            </w:pPr>
            <w:r>
              <w:rPr>
                <w:rFonts w:hint="eastAsia" w:ascii="仿宋" w:hAnsi="仿宋" w:eastAsia="仿宋" w:cs="仿宋"/>
                <w:color w:val="000000"/>
                <w:kern w:val="0"/>
                <w:sz w:val="20"/>
                <w:szCs w:val="20"/>
                <w:highlight w:val="none"/>
                <w:lang w:bidi="ar"/>
              </w:rPr>
              <w:t>产出指标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数量指标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支持培养研究生数量</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100人</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color w:val="000000"/>
                <w:kern w:val="0"/>
                <w:sz w:val="20"/>
                <w:szCs w:val="20"/>
                <w:highlight w:val="none"/>
                <w:lang w:bidi="ar"/>
              </w:rPr>
              <w:t>122人</w:t>
            </w:r>
          </w:p>
        </w:tc>
      </w:tr>
      <w:tr>
        <w:tblPrEx>
          <w:tblCellMar>
            <w:top w:w="0" w:type="dxa"/>
            <w:left w:w="108" w:type="dxa"/>
            <w:bottom w:w="0" w:type="dxa"/>
            <w:right w:w="108" w:type="dxa"/>
          </w:tblCellMar>
        </w:tblPrEx>
        <w:trPr>
          <w:trHeight w:val="558"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产出指标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数量指标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专利申请数</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40项</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color w:val="000000"/>
                <w:kern w:val="0"/>
                <w:sz w:val="20"/>
                <w:szCs w:val="20"/>
                <w:highlight w:val="none"/>
                <w:lang w:bidi="ar"/>
              </w:rPr>
              <w:t>42项</w:t>
            </w:r>
          </w:p>
        </w:tc>
      </w:tr>
      <w:tr>
        <w:tblPrEx>
          <w:tblCellMar>
            <w:top w:w="0" w:type="dxa"/>
            <w:left w:w="108" w:type="dxa"/>
            <w:bottom w:w="0" w:type="dxa"/>
            <w:right w:w="108" w:type="dxa"/>
          </w:tblCellMar>
        </w:tblPrEx>
        <w:trPr>
          <w:trHeight w:val="570" w:hRule="atLeast"/>
          <w:jc w:val="center"/>
        </w:trPr>
        <w:tc>
          <w:tcPr>
            <w:tcW w:w="871"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效益指标</w:t>
            </w:r>
          </w:p>
        </w:tc>
        <w:tc>
          <w:tcPr>
            <w:tcW w:w="903"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社会效益指标</w:t>
            </w:r>
          </w:p>
        </w:tc>
        <w:tc>
          <w:tcPr>
            <w:tcW w:w="1649" w:type="pct"/>
            <w:tcBorders>
              <w:top w:val="nil"/>
              <w:left w:val="nil"/>
              <w:bottom w:val="single" w:color="auto" w:sz="4" w:space="0"/>
              <w:right w:val="nil"/>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获得省部级奖励</w:t>
            </w:r>
          </w:p>
        </w:tc>
        <w:tc>
          <w:tcPr>
            <w:tcW w:w="816" w:type="pct"/>
            <w:tcBorders>
              <w:top w:val="nil"/>
              <w:left w:val="single" w:color="auto" w:sz="4" w:space="0"/>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2"/>
                <w:szCs w:val="22"/>
                <w:highlight w:val="none"/>
              </w:rPr>
            </w:pPr>
            <w:r>
              <w:rPr>
                <w:rFonts w:hint="eastAsia" w:ascii="仿宋" w:hAnsi="仿宋" w:eastAsia="仿宋" w:cs="仿宋"/>
                <w:color w:val="000000"/>
                <w:kern w:val="0"/>
                <w:sz w:val="20"/>
                <w:szCs w:val="20"/>
                <w:highlight w:val="none"/>
                <w:lang w:bidi="ar"/>
              </w:rPr>
              <w:t>2项</w:t>
            </w:r>
          </w:p>
        </w:tc>
        <w:tc>
          <w:tcPr>
            <w:tcW w:w="758" w:type="pct"/>
            <w:tcBorders>
              <w:top w:val="nil"/>
              <w:left w:val="nil"/>
              <w:bottom w:val="single" w:color="auto" w:sz="4" w:space="0"/>
              <w:right w:val="single" w:color="auto" w:sz="4" w:space="0"/>
            </w:tcBorders>
            <w:shd w:val="clear" w:color="auto" w:fill="FFFFFF"/>
            <w:noWrap w:val="0"/>
            <w:vAlign w:val="center"/>
          </w:tcPr>
          <w:p>
            <w:pPr>
              <w:widowControl/>
              <w:jc w:val="center"/>
              <w:textAlignment w:val="center"/>
              <w:rPr>
                <w:rFonts w:hint="eastAsia" w:ascii="仿宋" w:hAnsi="仿宋" w:eastAsia="仿宋" w:cs="仿宋"/>
                <w:sz w:val="20"/>
                <w:szCs w:val="20"/>
                <w:highlight w:val="none"/>
              </w:rPr>
            </w:pPr>
            <w:r>
              <w:rPr>
                <w:rFonts w:hint="eastAsia" w:ascii="仿宋" w:hAnsi="仿宋" w:eastAsia="仿宋" w:cs="仿宋"/>
                <w:color w:val="000000"/>
                <w:kern w:val="0"/>
                <w:sz w:val="20"/>
                <w:szCs w:val="20"/>
                <w:highlight w:val="none"/>
                <w:lang w:bidi="ar"/>
              </w:rPr>
              <w:t>2项</w:t>
            </w:r>
          </w:p>
        </w:tc>
      </w:tr>
    </w:tbl>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widowControl/>
        <w:tabs>
          <w:tab w:val="left" w:pos="540"/>
        </w:tabs>
        <w:spacing w:line="360" w:lineRule="auto"/>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、中国工程科技发展战略研究院配套经费项目绩效自评综述</w:t>
      </w:r>
    </w:p>
    <w:p>
      <w:pPr>
        <w:widowControl/>
        <w:tabs>
          <w:tab w:val="left" w:pos="540"/>
        </w:tabs>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93.04</w:t>
      </w:r>
      <w:r>
        <w:rPr>
          <w:rFonts w:hint="eastAsia" w:ascii="仿宋" w:hAnsi="仿宋" w:eastAsia="仿宋" w:cs="仿宋"/>
          <w:sz w:val="32"/>
          <w:szCs w:val="32"/>
          <w:highlight w:val="none"/>
        </w:rPr>
        <w:t>分。资金总额年初预算数10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000元，资金总额全年预算数10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000元。其中：财政资金年初预算数10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000元，财政资金全年预算数10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w:t>
      </w:r>
      <w:r>
        <w:rPr>
          <w:rFonts w:hint="eastAsia" w:ascii="仿宋" w:hAnsi="仿宋" w:eastAsia="仿宋" w:cs="仿宋"/>
          <w:sz w:val="32"/>
          <w:szCs w:val="32"/>
          <w:highlight w:val="none"/>
          <w:lang w:eastAsia="zh-CN"/>
        </w:rPr>
        <w:t>。</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资金总额全年执行数5</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534</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969.59元，执行率55.35%。</w:t>
      </w:r>
    </w:p>
    <w:p>
      <w:pPr>
        <w:widowControl/>
        <w:tabs>
          <w:tab w:val="left" w:pos="540"/>
        </w:tabs>
        <w:spacing w:line="360" w:lineRule="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其中：财政资金全年执行数5</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534</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969.59元，执行率55.35%</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项目绩效目标完成情况：2022年海南研究院预计完成咨询研究报告10份，实际完成10份；预计呈送省政府院士建议8份，实际呈送7份；预计获得省委省政府领导或党中央、国务院、有关部委领导批示4份，实际获省领导批示</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rPr>
        <w:t>份。</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3</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pPr w:leftFromText="180" w:rightFromText="180" w:vertAnchor="text" w:horzAnchor="page" w:tblpXSpec="center" w:tblpY="27"/>
        <w:tblOverlap w:val="never"/>
        <w:tblW w:w="46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2"/>
        <w:gridCol w:w="1393"/>
        <w:gridCol w:w="2624"/>
        <w:gridCol w:w="1272"/>
        <w:gridCol w:w="13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65" w:type="pct"/>
            <w:noWrap w:val="0"/>
            <w:vAlign w:val="center"/>
          </w:tcPr>
          <w:p>
            <w:pPr>
              <w:widowControl/>
              <w:tabs>
                <w:tab w:val="left" w:pos="540"/>
              </w:tabs>
              <w:jc w:val="center"/>
              <w:rPr>
                <w:rFonts w:hint="eastAsia" w:ascii="仿宋" w:hAnsi="仿宋" w:eastAsia="仿宋" w:cs="仿宋"/>
                <w:b/>
                <w:bCs/>
                <w:sz w:val="20"/>
                <w:szCs w:val="20"/>
                <w:highlight w:val="none"/>
              </w:rPr>
            </w:pPr>
            <w:r>
              <w:rPr>
                <w:rFonts w:hint="eastAsia" w:ascii="仿宋" w:hAnsi="仿宋" w:eastAsia="仿宋" w:cs="仿宋"/>
                <w:b/>
                <w:bCs/>
                <w:szCs w:val="21"/>
                <w:highlight w:val="none"/>
              </w:rPr>
              <w:t>一级指标</w:t>
            </w:r>
          </w:p>
        </w:tc>
        <w:tc>
          <w:tcPr>
            <w:tcW w:w="872" w:type="pct"/>
            <w:noWrap w:val="0"/>
            <w:vAlign w:val="center"/>
          </w:tcPr>
          <w:p>
            <w:pPr>
              <w:widowControl/>
              <w:tabs>
                <w:tab w:val="left" w:pos="540"/>
              </w:tabs>
              <w:jc w:val="center"/>
              <w:rPr>
                <w:rFonts w:hint="eastAsia" w:ascii="仿宋" w:hAnsi="仿宋" w:eastAsia="仿宋" w:cs="仿宋"/>
                <w:b/>
                <w:bCs/>
                <w:sz w:val="20"/>
                <w:szCs w:val="20"/>
                <w:highlight w:val="none"/>
              </w:rPr>
            </w:pPr>
            <w:r>
              <w:rPr>
                <w:rFonts w:hint="eastAsia" w:ascii="仿宋" w:hAnsi="仿宋" w:eastAsia="仿宋" w:cs="仿宋"/>
                <w:b/>
                <w:bCs/>
                <w:szCs w:val="21"/>
                <w:highlight w:val="none"/>
              </w:rPr>
              <w:t>二级指标</w:t>
            </w:r>
          </w:p>
        </w:tc>
        <w:tc>
          <w:tcPr>
            <w:tcW w:w="1643" w:type="pct"/>
            <w:noWrap w:val="0"/>
            <w:vAlign w:val="center"/>
          </w:tcPr>
          <w:p>
            <w:pPr>
              <w:widowControl/>
              <w:tabs>
                <w:tab w:val="left" w:pos="540"/>
              </w:tabs>
              <w:jc w:val="center"/>
              <w:rPr>
                <w:rFonts w:hint="eastAsia" w:ascii="仿宋" w:hAnsi="仿宋" w:eastAsia="仿宋" w:cs="仿宋"/>
                <w:b/>
                <w:bCs/>
                <w:sz w:val="20"/>
                <w:szCs w:val="20"/>
                <w:highlight w:val="none"/>
              </w:rPr>
            </w:pPr>
            <w:r>
              <w:rPr>
                <w:rFonts w:hint="eastAsia" w:ascii="仿宋" w:hAnsi="仿宋" w:eastAsia="仿宋" w:cs="仿宋"/>
                <w:b/>
                <w:bCs/>
                <w:szCs w:val="21"/>
                <w:highlight w:val="none"/>
              </w:rPr>
              <w:t>三级指标</w:t>
            </w:r>
          </w:p>
        </w:tc>
        <w:tc>
          <w:tcPr>
            <w:tcW w:w="796" w:type="pct"/>
            <w:noWrap w:val="0"/>
            <w:vAlign w:val="center"/>
          </w:tcPr>
          <w:p>
            <w:pPr>
              <w:widowControl/>
              <w:tabs>
                <w:tab w:val="left" w:pos="540"/>
              </w:tabs>
              <w:jc w:val="center"/>
              <w:rPr>
                <w:rFonts w:hint="eastAsia" w:ascii="仿宋" w:hAnsi="仿宋" w:eastAsia="仿宋" w:cs="仿宋"/>
                <w:b/>
                <w:bCs/>
                <w:sz w:val="20"/>
                <w:szCs w:val="20"/>
                <w:highlight w:val="none"/>
              </w:rPr>
            </w:pPr>
            <w:r>
              <w:rPr>
                <w:rFonts w:hint="eastAsia" w:ascii="仿宋" w:hAnsi="仿宋" w:eastAsia="仿宋" w:cs="仿宋"/>
                <w:b/>
                <w:bCs/>
                <w:szCs w:val="21"/>
                <w:highlight w:val="none"/>
              </w:rPr>
              <w:t>年度指标值</w:t>
            </w:r>
          </w:p>
        </w:tc>
        <w:tc>
          <w:tcPr>
            <w:tcW w:w="822" w:type="pct"/>
            <w:noWrap w:val="0"/>
            <w:vAlign w:val="center"/>
          </w:tcPr>
          <w:p>
            <w:pPr>
              <w:widowControl/>
              <w:tabs>
                <w:tab w:val="left" w:pos="540"/>
              </w:tabs>
              <w:jc w:val="center"/>
              <w:rPr>
                <w:rFonts w:hint="eastAsia" w:ascii="仿宋" w:hAnsi="仿宋" w:eastAsia="仿宋" w:cs="仿宋"/>
                <w:b/>
                <w:bCs/>
                <w:sz w:val="20"/>
                <w:szCs w:val="20"/>
                <w:highlight w:val="none"/>
              </w:rPr>
            </w:pPr>
            <w:r>
              <w:rPr>
                <w:rFonts w:hint="eastAsia" w:ascii="仿宋" w:hAnsi="仿宋" w:eastAsia="仿宋" w:cs="仿宋"/>
                <w:b/>
                <w:bCs/>
                <w:szCs w:val="21"/>
                <w:highlight w:val="none"/>
              </w:rPr>
              <w:t>实际完成值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65" w:type="pct"/>
            <w:vMerge w:val="restar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产出指标</w:t>
            </w:r>
          </w:p>
        </w:tc>
        <w:tc>
          <w:tcPr>
            <w:tcW w:w="872"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数量指标</w:t>
            </w:r>
          </w:p>
        </w:tc>
        <w:tc>
          <w:tcPr>
            <w:tcW w:w="1643"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呈送国家及省委省政府的专项报告或咨询建议函</w:t>
            </w:r>
          </w:p>
        </w:tc>
        <w:tc>
          <w:tcPr>
            <w:tcW w:w="796" w:type="pct"/>
            <w:noWrap w:val="0"/>
            <w:vAlign w:val="center"/>
          </w:tcPr>
          <w:p>
            <w:pPr>
              <w:widowControl/>
              <w:tabs>
                <w:tab w:val="left" w:pos="540"/>
              </w:tabs>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8份</w:t>
            </w:r>
          </w:p>
        </w:tc>
        <w:tc>
          <w:tcPr>
            <w:tcW w:w="822" w:type="pct"/>
            <w:noWrap w:val="0"/>
            <w:vAlign w:val="center"/>
          </w:tcPr>
          <w:p>
            <w:pPr>
              <w:widowControl/>
              <w:tabs>
                <w:tab w:val="left" w:pos="540"/>
              </w:tabs>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7份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865" w:type="pct"/>
            <w:vMerge w:val="continue"/>
            <w:noWrap w:val="0"/>
            <w:vAlign w:val="center"/>
          </w:tcPr>
          <w:p>
            <w:pPr>
              <w:widowControl/>
              <w:tabs>
                <w:tab w:val="left" w:pos="540"/>
              </w:tabs>
              <w:jc w:val="center"/>
              <w:rPr>
                <w:rFonts w:hint="eastAsia" w:ascii="仿宋" w:hAnsi="仿宋" w:eastAsia="仿宋" w:cs="仿宋"/>
                <w:sz w:val="20"/>
                <w:szCs w:val="20"/>
                <w:highlight w:val="none"/>
              </w:rPr>
            </w:pPr>
          </w:p>
        </w:tc>
        <w:tc>
          <w:tcPr>
            <w:tcW w:w="872"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数量指标</w:t>
            </w:r>
          </w:p>
        </w:tc>
        <w:tc>
          <w:tcPr>
            <w:tcW w:w="1643"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项目立项</w:t>
            </w:r>
          </w:p>
        </w:tc>
        <w:tc>
          <w:tcPr>
            <w:tcW w:w="796" w:type="pct"/>
            <w:noWrap w:val="0"/>
            <w:vAlign w:val="center"/>
          </w:tcPr>
          <w:p>
            <w:pPr>
              <w:widowControl/>
              <w:tabs>
                <w:tab w:val="left" w:pos="540"/>
              </w:tabs>
              <w:spacing w:line="360" w:lineRule="auto"/>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rPr>
              <w:t>10</w:t>
            </w:r>
            <w:r>
              <w:rPr>
                <w:rFonts w:hint="eastAsia" w:ascii="仿宋" w:hAnsi="仿宋" w:eastAsia="仿宋" w:cs="仿宋"/>
                <w:szCs w:val="21"/>
                <w:highlight w:val="none"/>
                <w:lang w:val="en-US" w:eastAsia="zh-CN"/>
              </w:rPr>
              <w:t>项</w:t>
            </w:r>
          </w:p>
        </w:tc>
        <w:tc>
          <w:tcPr>
            <w:tcW w:w="822" w:type="pct"/>
            <w:noWrap w:val="0"/>
            <w:vAlign w:val="center"/>
          </w:tcPr>
          <w:p>
            <w:pPr>
              <w:widowControl/>
              <w:tabs>
                <w:tab w:val="left" w:pos="540"/>
              </w:tabs>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10</w:t>
            </w:r>
            <w:r>
              <w:rPr>
                <w:rFonts w:hint="eastAsia" w:ascii="仿宋" w:hAnsi="仿宋" w:eastAsia="仿宋" w:cs="仿宋"/>
                <w:szCs w:val="21"/>
                <w:highlight w:val="none"/>
                <w:lang w:val="en-US" w:eastAsia="zh-CN"/>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865" w:type="pct"/>
            <w:vMerge w:val="continue"/>
            <w:noWrap w:val="0"/>
            <w:vAlign w:val="center"/>
          </w:tcPr>
          <w:p>
            <w:pPr>
              <w:widowControl/>
              <w:tabs>
                <w:tab w:val="left" w:pos="540"/>
              </w:tabs>
              <w:jc w:val="center"/>
              <w:rPr>
                <w:rFonts w:hint="eastAsia" w:ascii="仿宋" w:hAnsi="仿宋" w:eastAsia="仿宋" w:cs="仿宋"/>
                <w:sz w:val="20"/>
                <w:szCs w:val="20"/>
                <w:highlight w:val="none"/>
              </w:rPr>
            </w:pPr>
          </w:p>
        </w:tc>
        <w:tc>
          <w:tcPr>
            <w:tcW w:w="872"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数量指标</w:t>
            </w:r>
          </w:p>
        </w:tc>
        <w:tc>
          <w:tcPr>
            <w:tcW w:w="1643"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咨询研究报告</w:t>
            </w:r>
          </w:p>
        </w:tc>
        <w:tc>
          <w:tcPr>
            <w:tcW w:w="796" w:type="pct"/>
            <w:noWrap w:val="0"/>
            <w:vAlign w:val="center"/>
          </w:tcPr>
          <w:p>
            <w:pPr>
              <w:widowControl/>
              <w:tabs>
                <w:tab w:val="left" w:pos="540"/>
              </w:tabs>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10份</w:t>
            </w:r>
          </w:p>
        </w:tc>
        <w:tc>
          <w:tcPr>
            <w:tcW w:w="822" w:type="pct"/>
            <w:noWrap w:val="0"/>
            <w:vAlign w:val="center"/>
          </w:tcPr>
          <w:p>
            <w:pPr>
              <w:widowControl/>
              <w:tabs>
                <w:tab w:val="left" w:pos="540"/>
              </w:tabs>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10份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65" w:type="pct"/>
            <w:noWrap w:val="0"/>
            <w:vAlign w:val="center"/>
          </w:tcPr>
          <w:p>
            <w:pPr>
              <w:widowControl/>
              <w:tabs>
                <w:tab w:val="left" w:pos="540"/>
              </w:tabs>
              <w:spacing w:line="360" w:lineRule="auto"/>
              <w:rPr>
                <w:rFonts w:hint="eastAsia" w:ascii="仿宋" w:hAnsi="仿宋" w:eastAsia="仿宋" w:cs="仿宋"/>
                <w:sz w:val="20"/>
                <w:szCs w:val="20"/>
                <w:highlight w:val="none"/>
              </w:rPr>
            </w:pPr>
            <w:r>
              <w:rPr>
                <w:rFonts w:hint="eastAsia" w:ascii="仿宋" w:hAnsi="仿宋" w:eastAsia="仿宋" w:cs="仿宋"/>
                <w:szCs w:val="21"/>
                <w:highlight w:val="none"/>
              </w:rPr>
              <w:t>效益指标</w:t>
            </w:r>
          </w:p>
        </w:tc>
        <w:tc>
          <w:tcPr>
            <w:tcW w:w="872"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社会效益指标</w:t>
            </w:r>
          </w:p>
        </w:tc>
        <w:tc>
          <w:tcPr>
            <w:tcW w:w="1643"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获得省委省政府领导或党中央、国务院、有关部委领导批示</w:t>
            </w:r>
          </w:p>
        </w:tc>
        <w:tc>
          <w:tcPr>
            <w:tcW w:w="796" w:type="pct"/>
            <w:noWrap w:val="0"/>
            <w:vAlign w:val="center"/>
          </w:tcPr>
          <w:p>
            <w:pPr>
              <w:widowControl/>
              <w:tabs>
                <w:tab w:val="left" w:pos="540"/>
              </w:tabs>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4份</w:t>
            </w:r>
          </w:p>
        </w:tc>
        <w:tc>
          <w:tcPr>
            <w:tcW w:w="822" w:type="pct"/>
            <w:noWrap w:val="0"/>
            <w:vAlign w:val="center"/>
          </w:tcPr>
          <w:p>
            <w:pPr>
              <w:widowControl/>
              <w:tabs>
                <w:tab w:val="left" w:pos="540"/>
              </w:tabs>
              <w:spacing w:line="360" w:lineRule="auto"/>
              <w:jc w:val="center"/>
              <w:rPr>
                <w:rFonts w:hint="eastAsia" w:ascii="仿宋" w:hAnsi="仿宋" w:eastAsia="仿宋" w:cs="仿宋"/>
                <w:szCs w:val="21"/>
                <w:highlight w:val="none"/>
              </w:rPr>
            </w:pPr>
            <w:r>
              <w:rPr>
                <w:rFonts w:hint="eastAsia" w:ascii="仿宋" w:hAnsi="仿宋" w:eastAsia="仿宋" w:cs="仿宋"/>
                <w:szCs w:val="21"/>
                <w:highlight w:val="none"/>
              </w:rPr>
              <w:t>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65" w:type="pct"/>
            <w:noWrap w:val="0"/>
            <w:vAlign w:val="center"/>
          </w:tcPr>
          <w:p>
            <w:pPr>
              <w:widowControl/>
              <w:tabs>
                <w:tab w:val="left" w:pos="540"/>
              </w:tabs>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满意指标</w:t>
            </w:r>
          </w:p>
        </w:tc>
        <w:tc>
          <w:tcPr>
            <w:tcW w:w="872"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服务对象满意度</w:t>
            </w:r>
          </w:p>
        </w:tc>
        <w:tc>
          <w:tcPr>
            <w:tcW w:w="1643" w:type="pct"/>
            <w:noWrap w:val="0"/>
            <w:vAlign w:val="center"/>
          </w:tcPr>
          <w:p>
            <w:pPr>
              <w:widowControl/>
              <w:tabs>
                <w:tab w:val="left" w:pos="540"/>
              </w:tabs>
              <w:spacing w:line="360" w:lineRule="auto"/>
              <w:jc w:val="center"/>
              <w:rPr>
                <w:rFonts w:hint="eastAsia" w:ascii="仿宋" w:hAnsi="仿宋" w:eastAsia="仿宋" w:cs="仿宋"/>
                <w:sz w:val="20"/>
                <w:szCs w:val="20"/>
                <w:highlight w:val="none"/>
              </w:rPr>
            </w:pPr>
            <w:r>
              <w:rPr>
                <w:rFonts w:hint="eastAsia" w:ascii="仿宋" w:hAnsi="仿宋" w:eastAsia="仿宋" w:cs="仿宋"/>
                <w:szCs w:val="21"/>
                <w:highlight w:val="none"/>
              </w:rPr>
              <w:t>中国工程院和海南省人民政府满意度</w:t>
            </w:r>
          </w:p>
        </w:tc>
        <w:tc>
          <w:tcPr>
            <w:tcW w:w="796" w:type="pct"/>
            <w:noWrap w:val="0"/>
            <w:vAlign w:val="center"/>
          </w:tcPr>
          <w:p>
            <w:pPr>
              <w:widowControl/>
              <w:tabs>
                <w:tab w:val="left" w:pos="540"/>
              </w:tabs>
              <w:spacing w:line="360" w:lineRule="auto"/>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rPr>
              <w:t>95</w:t>
            </w:r>
            <w:r>
              <w:rPr>
                <w:rFonts w:hint="eastAsia" w:ascii="仿宋" w:hAnsi="仿宋" w:eastAsia="仿宋" w:cs="仿宋"/>
                <w:szCs w:val="21"/>
                <w:highlight w:val="none"/>
                <w:lang w:val="en-US" w:eastAsia="zh-CN"/>
              </w:rPr>
              <w:t>%</w:t>
            </w:r>
          </w:p>
        </w:tc>
        <w:tc>
          <w:tcPr>
            <w:tcW w:w="822" w:type="pct"/>
            <w:noWrap w:val="0"/>
            <w:vAlign w:val="center"/>
          </w:tcPr>
          <w:p>
            <w:pPr>
              <w:widowControl/>
              <w:tabs>
                <w:tab w:val="left" w:pos="540"/>
              </w:tabs>
              <w:spacing w:line="360" w:lineRule="auto"/>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rPr>
              <w:t>95</w:t>
            </w:r>
            <w:r>
              <w:rPr>
                <w:rFonts w:hint="eastAsia" w:ascii="仿宋" w:hAnsi="仿宋" w:eastAsia="仿宋" w:cs="仿宋"/>
                <w:szCs w:val="21"/>
                <w:highlight w:val="none"/>
                <w:lang w:val="en-US" w:eastAsia="zh-CN"/>
              </w:rPr>
              <w:t>%</w:t>
            </w:r>
          </w:p>
        </w:tc>
      </w:tr>
    </w:tbl>
    <w:p>
      <w:pPr>
        <w:widowControl/>
        <w:adjustRightInd w:val="0"/>
        <w:snapToGrid w:val="0"/>
        <w:spacing w:line="360" w:lineRule="auto"/>
        <w:ind w:firstLine="641"/>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rPr>
        <w:t>发现的主要问题、原因及建议：</w:t>
      </w:r>
    </w:p>
    <w:p>
      <w:pPr>
        <w:widowControl/>
        <w:adjustRightInd w:val="0"/>
        <w:snapToGrid w:val="0"/>
        <w:spacing w:line="360" w:lineRule="auto"/>
        <w:ind w:firstLine="641"/>
        <w:rPr>
          <w:rFonts w:hint="eastAsia" w:ascii="仿宋" w:hAnsi="仿宋" w:eastAsia="仿宋" w:cs="仿宋"/>
          <w:color w:val="000000"/>
          <w:kern w:val="0"/>
          <w:sz w:val="32"/>
          <w:szCs w:val="32"/>
          <w:highlight w:val="none"/>
        </w:rPr>
      </w:pPr>
      <w:r>
        <w:rPr>
          <w:rFonts w:hint="eastAsia" w:ascii="仿宋" w:hAnsi="仿宋" w:eastAsia="仿宋" w:cs="仿宋"/>
          <w:color w:val="000000"/>
          <w:kern w:val="0"/>
          <w:sz w:val="32"/>
          <w:szCs w:val="32"/>
          <w:highlight w:val="none"/>
        </w:rPr>
        <w:t>项目的有序推进得益于领导高度重视。海南研究院在中国工程院、海南省委省政府的有力领导下，在中国工程院、海南省科技厅和海南大学有关领导的精心指导下，加强责任落实，聚焦服务国家和海南需求，推进战略咨询研究项目开展，有序规范决策运行与管理。但是，2022年下半年疫情对项目执行造成一定的影响，出现如项目经费需调整、项目进展需后延等情况，使得经费执行率不高。同时，建立项目依托单位对合作单位经费监管的有效机制和手段，依托单位对合作单位进行不定期财务检查，了解合作单位的项目执行情况，及时对发现问题提出整改意见。</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、院士创新平台科研项目经费项目绩效自评综述</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30.48</w:t>
      </w:r>
      <w:r>
        <w:rPr>
          <w:rFonts w:hint="eastAsia" w:ascii="仿宋" w:hAnsi="仿宋" w:eastAsia="仿宋" w:cs="仿宋"/>
          <w:sz w:val="32"/>
          <w:szCs w:val="32"/>
          <w:highlight w:val="none"/>
        </w:rPr>
        <w:t>分。</w:t>
      </w:r>
      <w:r>
        <w:rPr>
          <w:rFonts w:hint="eastAsia" w:ascii="仿宋" w:hAnsi="仿宋" w:eastAsia="仿宋" w:cs="仿宋"/>
          <w:color w:val="auto"/>
          <w:sz w:val="32"/>
          <w:szCs w:val="32"/>
          <w:highlight w:val="none"/>
        </w:rPr>
        <w:t>资金总额年初预算数8</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390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000元，全年预算数7</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690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000元。其中：财政资金年初预算数8</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390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000元，全年预算数7</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690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资金总额全年执行数371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207.09元，执行率</w:t>
      </w:r>
      <w:r>
        <w:rPr>
          <w:rFonts w:hint="eastAsia" w:ascii="仿宋" w:hAnsi="仿宋" w:eastAsia="仿宋" w:cs="仿宋"/>
          <w:color w:val="auto"/>
          <w:sz w:val="32"/>
          <w:szCs w:val="32"/>
          <w:highlight w:val="none"/>
          <w:lang w:val="en-US" w:eastAsia="zh-CN"/>
        </w:rPr>
        <w:t>4.83</w:t>
      </w:r>
      <w:r>
        <w:rPr>
          <w:rFonts w:hint="eastAsia" w:ascii="仿宋" w:hAnsi="仿宋" w:eastAsia="仿宋" w:cs="仿宋"/>
          <w:color w:val="auto"/>
          <w:sz w:val="32"/>
          <w:szCs w:val="32"/>
          <w:highlight w:val="none"/>
        </w:rPr>
        <w:t>%。其中：财政资金全年执行数371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207.09元，执行率</w:t>
      </w:r>
      <w:r>
        <w:rPr>
          <w:rFonts w:hint="eastAsia" w:ascii="仿宋" w:hAnsi="仿宋" w:eastAsia="仿宋" w:cs="仿宋"/>
          <w:color w:val="auto"/>
          <w:sz w:val="32"/>
          <w:szCs w:val="32"/>
          <w:highlight w:val="none"/>
          <w:lang w:val="en-US" w:eastAsia="zh-CN"/>
        </w:rPr>
        <w:t>4.83</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绩效目标完成情况：项目起止时间为2022年3月至2025年3月，截止至2022年底，本项目完成论文发表6篇，引进人才1位，培养学生6名，项目达到年度预期效果，目前按照任务书约定的执行年限正常进行。项目按照任务书中约定的研究内容和考核指标</w:t>
      </w:r>
      <w:r>
        <w:rPr>
          <w:rFonts w:hint="eastAsia" w:ascii="仿宋" w:hAnsi="仿宋" w:eastAsia="仿宋" w:cs="仿宋"/>
          <w:color w:val="auto"/>
          <w:sz w:val="32"/>
          <w:szCs w:val="32"/>
          <w:highlight w:val="none"/>
          <w:lang w:val="en-US" w:eastAsia="zh-CN"/>
        </w:rPr>
        <w:t>如期</w:t>
      </w:r>
      <w:r>
        <w:rPr>
          <w:rFonts w:hint="eastAsia" w:ascii="仿宋" w:hAnsi="仿宋" w:eastAsia="仿宋" w:cs="仿宋"/>
          <w:color w:val="auto"/>
          <w:sz w:val="32"/>
          <w:szCs w:val="32"/>
          <w:highlight w:val="none"/>
        </w:rPr>
        <w:t>完成了阶段性任务，项目严格按照预算实施，各项工作有序开展，实效符合预期要求。</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4</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4</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4754" w:type="pct"/>
        <w:jc w:val="center"/>
        <w:tblLayout w:type="autofit"/>
        <w:tblCellMar>
          <w:top w:w="0" w:type="dxa"/>
          <w:left w:w="108" w:type="dxa"/>
          <w:bottom w:w="0" w:type="dxa"/>
          <w:right w:w="108" w:type="dxa"/>
        </w:tblCellMar>
      </w:tblPr>
      <w:tblGrid>
        <w:gridCol w:w="1265"/>
        <w:gridCol w:w="1513"/>
        <w:gridCol w:w="2414"/>
        <w:gridCol w:w="1504"/>
        <w:gridCol w:w="1407"/>
      </w:tblGrid>
      <w:tr>
        <w:tblPrEx>
          <w:tblCellMar>
            <w:top w:w="0" w:type="dxa"/>
            <w:left w:w="108" w:type="dxa"/>
            <w:bottom w:w="0" w:type="dxa"/>
            <w:right w:w="108" w:type="dxa"/>
          </w:tblCellMar>
        </w:tblPrEx>
        <w:trPr>
          <w:trHeight w:val="855" w:hRule="atLeast"/>
          <w:jc w:val="center"/>
        </w:trPr>
        <w:tc>
          <w:tcPr>
            <w:tcW w:w="1265"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b/>
                <w:bCs/>
                <w:color w:val="auto"/>
                <w:sz w:val="24"/>
                <w:highlight w:val="none"/>
              </w:rPr>
            </w:pPr>
            <w:r>
              <w:rPr>
                <w:rFonts w:hint="eastAsia" w:ascii="仿宋" w:hAnsi="仿宋" w:eastAsia="仿宋" w:cs="仿宋"/>
                <w:b/>
                <w:bCs/>
                <w:color w:val="auto"/>
                <w:sz w:val="20"/>
                <w:szCs w:val="20"/>
                <w:highlight w:val="none"/>
              </w:rPr>
              <w:t>一级指标</w:t>
            </w:r>
          </w:p>
        </w:tc>
        <w:tc>
          <w:tcPr>
            <w:tcW w:w="1513" w:type="dxa"/>
            <w:tcBorders>
              <w:top w:val="single" w:color="auto" w:sz="4" w:space="0"/>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b/>
                <w:bCs/>
                <w:color w:val="auto"/>
                <w:highlight w:val="none"/>
              </w:rPr>
            </w:pPr>
            <w:r>
              <w:rPr>
                <w:rFonts w:hint="eastAsia" w:ascii="仿宋" w:hAnsi="仿宋" w:eastAsia="仿宋" w:cs="仿宋"/>
                <w:b/>
                <w:bCs/>
                <w:color w:val="auto"/>
                <w:sz w:val="20"/>
                <w:szCs w:val="20"/>
                <w:highlight w:val="none"/>
              </w:rPr>
              <w:t>二级指标</w:t>
            </w:r>
          </w:p>
        </w:tc>
        <w:tc>
          <w:tcPr>
            <w:tcW w:w="2414" w:type="dxa"/>
            <w:tcBorders>
              <w:top w:val="single" w:color="auto" w:sz="4" w:space="0"/>
              <w:left w:val="nil"/>
              <w:bottom w:val="single" w:color="auto" w:sz="4" w:space="0"/>
              <w:right w:val="nil"/>
            </w:tcBorders>
            <w:shd w:val="clear" w:color="auto" w:fill="FFFFFF"/>
            <w:noWrap w:val="0"/>
            <w:vAlign w:val="center"/>
          </w:tcPr>
          <w:p>
            <w:pPr>
              <w:jc w:val="center"/>
              <w:rPr>
                <w:rFonts w:hint="eastAsia" w:ascii="仿宋" w:hAnsi="仿宋" w:eastAsia="仿宋" w:cs="仿宋"/>
                <w:b/>
                <w:bCs/>
                <w:color w:val="auto"/>
                <w:highlight w:val="none"/>
              </w:rPr>
            </w:pPr>
            <w:r>
              <w:rPr>
                <w:rFonts w:hint="eastAsia" w:ascii="仿宋" w:hAnsi="仿宋" w:eastAsia="仿宋" w:cs="仿宋"/>
                <w:b/>
                <w:bCs/>
                <w:color w:val="auto"/>
                <w:sz w:val="20"/>
                <w:szCs w:val="20"/>
                <w:highlight w:val="none"/>
              </w:rPr>
              <w:t>三级指标</w:t>
            </w:r>
          </w:p>
        </w:tc>
        <w:tc>
          <w:tcPr>
            <w:tcW w:w="150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b/>
                <w:bCs/>
                <w:color w:val="auto"/>
                <w:highlight w:val="none"/>
              </w:rPr>
            </w:pPr>
            <w:r>
              <w:rPr>
                <w:rFonts w:hint="eastAsia" w:ascii="仿宋" w:hAnsi="仿宋" w:eastAsia="仿宋" w:cs="仿宋"/>
                <w:b/>
                <w:bCs/>
                <w:color w:val="auto"/>
                <w:sz w:val="20"/>
                <w:szCs w:val="20"/>
                <w:highlight w:val="none"/>
              </w:rPr>
              <w:t>年度指标值</w:t>
            </w:r>
          </w:p>
        </w:tc>
        <w:tc>
          <w:tcPr>
            <w:tcW w:w="1407" w:type="dxa"/>
            <w:tcBorders>
              <w:top w:val="single" w:color="auto" w:sz="4" w:space="0"/>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b/>
                <w:bCs/>
                <w:color w:val="auto"/>
                <w:highlight w:val="none"/>
              </w:rPr>
            </w:pPr>
            <w:r>
              <w:rPr>
                <w:rFonts w:hint="eastAsia" w:ascii="仿宋" w:hAnsi="仿宋" w:eastAsia="仿宋" w:cs="仿宋"/>
                <w:b/>
                <w:bCs/>
                <w:color w:val="auto"/>
                <w:highlight w:val="none"/>
              </w:rPr>
              <w:t>实际完成值</w:t>
            </w:r>
          </w:p>
        </w:tc>
      </w:tr>
      <w:tr>
        <w:tblPrEx>
          <w:tblCellMar>
            <w:top w:w="0" w:type="dxa"/>
            <w:left w:w="108" w:type="dxa"/>
            <w:bottom w:w="0" w:type="dxa"/>
            <w:right w:w="108" w:type="dxa"/>
          </w:tblCellMar>
        </w:tblPrEx>
        <w:trPr>
          <w:trHeight w:val="570" w:hRule="atLeast"/>
          <w:jc w:val="center"/>
        </w:trPr>
        <w:tc>
          <w:tcPr>
            <w:tcW w:w="1265"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kern w:val="0"/>
                <w:sz w:val="22"/>
                <w:szCs w:val="22"/>
                <w:highlight w:val="none"/>
              </w:rPr>
            </w:pPr>
            <w:r>
              <w:rPr>
                <w:rFonts w:hint="eastAsia" w:ascii="仿宋" w:hAnsi="仿宋" w:eastAsia="仿宋" w:cs="仿宋"/>
                <w:b w:val="0"/>
                <w:bCs w:val="0"/>
                <w:color w:val="auto"/>
                <w:sz w:val="20"/>
                <w:szCs w:val="20"/>
                <w:highlight w:val="none"/>
                <w:lang w:val="en-US" w:eastAsia="zh-CN"/>
              </w:rPr>
              <w:t>产出指标</w:t>
            </w:r>
          </w:p>
        </w:tc>
        <w:tc>
          <w:tcPr>
            <w:tcW w:w="1513" w:type="dxa"/>
            <w:tcBorders>
              <w:top w:val="nil"/>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数量指标</w:t>
            </w:r>
          </w:p>
        </w:tc>
        <w:tc>
          <w:tcPr>
            <w:tcW w:w="2414" w:type="dxa"/>
            <w:tcBorders>
              <w:top w:val="nil"/>
              <w:left w:val="nil"/>
              <w:bottom w:val="single" w:color="auto" w:sz="4" w:space="0"/>
              <w:right w:val="nil"/>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发表论文</w:t>
            </w:r>
          </w:p>
        </w:tc>
        <w:tc>
          <w:tcPr>
            <w:tcW w:w="1504"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16篇</w:t>
            </w:r>
          </w:p>
        </w:tc>
        <w:tc>
          <w:tcPr>
            <w:tcW w:w="1407" w:type="dxa"/>
            <w:tcBorders>
              <w:top w:val="nil"/>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b w:val="0"/>
                <w:bCs w:val="0"/>
                <w:color w:val="auto"/>
                <w:sz w:val="20"/>
                <w:szCs w:val="20"/>
                <w:highlight w:val="none"/>
                <w:lang w:val="en-US" w:eastAsia="zh-CN"/>
              </w:rPr>
              <w:t>6篇</w:t>
            </w:r>
          </w:p>
        </w:tc>
      </w:tr>
      <w:tr>
        <w:tblPrEx>
          <w:tblCellMar>
            <w:top w:w="0" w:type="dxa"/>
            <w:left w:w="108" w:type="dxa"/>
            <w:bottom w:w="0" w:type="dxa"/>
            <w:right w:w="108" w:type="dxa"/>
          </w:tblCellMar>
        </w:tblPrEx>
        <w:trPr>
          <w:trHeight w:val="570" w:hRule="atLeast"/>
          <w:jc w:val="center"/>
        </w:trPr>
        <w:tc>
          <w:tcPr>
            <w:tcW w:w="1265"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kern w:val="0"/>
                <w:sz w:val="22"/>
                <w:szCs w:val="22"/>
                <w:highlight w:val="none"/>
              </w:rPr>
            </w:pPr>
            <w:r>
              <w:rPr>
                <w:rFonts w:hint="eastAsia" w:ascii="仿宋" w:hAnsi="仿宋" w:eastAsia="仿宋" w:cs="仿宋"/>
                <w:b w:val="0"/>
                <w:bCs w:val="0"/>
                <w:color w:val="auto"/>
                <w:sz w:val="20"/>
                <w:szCs w:val="20"/>
                <w:highlight w:val="none"/>
                <w:lang w:val="en-US" w:eastAsia="zh-CN"/>
              </w:rPr>
              <w:t>产出指标</w:t>
            </w:r>
          </w:p>
        </w:tc>
        <w:tc>
          <w:tcPr>
            <w:tcW w:w="1513" w:type="dxa"/>
            <w:tcBorders>
              <w:top w:val="nil"/>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数量指标</w:t>
            </w:r>
          </w:p>
        </w:tc>
        <w:tc>
          <w:tcPr>
            <w:tcW w:w="2414" w:type="dxa"/>
            <w:tcBorders>
              <w:top w:val="nil"/>
              <w:left w:val="nil"/>
              <w:bottom w:val="single" w:color="auto" w:sz="4" w:space="0"/>
              <w:right w:val="nil"/>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引进人才</w:t>
            </w:r>
          </w:p>
        </w:tc>
        <w:tc>
          <w:tcPr>
            <w:tcW w:w="1504"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4人</w:t>
            </w:r>
          </w:p>
        </w:tc>
        <w:tc>
          <w:tcPr>
            <w:tcW w:w="1407" w:type="dxa"/>
            <w:tcBorders>
              <w:top w:val="nil"/>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b w:val="0"/>
                <w:bCs w:val="0"/>
                <w:color w:val="auto"/>
                <w:sz w:val="20"/>
                <w:szCs w:val="20"/>
                <w:highlight w:val="none"/>
                <w:lang w:val="en-US" w:eastAsia="zh-CN"/>
              </w:rPr>
              <w:t>1人</w:t>
            </w:r>
          </w:p>
        </w:tc>
      </w:tr>
      <w:tr>
        <w:tblPrEx>
          <w:tblCellMar>
            <w:top w:w="0" w:type="dxa"/>
            <w:left w:w="108" w:type="dxa"/>
            <w:bottom w:w="0" w:type="dxa"/>
            <w:right w:w="108" w:type="dxa"/>
          </w:tblCellMar>
        </w:tblPrEx>
        <w:trPr>
          <w:trHeight w:val="570" w:hRule="atLeast"/>
          <w:jc w:val="center"/>
        </w:trPr>
        <w:tc>
          <w:tcPr>
            <w:tcW w:w="1265"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效益指标</w:t>
            </w:r>
          </w:p>
        </w:tc>
        <w:tc>
          <w:tcPr>
            <w:tcW w:w="1513" w:type="dxa"/>
            <w:tcBorders>
              <w:top w:val="nil"/>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社会效益指标</w:t>
            </w:r>
          </w:p>
        </w:tc>
        <w:tc>
          <w:tcPr>
            <w:tcW w:w="2414" w:type="dxa"/>
            <w:tcBorders>
              <w:top w:val="nil"/>
              <w:left w:val="nil"/>
              <w:bottom w:val="single" w:color="auto" w:sz="4" w:space="0"/>
              <w:right w:val="nil"/>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培养学生</w:t>
            </w:r>
          </w:p>
        </w:tc>
        <w:tc>
          <w:tcPr>
            <w:tcW w:w="1504"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sz w:val="22"/>
                <w:szCs w:val="22"/>
                <w:highlight w:val="none"/>
              </w:rPr>
            </w:pPr>
            <w:r>
              <w:rPr>
                <w:rFonts w:hint="eastAsia" w:ascii="仿宋" w:hAnsi="仿宋" w:eastAsia="仿宋" w:cs="仿宋"/>
                <w:b w:val="0"/>
                <w:bCs w:val="0"/>
                <w:color w:val="auto"/>
                <w:sz w:val="20"/>
                <w:szCs w:val="20"/>
                <w:highlight w:val="none"/>
                <w:lang w:val="en-US" w:eastAsia="zh-CN"/>
              </w:rPr>
              <w:t>16名</w:t>
            </w:r>
          </w:p>
        </w:tc>
        <w:tc>
          <w:tcPr>
            <w:tcW w:w="1407" w:type="dxa"/>
            <w:tcBorders>
              <w:top w:val="nil"/>
              <w:left w:val="nil"/>
              <w:bottom w:val="single" w:color="auto" w:sz="4" w:space="0"/>
              <w:right w:val="single" w:color="auto" w:sz="4" w:space="0"/>
            </w:tcBorders>
            <w:shd w:val="clear" w:color="auto" w:fill="FFFFFF"/>
            <w:noWrap w:val="0"/>
            <w:vAlign w:val="center"/>
          </w:tcPr>
          <w:p>
            <w:pPr>
              <w:jc w:val="center"/>
              <w:rPr>
                <w:rFonts w:hint="eastAsia" w:ascii="仿宋" w:hAnsi="仿宋" w:eastAsia="仿宋" w:cs="仿宋"/>
                <w:color w:val="auto"/>
                <w:kern w:val="2"/>
                <w:sz w:val="22"/>
                <w:szCs w:val="22"/>
                <w:highlight w:val="none"/>
                <w:lang w:val="en-US" w:eastAsia="zh-CN" w:bidi="ar-SA"/>
              </w:rPr>
            </w:pPr>
            <w:r>
              <w:rPr>
                <w:rFonts w:hint="eastAsia" w:ascii="仿宋" w:hAnsi="仿宋" w:eastAsia="仿宋" w:cs="仿宋"/>
                <w:b w:val="0"/>
                <w:bCs w:val="0"/>
                <w:color w:val="auto"/>
                <w:sz w:val="20"/>
                <w:szCs w:val="20"/>
                <w:highlight w:val="none"/>
                <w:lang w:val="en-US" w:eastAsia="zh-CN"/>
              </w:rPr>
              <w:t>6名</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widowControl/>
        <w:tabs>
          <w:tab w:val="left" w:pos="540"/>
        </w:tabs>
        <w:spacing w:line="360" w:lineRule="auto"/>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rPr>
        <w:t>、省重点研发计划项目绩效自评综述</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22.03</w:t>
      </w:r>
      <w:r>
        <w:rPr>
          <w:rFonts w:hint="eastAsia" w:ascii="仿宋" w:hAnsi="仿宋" w:eastAsia="仿宋" w:cs="仿宋"/>
          <w:sz w:val="32"/>
          <w:szCs w:val="32"/>
          <w:highlight w:val="none"/>
        </w:rPr>
        <w:t>分。资金总额年初预算数8,200,000元，全年预算数8,200,000元。其中：财政资金年初预算数8,200,000元，全年预算数8,200,000元</w:t>
      </w:r>
      <w:r>
        <w:rPr>
          <w:rFonts w:hint="eastAsia" w:ascii="仿宋" w:hAnsi="仿宋" w:eastAsia="仿宋" w:cs="仿宋"/>
          <w:sz w:val="32"/>
          <w:szCs w:val="32"/>
          <w:highlight w:val="none"/>
          <w:lang w:eastAsia="zh-CN"/>
        </w:rPr>
        <w:t>。</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资金总额全年执行数3,812,867.23元，执行率46.50%。</w:t>
      </w:r>
    </w:p>
    <w:p>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其中：财政资金全年执行数3,812,867.23元，执行率46.50%</w:t>
      </w:r>
    </w:p>
    <w:p>
      <w:pPr>
        <w:widowControl/>
        <w:spacing w:line="578" w:lineRule="atLeas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绩效目标完成情况：该类专项立项了19个项目，执行年限为2021年12月23日至2023年12月22日，现按照年度计划正常开展。目前完成软件开发2套、研究报告3份、开发样品（样机）1件、EI论文收录21篇、国内外核心期刊发表20篇，支持培养研究生人数45人等。整个项目的开展，聚焦地区实际的发展需求，增强了我省的经济创新力与竞争力。项目执行年限为2021年12月23日至2023年12月22日，项目未到期，尚未组织验收，导致有些绩效目标尚未全部完成，但目前项目按照研究计划进度正常进行中，到期可以完成所有绩效目标。</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5</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613" w:type="dxa"/>
        <w:tblInd w:w="0" w:type="dxa"/>
        <w:tblLayout w:type="autofit"/>
        <w:tblCellMar>
          <w:top w:w="0" w:type="dxa"/>
          <w:left w:w="108" w:type="dxa"/>
          <w:bottom w:w="0" w:type="dxa"/>
          <w:right w:w="108" w:type="dxa"/>
        </w:tblCellMar>
      </w:tblPr>
      <w:tblGrid>
        <w:gridCol w:w="1078"/>
        <w:gridCol w:w="1078"/>
        <w:gridCol w:w="1416"/>
        <w:gridCol w:w="1432"/>
        <w:gridCol w:w="1483"/>
        <w:gridCol w:w="2126"/>
      </w:tblGrid>
      <w:tr>
        <w:tblPrEx>
          <w:tblCellMar>
            <w:top w:w="0" w:type="dxa"/>
            <w:left w:w="108" w:type="dxa"/>
            <w:bottom w:w="0" w:type="dxa"/>
            <w:right w:w="108" w:type="dxa"/>
          </w:tblCellMar>
        </w:tblPrEx>
        <w:trPr>
          <w:trHeight w:val="668"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auto"/>
                <w:sz w:val="20"/>
                <w:szCs w:val="20"/>
                <w:highlight w:val="none"/>
              </w:rPr>
            </w:pPr>
            <w:r>
              <w:rPr>
                <w:rFonts w:hint="eastAsia" w:ascii="仿宋" w:hAnsi="仿宋" w:eastAsia="仿宋" w:cs="仿宋"/>
                <w:b/>
                <w:bCs/>
                <w:color w:val="auto"/>
                <w:kern w:val="0"/>
                <w:sz w:val="20"/>
                <w:szCs w:val="20"/>
                <w:highlight w:val="none"/>
                <w:lang w:bidi="ar"/>
              </w:rPr>
              <w:t>一级指标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auto"/>
                <w:sz w:val="20"/>
                <w:szCs w:val="20"/>
                <w:highlight w:val="none"/>
              </w:rPr>
            </w:pPr>
            <w:r>
              <w:rPr>
                <w:rFonts w:hint="eastAsia" w:ascii="仿宋" w:hAnsi="仿宋" w:eastAsia="仿宋" w:cs="仿宋"/>
                <w:b/>
                <w:bCs/>
                <w:color w:val="auto"/>
                <w:kern w:val="0"/>
                <w:sz w:val="20"/>
                <w:szCs w:val="20"/>
                <w:highlight w:val="none"/>
                <w:lang w:bidi="ar"/>
              </w:rPr>
              <w:t>二级指标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auto"/>
                <w:sz w:val="20"/>
                <w:szCs w:val="20"/>
                <w:highlight w:val="none"/>
              </w:rPr>
            </w:pPr>
            <w:r>
              <w:rPr>
                <w:rFonts w:hint="eastAsia" w:ascii="仿宋" w:hAnsi="仿宋" w:eastAsia="仿宋" w:cs="仿宋"/>
                <w:b/>
                <w:bCs/>
                <w:color w:val="auto"/>
                <w:kern w:val="0"/>
                <w:sz w:val="20"/>
                <w:szCs w:val="20"/>
                <w:highlight w:val="none"/>
                <w:lang w:bidi="ar"/>
              </w:rPr>
              <w:t>三级指标</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auto"/>
                <w:sz w:val="20"/>
                <w:szCs w:val="20"/>
                <w:highlight w:val="none"/>
              </w:rPr>
            </w:pPr>
            <w:r>
              <w:rPr>
                <w:rFonts w:hint="eastAsia" w:ascii="仿宋" w:hAnsi="仿宋" w:eastAsia="仿宋" w:cs="仿宋"/>
                <w:b/>
                <w:bCs/>
                <w:color w:val="auto"/>
                <w:kern w:val="0"/>
                <w:sz w:val="20"/>
                <w:szCs w:val="20"/>
                <w:highlight w:val="none"/>
                <w:lang w:bidi="ar"/>
              </w:rPr>
              <w:t>年度指标值</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auto"/>
                <w:sz w:val="20"/>
                <w:szCs w:val="20"/>
                <w:highlight w:val="none"/>
              </w:rPr>
            </w:pPr>
            <w:r>
              <w:rPr>
                <w:rFonts w:hint="eastAsia" w:ascii="仿宋" w:hAnsi="仿宋" w:eastAsia="仿宋" w:cs="仿宋"/>
                <w:b/>
                <w:bCs/>
                <w:color w:val="auto"/>
                <w:kern w:val="0"/>
                <w:sz w:val="20"/>
                <w:szCs w:val="20"/>
                <w:highlight w:val="none"/>
                <w:lang w:bidi="ar"/>
              </w:rPr>
              <w:t>实际完成值</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b/>
                <w:bCs/>
                <w:color w:val="auto"/>
                <w:kern w:val="0"/>
                <w:sz w:val="20"/>
                <w:szCs w:val="20"/>
                <w:highlight w:val="none"/>
                <w:lang w:bidi="ar"/>
              </w:rPr>
            </w:pPr>
            <w:r>
              <w:rPr>
                <w:rFonts w:hint="eastAsia" w:ascii="仿宋" w:hAnsi="仿宋" w:eastAsia="仿宋" w:cs="仿宋"/>
                <w:b/>
                <w:bCs/>
                <w:color w:val="auto"/>
                <w:kern w:val="0"/>
                <w:sz w:val="20"/>
                <w:szCs w:val="20"/>
                <w:highlight w:val="none"/>
                <w:lang w:bidi="ar"/>
              </w:rPr>
              <w:t>未完成原因</w:t>
            </w:r>
          </w:p>
        </w:tc>
      </w:tr>
      <w:tr>
        <w:tblPrEx>
          <w:tblCellMar>
            <w:top w:w="0" w:type="dxa"/>
            <w:left w:w="108" w:type="dxa"/>
            <w:bottom w:w="0" w:type="dxa"/>
            <w:right w:w="108" w:type="dxa"/>
          </w:tblCellMar>
        </w:tblPrEx>
        <w:trPr>
          <w:trHeight w:val="691"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数量指标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产品、装置、设备开发数量</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2台（套）</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2台（套）</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p>
        </w:tc>
      </w:tr>
      <w:tr>
        <w:tblPrEx>
          <w:tblCellMar>
            <w:top w:w="0" w:type="dxa"/>
            <w:left w:w="108" w:type="dxa"/>
            <w:bottom w:w="0" w:type="dxa"/>
            <w:right w:w="108" w:type="dxa"/>
          </w:tblCellMar>
        </w:tblPrEx>
        <w:trPr>
          <w:trHeight w:val="575"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数量指标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分析、测试报告数量</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4份</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3份</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r>
        <w:tblPrEx>
          <w:tblCellMar>
            <w:top w:w="0" w:type="dxa"/>
            <w:left w:w="108" w:type="dxa"/>
            <w:bottom w:w="0" w:type="dxa"/>
            <w:right w:w="108" w:type="dxa"/>
          </w:tblCellMar>
        </w:tblPrEx>
        <w:trPr>
          <w:trHeight w:val="586"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数量指标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软件开发数量</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2套</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2套</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p>
        </w:tc>
      </w:tr>
      <w:tr>
        <w:tblPrEx>
          <w:tblCellMar>
            <w:top w:w="0" w:type="dxa"/>
            <w:left w:w="108" w:type="dxa"/>
            <w:bottom w:w="0" w:type="dxa"/>
            <w:right w:w="108" w:type="dxa"/>
          </w:tblCellMar>
        </w:tblPrEx>
        <w:trPr>
          <w:trHeight w:val="692"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数量指标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研究报告数量</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5份</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3份</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r>
        <w:tblPrEx>
          <w:tblCellMar>
            <w:top w:w="0" w:type="dxa"/>
            <w:left w:w="108" w:type="dxa"/>
            <w:bottom w:w="0" w:type="dxa"/>
            <w:right w:w="108" w:type="dxa"/>
          </w:tblCellMar>
        </w:tblPrEx>
        <w:trPr>
          <w:trHeight w:val="704"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数量指标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样品、样机开发数量</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1件</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1件</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p>
        </w:tc>
      </w:tr>
      <w:tr>
        <w:tblPrEx>
          <w:tblCellMar>
            <w:top w:w="0" w:type="dxa"/>
            <w:left w:w="108" w:type="dxa"/>
            <w:bottom w:w="0" w:type="dxa"/>
            <w:right w:w="108" w:type="dxa"/>
          </w:tblCellMar>
        </w:tblPrEx>
        <w:trPr>
          <w:trHeight w:val="668"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质量指标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EI收录论文数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23篇</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21篇</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r>
        <w:tblPrEx>
          <w:tblCellMar>
            <w:top w:w="0" w:type="dxa"/>
            <w:left w:w="108" w:type="dxa"/>
            <w:bottom w:w="0" w:type="dxa"/>
            <w:right w:w="108" w:type="dxa"/>
          </w:tblCellMar>
        </w:tblPrEx>
        <w:trPr>
          <w:trHeight w:val="64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质量指标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SCI收录论文数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36篇</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33篇</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r>
        <w:tblPrEx>
          <w:tblCellMar>
            <w:top w:w="0" w:type="dxa"/>
            <w:left w:w="108" w:type="dxa"/>
            <w:bottom w:w="0" w:type="dxa"/>
            <w:right w:w="108" w:type="dxa"/>
          </w:tblCellMar>
        </w:tblPrEx>
        <w:trPr>
          <w:trHeight w:val="64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质量指标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国内外核心期刊发表论文数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22篇</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20篇</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r>
        <w:tblPrEx>
          <w:tblCellMar>
            <w:top w:w="0" w:type="dxa"/>
            <w:left w:w="108" w:type="dxa"/>
            <w:bottom w:w="0" w:type="dxa"/>
            <w:right w:w="108" w:type="dxa"/>
          </w:tblCellMar>
        </w:tblPrEx>
        <w:trPr>
          <w:trHeight w:val="64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质量指标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软件著作权登记数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1项</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1项</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p>
        </w:tc>
      </w:tr>
      <w:tr>
        <w:tblPrEx>
          <w:tblCellMar>
            <w:top w:w="0" w:type="dxa"/>
            <w:left w:w="108" w:type="dxa"/>
            <w:bottom w:w="0" w:type="dxa"/>
            <w:right w:w="108" w:type="dxa"/>
          </w:tblCellMar>
        </w:tblPrEx>
        <w:trPr>
          <w:trHeight w:val="64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质量指标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验收合格率</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98%</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0%</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本项目尚未到期，目前按照任务书约定的执行年限正常进行，尚未组织验收。</w:t>
            </w:r>
          </w:p>
        </w:tc>
      </w:tr>
      <w:tr>
        <w:tblPrEx>
          <w:tblCellMar>
            <w:top w:w="0" w:type="dxa"/>
            <w:left w:w="108" w:type="dxa"/>
            <w:bottom w:w="0" w:type="dxa"/>
            <w:right w:w="108" w:type="dxa"/>
          </w:tblCellMar>
        </w:tblPrEx>
        <w:trPr>
          <w:trHeight w:val="64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质量指标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专利申请数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23项</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20项</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r>
        <w:tblPrEx>
          <w:tblCellMar>
            <w:top w:w="0" w:type="dxa"/>
            <w:left w:w="108" w:type="dxa"/>
            <w:bottom w:w="0" w:type="dxa"/>
            <w:right w:w="108" w:type="dxa"/>
          </w:tblCellMar>
        </w:tblPrEx>
        <w:trPr>
          <w:trHeight w:val="64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产出指标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质量指标</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专利授权数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3项</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2项</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r>
        <w:tblPrEx>
          <w:tblCellMar>
            <w:top w:w="0" w:type="dxa"/>
            <w:left w:w="108" w:type="dxa"/>
            <w:bottom w:w="0" w:type="dxa"/>
            <w:right w:w="108" w:type="dxa"/>
          </w:tblCellMar>
        </w:tblPrEx>
        <w:trPr>
          <w:trHeight w:val="68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效益指标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可持续影响</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EI收录论文平均被引用次数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1次</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1次</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p>
        </w:tc>
      </w:tr>
      <w:tr>
        <w:tblPrEx>
          <w:tblCellMar>
            <w:top w:w="0" w:type="dxa"/>
            <w:left w:w="108" w:type="dxa"/>
            <w:bottom w:w="0" w:type="dxa"/>
            <w:right w:w="108" w:type="dxa"/>
          </w:tblCellMar>
        </w:tblPrEx>
        <w:trPr>
          <w:trHeight w:val="68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效益指标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可持续影响</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SCI收录论文平均被引用次数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2次</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2次</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p>
        </w:tc>
      </w:tr>
      <w:tr>
        <w:tblPrEx>
          <w:tblCellMar>
            <w:top w:w="0" w:type="dxa"/>
            <w:left w:w="108" w:type="dxa"/>
            <w:bottom w:w="0" w:type="dxa"/>
            <w:right w:w="108" w:type="dxa"/>
          </w:tblCellMar>
        </w:tblPrEx>
        <w:trPr>
          <w:trHeight w:val="68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效益指标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可持续影响</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国内外核心期刊发表论文平均被引用次数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2次</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2次</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p>
        </w:tc>
      </w:tr>
      <w:tr>
        <w:tblPrEx>
          <w:tblCellMar>
            <w:top w:w="0" w:type="dxa"/>
            <w:left w:w="108" w:type="dxa"/>
            <w:bottom w:w="0" w:type="dxa"/>
            <w:right w:w="108" w:type="dxa"/>
          </w:tblCellMar>
        </w:tblPrEx>
        <w:trPr>
          <w:trHeight w:val="68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效益指标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可持续影响</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支持培养创新团队数量</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5支</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4支</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r>
        <w:tblPrEx>
          <w:tblCellMar>
            <w:top w:w="0" w:type="dxa"/>
            <w:left w:w="108" w:type="dxa"/>
            <w:bottom w:w="0" w:type="dxa"/>
            <w:right w:w="108" w:type="dxa"/>
          </w:tblCellMar>
        </w:tblPrEx>
        <w:trPr>
          <w:trHeight w:val="680" w:hRule="atLeast"/>
        </w:trPr>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效益指标</w:t>
            </w:r>
          </w:p>
        </w:tc>
        <w:tc>
          <w:tcPr>
            <w:tcW w:w="10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可持续影响</w:t>
            </w:r>
          </w:p>
        </w:tc>
        <w:tc>
          <w:tcPr>
            <w:tcW w:w="1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支持培养研究生人数</w:t>
            </w:r>
          </w:p>
        </w:tc>
        <w:tc>
          <w:tcPr>
            <w:tcW w:w="143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58人</w:t>
            </w:r>
          </w:p>
        </w:tc>
        <w:tc>
          <w:tcPr>
            <w:tcW w:w="148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lang w:bidi="ar"/>
              </w:rPr>
              <w:t>45人</w:t>
            </w:r>
          </w:p>
        </w:tc>
        <w:tc>
          <w:tcPr>
            <w:tcW w:w="212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widowControl/>
              <w:jc w:val="center"/>
              <w:textAlignment w:val="center"/>
              <w:rPr>
                <w:rFonts w:hint="eastAsia" w:ascii="仿宋" w:hAnsi="仿宋" w:eastAsia="仿宋" w:cs="仿宋"/>
                <w:color w:val="auto"/>
                <w:kern w:val="0"/>
                <w:sz w:val="20"/>
                <w:szCs w:val="20"/>
                <w:highlight w:val="none"/>
                <w:lang w:bidi="ar"/>
              </w:rPr>
            </w:pPr>
            <w:r>
              <w:rPr>
                <w:rFonts w:hint="eastAsia" w:ascii="仿宋" w:hAnsi="仿宋" w:eastAsia="仿宋" w:cs="仿宋"/>
                <w:color w:val="auto"/>
                <w:kern w:val="0"/>
                <w:sz w:val="20"/>
                <w:szCs w:val="20"/>
                <w:highlight w:val="none"/>
                <w:lang w:bidi="ar"/>
              </w:rPr>
              <w:t>目前项目按照任务书约定的执行年限正常进行，但未到期，导致绩效目标未100%完成。</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widowControl/>
        <w:tabs>
          <w:tab w:val="left" w:pos="540"/>
        </w:tabs>
        <w:spacing w:line="360" w:lineRule="auto"/>
        <w:ind w:firstLine="640" w:firstLineChars="200"/>
        <w:rPr>
          <w:rFonts w:hint="eastAsia" w:ascii="仿宋" w:hAnsi="仿宋" w:eastAsia="仿宋" w:cs="仿宋"/>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rPr>
        <w:t>、院士创新平台建设运营和绩效奖励经费项目绩效自评综述</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20.83</w:t>
      </w:r>
      <w:r>
        <w:rPr>
          <w:rFonts w:hint="eastAsia" w:ascii="仿宋" w:hAnsi="仿宋" w:eastAsia="仿宋" w:cs="仿宋"/>
          <w:sz w:val="32"/>
          <w:szCs w:val="32"/>
          <w:highlight w:val="none"/>
        </w:rPr>
        <w:t>分。</w:t>
      </w:r>
      <w:r>
        <w:rPr>
          <w:rFonts w:hint="eastAsia" w:ascii="仿宋" w:hAnsi="仿宋" w:eastAsia="仿宋" w:cs="仿宋"/>
          <w:color w:val="auto"/>
          <w:sz w:val="32"/>
          <w:szCs w:val="32"/>
          <w:highlight w:val="none"/>
        </w:rPr>
        <w:t>资金总额年初预算数6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700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000元，全年预算数6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700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700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000元，财政资金全年预算数6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700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kern w:val="0"/>
          <w:sz w:val="32"/>
          <w:szCs w:val="32"/>
          <w:highlight w:val="none"/>
        </w:rPr>
        <w:t>1</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895</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990.32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28.30</w:t>
      </w:r>
      <w:r>
        <w:rPr>
          <w:rFonts w:hint="eastAsia" w:ascii="仿宋" w:hAnsi="仿宋" w:eastAsia="仿宋" w:cs="仿宋"/>
          <w:color w:val="auto"/>
          <w:sz w:val="32"/>
          <w:szCs w:val="32"/>
          <w:highlight w:val="none"/>
        </w:rPr>
        <w:t>%。</w:t>
      </w:r>
    </w:p>
    <w:p>
      <w:pPr>
        <w:widowControl/>
        <w:spacing w:line="578" w:lineRule="atLeas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kern w:val="0"/>
          <w:sz w:val="32"/>
          <w:szCs w:val="32"/>
          <w:highlight w:val="none"/>
        </w:rPr>
        <w:t>1</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895</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990.32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28.30</w:t>
      </w:r>
      <w:r>
        <w:rPr>
          <w:rFonts w:hint="eastAsia" w:ascii="仿宋" w:hAnsi="仿宋" w:eastAsia="仿宋" w:cs="仿宋"/>
          <w:color w:val="auto"/>
          <w:sz w:val="32"/>
          <w:szCs w:val="32"/>
          <w:highlight w:val="none"/>
        </w:rPr>
        <w:t>%</w:t>
      </w:r>
    </w:p>
    <w:p>
      <w:pPr>
        <w:widowControl/>
        <w:spacing w:line="578" w:lineRule="atLeas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项目绩效目标完成情况：院士平台建设运营和绩效奖励经费，还在执行过程中。目前已发表论文3篇，培养学生3人。</w:t>
      </w:r>
      <w:r>
        <w:rPr>
          <w:rFonts w:hint="eastAsia" w:ascii="仿宋" w:hAnsi="仿宋" w:eastAsia="仿宋" w:cs="仿宋"/>
          <w:kern w:val="0"/>
          <w:sz w:val="32"/>
          <w:szCs w:val="32"/>
          <w:highlight w:val="none"/>
          <w:lang w:eastAsia="zh-Hans"/>
        </w:rPr>
        <w:t>本年度在</w:t>
      </w:r>
      <w:r>
        <w:rPr>
          <w:rFonts w:hint="eastAsia" w:ascii="仿宋" w:hAnsi="仿宋" w:eastAsia="仿宋" w:cs="仿宋"/>
          <w:kern w:val="0"/>
          <w:sz w:val="32"/>
          <w:szCs w:val="32"/>
          <w:highlight w:val="none"/>
        </w:rPr>
        <w:t>新冠肺炎疫情</w:t>
      </w:r>
      <w:r>
        <w:rPr>
          <w:rFonts w:hint="eastAsia" w:ascii="仿宋" w:hAnsi="仿宋" w:eastAsia="仿宋" w:cs="仿宋"/>
          <w:kern w:val="0"/>
          <w:sz w:val="32"/>
          <w:szCs w:val="32"/>
          <w:highlight w:val="none"/>
          <w:lang w:eastAsia="zh-Hans"/>
        </w:rPr>
        <w:t>的不利影响下</w:t>
      </w:r>
      <w:r>
        <w:rPr>
          <w:rFonts w:hint="eastAsia" w:ascii="仿宋" w:hAnsi="仿宋" w:eastAsia="仿宋" w:cs="仿宋"/>
          <w:kern w:val="0"/>
          <w:sz w:val="32"/>
          <w:szCs w:val="32"/>
          <w:highlight w:val="none"/>
        </w:rPr>
        <w:t>，除部分工作未能正常开展，主要集中在“请进来、走出去”方面，包括邀请校外专家进校交流、中心人员外出调研等工作</w:t>
      </w:r>
      <w:r>
        <w:rPr>
          <w:rFonts w:hint="eastAsia" w:ascii="仿宋" w:hAnsi="仿宋" w:eastAsia="仿宋" w:cs="仿宋"/>
          <w:sz w:val="32"/>
          <w:szCs w:val="32"/>
          <w:highlight w:val="none"/>
          <w:shd w:val="clear" w:color="auto" w:fill="FFFFFF"/>
        </w:rPr>
        <w:t>与原计划相比有所减缓</w:t>
      </w:r>
      <w:r>
        <w:rPr>
          <w:rFonts w:hint="eastAsia" w:ascii="仿宋" w:hAnsi="仿宋" w:eastAsia="仿宋" w:cs="仿宋"/>
          <w:sz w:val="32"/>
          <w:szCs w:val="32"/>
          <w:highlight w:val="none"/>
          <w:shd w:val="clear" w:color="auto" w:fill="FFFFFF"/>
          <w:lang w:eastAsia="zh-CN"/>
        </w:rPr>
        <w:t>，</w:t>
      </w:r>
      <w:r>
        <w:rPr>
          <w:rFonts w:hint="eastAsia" w:ascii="仿宋" w:hAnsi="仿宋" w:eastAsia="仿宋" w:cs="仿宋"/>
          <w:sz w:val="32"/>
          <w:szCs w:val="32"/>
          <w:highlight w:val="none"/>
          <w:shd w:val="clear" w:color="auto" w:fill="FFFFFF"/>
        </w:rPr>
        <w:t>整体</w:t>
      </w:r>
      <w:r>
        <w:rPr>
          <w:rFonts w:hint="eastAsia" w:ascii="仿宋" w:hAnsi="仿宋" w:eastAsia="仿宋" w:cs="仿宋"/>
          <w:kern w:val="0"/>
          <w:sz w:val="32"/>
          <w:szCs w:val="32"/>
          <w:highlight w:val="none"/>
        </w:rPr>
        <w:t>项目按原定计划有序推进，</w:t>
      </w:r>
      <w:r>
        <w:rPr>
          <w:rFonts w:hint="eastAsia" w:ascii="仿宋" w:hAnsi="仿宋" w:eastAsia="仿宋" w:cs="仿宋"/>
          <w:bCs/>
          <w:sz w:val="32"/>
          <w:szCs w:val="32"/>
          <w:highlight w:val="none"/>
        </w:rPr>
        <w:t>按照项目任务书及工作计划要求，按时保质保量完成各项工作任务，达到预期效果。</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6</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23"/>
        <w:gridCol w:w="1815"/>
        <w:gridCol w:w="1943"/>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一级指标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二级指标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发表论文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引进人才</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可持续发展指标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培养学生</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3人</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widowControl/>
        <w:tabs>
          <w:tab w:val="left" w:pos="540"/>
        </w:tabs>
        <w:spacing w:line="360" w:lineRule="auto"/>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7</w:t>
      </w:r>
      <w:r>
        <w:rPr>
          <w:rFonts w:hint="eastAsia" w:ascii="仿宋" w:hAnsi="仿宋" w:eastAsia="仿宋" w:cs="仿宋"/>
          <w:sz w:val="32"/>
          <w:szCs w:val="32"/>
          <w:highlight w:val="none"/>
        </w:rPr>
        <w:t>、林业改革发展资金项目绩效自评综述</w:t>
      </w:r>
    </w:p>
    <w:p>
      <w:pPr>
        <w:keepNext w:val="0"/>
        <w:keepLines w:val="0"/>
        <w:pageBreakBefore w:val="0"/>
        <w:kinsoku/>
        <w:wordWrap/>
        <w:overflowPunct/>
        <w:topLinePunct w:val="0"/>
        <w:autoSpaceDE/>
        <w:autoSpaceDN/>
        <w:bidi w:val="0"/>
        <w:adjustRightInd/>
        <w:snapToGrid/>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66.95</w:t>
      </w:r>
      <w:r>
        <w:rPr>
          <w:rFonts w:hint="eastAsia" w:ascii="仿宋" w:hAnsi="仿宋" w:eastAsia="仿宋" w:cs="仿宋"/>
          <w:sz w:val="32"/>
          <w:szCs w:val="32"/>
          <w:highlight w:val="none"/>
        </w:rPr>
        <w:t>分。资金总额年初预算数</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元，资金总额全年预算数1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500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000元。其中：财政资金年初预算数</w:t>
      </w:r>
      <w:r>
        <w:rPr>
          <w:rFonts w:hint="eastAsia" w:ascii="仿宋" w:hAnsi="仿宋" w:eastAsia="仿宋" w:cs="仿宋"/>
          <w:sz w:val="32"/>
          <w:szCs w:val="32"/>
          <w:highlight w:val="none"/>
          <w:lang w:val="en-US" w:eastAsia="zh-CN"/>
        </w:rPr>
        <w:t>0</w:t>
      </w:r>
      <w:r>
        <w:rPr>
          <w:rFonts w:hint="eastAsia" w:ascii="仿宋" w:hAnsi="仿宋" w:eastAsia="仿宋" w:cs="仿宋"/>
          <w:sz w:val="32"/>
          <w:szCs w:val="32"/>
          <w:highlight w:val="none"/>
        </w:rPr>
        <w:t>元，财政资金全年预算数1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500</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000元</w:t>
      </w:r>
      <w:r>
        <w:rPr>
          <w:rFonts w:hint="eastAsia" w:ascii="仿宋" w:hAnsi="仿宋" w:eastAsia="仿宋" w:cs="仿宋"/>
          <w:sz w:val="32"/>
          <w:szCs w:val="32"/>
          <w:highlight w:val="none"/>
          <w:lang w:eastAsia="zh-CN"/>
        </w:rPr>
        <w:t>。</w:t>
      </w:r>
    </w:p>
    <w:p>
      <w:pPr>
        <w:autoSpaceDE w:val="0"/>
        <w:spacing w:line="360" w:lineRule="auto"/>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rPr>
        <w:t>资金总额全年执行数1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043</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100.83元，执行率</w:t>
      </w:r>
      <w:r>
        <w:rPr>
          <w:rFonts w:hint="eastAsia" w:ascii="仿宋" w:hAnsi="仿宋" w:eastAsia="仿宋" w:cs="仿宋"/>
          <w:sz w:val="32"/>
          <w:szCs w:val="32"/>
          <w:highlight w:val="none"/>
          <w:lang w:val="en-US" w:eastAsia="zh-CN"/>
        </w:rPr>
        <w:t>69.54</w:t>
      </w:r>
      <w:r>
        <w:rPr>
          <w:rFonts w:hint="eastAsia" w:ascii="仿宋" w:hAnsi="仿宋" w:eastAsia="仿宋" w:cs="仿宋"/>
          <w:sz w:val="32"/>
          <w:szCs w:val="32"/>
          <w:highlight w:val="none"/>
        </w:rPr>
        <w:t>%。其中：财政资金全年执行数1</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043</w:t>
      </w:r>
      <w:r>
        <w:rPr>
          <w:rFonts w:hint="eastAsia" w:ascii="仿宋" w:hAnsi="仿宋" w:eastAsia="仿宋" w:cs="仿宋"/>
          <w:sz w:val="32"/>
          <w:szCs w:val="32"/>
          <w:highlight w:val="none"/>
          <w:lang w:val="en-US" w:eastAsia="zh-CN"/>
        </w:rPr>
        <w:t>,</w:t>
      </w:r>
      <w:r>
        <w:rPr>
          <w:rFonts w:hint="eastAsia" w:ascii="仿宋" w:hAnsi="仿宋" w:eastAsia="仿宋" w:cs="仿宋"/>
          <w:sz w:val="32"/>
          <w:szCs w:val="32"/>
          <w:highlight w:val="none"/>
        </w:rPr>
        <w:t>100.83元，执行率</w:t>
      </w:r>
      <w:r>
        <w:rPr>
          <w:rFonts w:hint="eastAsia" w:ascii="仿宋" w:hAnsi="仿宋" w:eastAsia="仿宋" w:cs="仿宋"/>
          <w:sz w:val="32"/>
          <w:szCs w:val="32"/>
          <w:highlight w:val="none"/>
          <w:lang w:val="en-US" w:eastAsia="zh-CN"/>
        </w:rPr>
        <w:t>69.54</w:t>
      </w:r>
      <w:r>
        <w:rPr>
          <w:rFonts w:hint="eastAsia" w:ascii="仿宋" w:hAnsi="仿宋" w:eastAsia="仿宋" w:cs="仿宋"/>
          <w:sz w:val="32"/>
          <w:szCs w:val="32"/>
          <w:highlight w:val="none"/>
        </w:rPr>
        <w:t>%</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 xml:space="preserve">      </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项目绩效目标完成情况：100万株苗木已种植完毕，3-5月完成嫁接，12月可以开始出圃。通过海南本地油茶高产良种的推广应用，达到保护生态和促进乡村经济的双重收益。培育的优良种子为1级标准，良种选育大于等于700000株，通过良种培育带动就业大于等于20人。</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7</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7</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5046" w:type="pct"/>
        <w:tblInd w:w="-58" w:type="dxa"/>
        <w:tblLayout w:type="fixed"/>
        <w:tblCellMar>
          <w:top w:w="0" w:type="dxa"/>
          <w:left w:w="108" w:type="dxa"/>
          <w:bottom w:w="0" w:type="dxa"/>
          <w:right w:w="108" w:type="dxa"/>
        </w:tblCellMar>
      </w:tblPr>
      <w:tblGrid>
        <w:gridCol w:w="1305"/>
        <w:gridCol w:w="1695"/>
        <w:gridCol w:w="2910"/>
        <w:gridCol w:w="1334"/>
        <w:gridCol w:w="1357"/>
      </w:tblGrid>
      <w:tr>
        <w:trPr>
          <w:trHeight w:val="567" w:hRule="atLeast"/>
        </w:trPr>
        <w:tc>
          <w:tcPr>
            <w:tcW w:w="75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bCs/>
                <w:color w:val="000000"/>
                <w:kern w:val="0"/>
                <w:sz w:val="20"/>
                <w:szCs w:val="20"/>
                <w:highlight w:val="none"/>
                <w:lang w:val="en-US" w:eastAsia="zh-CN" w:bidi="ar"/>
              </w:rPr>
            </w:pPr>
            <w:r>
              <w:rPr>
                <w:rFonts w:hint="eastAsia" w:ascii="仿宋" w:hAnsi="仿宋" w:eastAsia="仿宋" w:cs="仿宋"/>
                <w:b/>
                <w:bCs/>
                <w:color w:val="000000"/>
                <w:kern w:val="0"/>
                <w:sz w:val="20"/>
                <w:szCs w:val="20"/>
                <w:highlight w:val="none"/>
                <w:lang w:val="en-US" w:eastAsia="zh-CN" w:bidi="ar"/>
              </w:rPr>
              <w:t>一级指标</w:t>
            </w:r>
          </w:p>
        </w:tc>
        <w:tc>
          <w:tcPr>
            <w:tcW w:w="98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bCs/>
                <w:color w:val="000000"/>
                <w:kern w:val="0"/>
                <w:sz w:val="20"/>
                <w:szCs w:val="20"/>
                <w:highlight w:val="none"/>
                <w:lang w:val="en-US" w:eastAsia="zh-CN" w:bidi="ar"/>
              </w:rPr>
            </w:pPr>
            <w:r>
              <w:rPr>
                <w:rFonts w:hint="eastAsia" w:ascii="仿宋" w:hAnsi="仿宋" w:eastAsia="仿宋" w:cs="仿宋"/>
                <w:b/>
                <w:bCs/>
                <w:color w:val="000000"/>
                <w:kern w:val="0"/>
                <w:sz w:val="20"/>
                <w:szCs w:val="20"/>
                <w:highlight w:val="none"/>
                <w:lang w:val="en-US" w:eastAsia="zh-CN" w:bidi="ar"/>
              </w:rPr>
              <w:t>二级指标</w:t>
            </w:r>
          </w:p>
        </w:tc>
        <w:tc>
          <w:tcPr>
            <w:tcW w:w="1691"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bCs/>
                <w:color w:val="000000"/>
                <w:kern w:val="0"/>
                <w:sz w:val="20"/>
                <w:szCs w:val="20"/>
                <w:highlight w:val="none"/>
                <w:lang w:val="en-US" w:eastAsia="zh-CN" w:bidi="ar"/>
              </w:rPr>
            </w:pPr>
            <w:r>
              <w:rPr>
                <w:rFonts w:hint="eastAsia" w:ascii="仿宋" w:hAnsi="仿宋" w:eastAsia="仿宋" w:cs="仿宋"/>
                <w:b/>
                <w:bCs/>
                <w:color w:val="000000"/>
                <w:kern w:val="0"/>
                <w:sz w:val="20"/>
                <w:szCs w:val="20"/>
                <w:highlight w:val="none"/>
                <w:lang w:val="en-US" w:eastAsia="zh-CN" w:bidi="ar"/>
              </w:rPr>
              <w:t>三级指标</w:t>
            </w:r>
          </w:p>
        </w:tc>
        <w:tc>
          <w:tcPr>
            <w:tcW w:w="775"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bCs/>
                <w:color w:val="000000"/>
                <w:kern w:val="0"/>
                <w:sz w:val="20"/>
                <w:szCs w:val="20"/>
                <w:highlight w:val="none"/>
                <w:lang w:val="en-US" w:eastAsia="zh-CN" w:bidi="ar"/>
              </w:rPr>
            </w:pPr>
            <w:r>
              <w:rPr>
                <w:rFonts w:hint="eastAsia" w:ascii="仿宋" w:hAnsi="仿宋" w:eastAsia="仿宋" w:cs="仿宋"/>
                <w:b/>
                <w:bCs/>
                <w:color w:val="000000"/>
                <w:kern w:val="0"/>
                <w:sz w:val="20"/>
                <w:szCs w:val="20"/>
                <w:highlight w:val="none"/>
                <w:lang w:val="en-US" w:eastAsia="zh-CN" w:bidi="ar"/>
              </w:rPr>
              <w:t>年度指标值</w:t>
            </w:r>
          </w:p>
        </w:tc>
        <w:tc>
          <w:tcPr>
            <w:tcW w:w="78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bCs/>
                <w:color w:val="000000"/>
                <w:kern w:val="0"/>
                <w:sz w:val="20"/>
                <w:szCs w:val="20"/>
                <w:highlight w:val="none"/>
                <w:lang w:val="en-US" w:eastAsia="zh-CN" w:bidi="ar"/>
              </w:rPr>
            </w:pPr>
            <w:r>
              <w:rPr>
                <w:rFonts w:hint="eastAsia" w:ascii="仿宋" w:hAnsi="仿宋" w:eastAsia="仿宋" w:cs="仿宋"/>
                <w:b/>
                <w:bCs/>
                <w:color w:val="000000"/>
                <w:kern w:val="0"/>
                <w:sz w:val="20"/>
                <w:szCs w:val="20"/>
                <w:highlight w:val="none"/>
                <w:lang w:val="en-US" w:eastAsia="zh-CN" w:bidi="ar"/>
              </w:rPr>
              <w:t>实际完成值</w:t>
            </w:r>
          </w:p>
        </w:tc>
      </w:tr>
      <w:tr>
        <w:tblPrEx>
          <w:tblCellMar>
            <w:top w:w="0" w:type="dxa"/>
            <w:left w:w="108" w:type="dxa"/>
            <w:bottom w:w="0" w:type="dxa"/>
            <w:right w:w="108" w:type="dxa"/>
          </w:tblCellMar>
        </w:tblPrEx>
        <w:trPr>
          <w:trHeight w:val="567" w:hRule="atLeast"/>
        </w:trPr>
        <w:tc>
          <w:tcPr>
            <w:tcW w:w="75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产出指标</w:t>
            </w:r>
          </w:p>
        </w:tc>
        <w:tc>
          <w:tcPr>
            <w:tcW w:w="98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时效指标</w:t>
            </w:r>
          </w:p>
        </w:tc>
        <w:tc>
          <w:tcPr>
            <w:tcW w:w="169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当年任务完成率</w:t>
            </w:r>
          </w:p>
        </w:tc>
        <w:tc>
          <w:tcPr>
            <w:tcW w:w="77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100%</w:t>
            </w:r>
          </w:p>
        </w:tc>
        <w:tc>
          <w:tcPr>
            <w:tcW w:w="788"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100%</w:t>
            </w:r>
          </w:p>
        </w:tc>
      </w:tr>
      <w:tr>
        <w:tblPrEx>
          <w:tblCellMar>
            <w:top w:w="0" w:type="dxa"/>
            <w:left w:w="108" w:type="dxa"/>
            <w:bottom w:w="0" w:type="dxa"/>
            <w:right w:w="108" w:type="dxa"/>
          </w:tblCellMar>
        </w:tblPrEx>
        <w:trPr>
          <w:trHeight w:val="567" w:hRule="atLeast"/>
        </w:trPr>
        <w:tc>
          <w:tcPr>
            <w:tcW w:w="75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产出指标</w:t>
            </w:r>
          </w:p>
        </w:tc>
        <w:tc>
          <w:tcPr>
            <w:tcW w:w="98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数量指标</w:t>
            </w:r>
          </w:p>
        </w:tc>
        <w:tc>
          <w:tcPr>
            <w:tcW w:w="169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培育的优良种子标准级别</w:t>
            </w:r>
          </w:p>
        </w:tc>
        <w:tc>
          <w:tcPr>
            <w:tcW w:w="77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1级</w:t>
            </w:r>
          </w:p>
        </w:tc>
        <w:tc>
          <w:tcPr>
            <w:tcW w:w="788"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1级</w:t>
            </w:r>
          </w:p>
        </w:tc>
      </w:tr>
      <w:tr>
        <w:tblPrEx>
          <w:tblCellMar>
            <w:top w:w="0" w:type="dxa"/>
            <w:left w:w="108" w:type="dxa"/>
            <w:bottom w:w="0" w:type="dxa"/>
            <w:right w:w="108" w:type="dxa"/>
          </w:tblCellMar>
        </w:tblPrEx>
        <w:trPr>
          <w:trHeight w:val="567" w:hRule="atLeast"/>
        </w:trPr>
        <w:tc>
          <w:tcPr>
            <w:tcW w:w="75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产出指标</w:t>
            </w:r>
          </w:p>
        </w:tc>
        <w:tc>
          <w:tcPr>
            <w:tcW w:w="98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数量指标</w:t>
            </w:r>
          </w:p>
        </w:tc>
        <w:tc>
          <w:tcPr>
            <w:tcW w:w="169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良种选育</w:t>
            </w:r>
          </w:p>
        </w:tc>
        <w:tc>
          <w:tcPr>
            <w:tcW w:w="77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600000株</w:t>
            </w:r>
          </w:p>
        </w:tc>
        <w:tc>
          <w:tcPr>
            <w:tcW w:w="788"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700000株</w:t>
            </w:r>
          </w:p>
        </w:tc>
      </w:tr>
      <w:tr>
        <w:tblPrEx>
          <w:tblCellMar>
            <w:top w:w="0" w:type="dxa"/>
            <w:left w:w="108" w:type="dxa"/>
            <w:bottom w:w="0" w:type="dxa"/>
            <w:right w:w="108" w:type="dxa"/>
          </w:tblCellMar>
        </w:tblPrEx>
        <w:trPr>
          <w:trHeight w:val="567" w:hRule="atLeast"/>
        </w:trPr>
        <w:tc>
          <w:tcPr>
            <w:tcW w:w="75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效益指标</w:t>
            </w:r>
          </w:p>
        </w:tc>
        <w:tc>
          <w:tcPr>
            <w:tcW w:w="98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生态效益指标</w:t>
            </w:r>
          </w:p>
        </w:tc>
        <w:tc>
          <w:tcPr>
            <w:tcW w:w="169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通过使用良种生态环境改善</w:t>
            </w:r>
          </w:p>
        </w:tc>
        <w:tc>
          <w:tcPr>
            <w:tcW w:w="77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16600亩</w:t>
            </w:r>
          </w:p>
        </w:tc>
        <w:tc>
          <w:tcPr>
            <w:tcW w:w="788"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0亩</w:t>
            </w:r>
          </w:p>
        </w:tc>
      </w:tr>
      <w:tr>
        <w:tblPrEx>
          <w:tblCellMar>
            <w:top w:w="0" w:type="dxa"/>
            <w:left w:w="108" w:type="dxa"/>
            <w:bottom w:w="0" w:type="dxa"/>
            <w:right w:w="108" w:type="dxa"/>
          </w:tblCellMar>
        </w:tblPrEx>
        <w:trPr>
          <w:trHeight w:val="567" w:hRule="atLeast"/>
        </w:trPr>
        <w:tc>
          <w:tcPr>
            <w:tcW w:w="75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效益指标</w:t>
            </w:r>
          </w:p>
        </w:tc>
        <w:tc>
          <w:tcPr>
            <w:tcW w:w="98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可持续发展指标</w:t>
            </w:r>
          </w:p>
        </w:tc>
        <w:tc>
          <w:tcPr>
            <w:tcW w:w="169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通过使用良种提高产量质量（公斤/亩）</w:t>
            </w:r>
          </w:p>
        </w:tc>
        <w:tc>
          <w:tcPr>
            <w:tcW w:w="77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1500斤</w:t>
            </w:r>
          </w:p>
        </w:tc>
        <w:tc>
          <w:tcPr>
            <w:tcW w:w="788"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0斤</w:t>
            </w:r>
          </w:p>
        </w:tc>
      </w:tr>
      <w:tr>
        <w:tblPrEx>
          <w:tblCellMar>
            <w:top w:w="0" w:type="dxa"/>
            <w:left w:w="108" w:type="dxa"/>
            <w:bottom w:w="0" w:type="dxa"/>
            <w:right w:w="108" w:type="dxa"/>
          </w:tblCellMar>
        </w:tblPrEx>
        <w:trPr>
          <w:trHeight w:val="567" w:hRule="atLeast"/>
        </w:trPr>
        <w:tc>
          <w:tcPr>
            <w:tcW w:w="75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效益指标</w:t>
            </w:r>
          </w:p>
        </w:tc>
        <w:tc>
          <w:tcPr>
            <w:tcW w:w="98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社会效益指标</w:t>
            </w:r>
          </w:p>
        </w:tc>
        <w:tc>
          <w:tcPr>
            <w:tcW w:w="169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通过良种培育带动了就业</w:t>
            </w:r>
          </w:p>
        </w:tc>
        <w:tc>
          <w:tcPr>
            <w:tcW w:w="77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20人数</w:t>
            </w:r>
          </w:p>
        </w:tc>
        <w:tc>
          <w:tcPr>
            <w:tcW w:w="788"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20人数</w:t>
            </w:r>
          </w:p>
        </w:tc>
      </w:tr>
      <w:tr>
        <w:tblPrEx>
          <w:tblCellMar>
            <w:top w:w="0" w:type="dxa"/>
            <w:left w:w="108" w:type="dxa"/>
            <w:bottom w:w="0" w:type="dxa"/>
            <w:right w:w="108" w:type="dxa"/>
          </w:tblCellMar>
        </w:tblPrEx>
        <w:trPr>
          <w:trHeight w:val="567" w:hRule="atLeast"/>
        </w:trPr>
        <w:tc>
          <w:tcPr>
            <w:tcW w:w="758" w:type="pct"/>
            <w:tcBorders>
              <w:top w:val="single" w:color="auto" w:sz="4" w:space="0"/>
              <w:left w:val="single" w:color="auto" w:sz="4" w:space="0"/>
              <w:bottom w:val="single" w:color="auto" w:sz="4" w:space="0"/>
              <w:right w:val="single" w:color="auto" w:sz="4" w:space="0"/>
            </w:tcBorders>
            <w:noWrap w:val="0"/>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效益指标</w:t>
            </w:r>
          </w:p>
        </w:tc>
        <w:tc>
          <w:tcPr>
            <w:tcW w:w="98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经济效益指标</w:t>
            </w:r>
          </w:p>
        </w:tc>
        <w:tc>
          <w:tcPr>
            <w:tcW w:w="1691"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优良种子（穗条）产值（元/亩）</w:t>
            </w:r>
          </w:p>
        </w:tc>
        <w:tc>
          <w:tcPr>
            <w:tcW w:w="775"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4.17万元</w:t>
            </w:r>
          </w:p>
        </w:tc>
        <w:tc>
          <w:tcPr>
            <w:tcW w:w="788"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ascii="仿宋" w:hAnsi="仿宋" w:eastAsia="仿宋" w:cs="仿宋"/>
                <w:b w:val="0"/>
                <w:bCs w:val="0"/>
                <w:color w:val="000000"/>
                <w:kern w:val="0"/>
                <w:sz w:val="20"/>
                <w:szCs w:val="20"/>
                <w:highlight w:val="none"/>
                <w:lang w:val="en-US" w:eastAsia="zh-CN" w:bidi="ar"/>
              </w:rPr>
            </w:pPr>
            <w:r>
              <w:rPr>
                <w:rFonts w:hint="eastAsia" w:ascii="仿宋" w:hAnsi="仿宋" w:eastAsia="仿宋" w:cs="仿宋"/>
                <w:b w:val="0"/>
                <w:bCs w:val="0"/>
                <w:color w:val="000000"/>
                <w:kern w:val="0"/>
                <w:sz w:val="20"/>
                <w:szCs w:val="20"/>
                <w:highlight w:val="none"/>
                <w:lang w:val="en-US" w:eastAsia="zh-CN" w:bidi="ar"/>
              </w:rPr>
              <w:t>0万元</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widowControl/>
        <w:tabs>
          <w:tab w:val="left" w:pos="540"/>
        </w:tabs>
        <w:spacing w:line="360" w:lineRule="auto"/>
        <w:ind w:firstLine="640" w:firstLineChars="200"/>
        <w:rPr>
          <w:rFonts w:hint="eastAsia" w:ascii="仿宋" w:hAnsi="仿宋" w:eastAsia="仿宋" w:cs="仿宋"/>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8</w:t>
      </w:r>
      <w:r>
        <w:rPr>
          <w:rFonts w:hint="eastAsia" w:ascii="仿宋" w:hAnsi="仿宋" w:eastAsia="仿宋" w:cs="仿宋"/>
          <w:sz w:val="32"/>
          <w:szCs w:val="32"/>
          <w:highlight w:val="none"/>
        </w:rPr>
        <w:t>、自然科学基金项目绩效自评综述</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91.24</w:t>
      </w:r>
      <w:r>
        <w:rPr>
          <w:rFonts w:hint="eastAsia" w:ascii="仿宋" w:hAnsi="仿宋" w:eastAsia="仿宋" w:cs="仿宋"/>
          <w:sz w:val="32"/>
          <w:szCs w:val="32"/>
          <w:highlight w:val="none"/>
        </w:rPr>
        <w:t>分。</w:t>
      </w:r>
      <w:r>
        <w:rPr>
          <w:rFonts w:hint="eastAsia" w:ascii="仿宋" w:hAnsi="仿宋" w:eastAsia="仿宋" w:cs="仿宋"/>
          <w:color w:val="auto"/>
          <w:sz w:val="32"/>
          <w:szCs w:val="32"/>
          <w:highlight w:val="none"/>
        </w:rPr>
        <w:t>资金总额年初预算数4</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910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000元，全年预算数29</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180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000元。其中：财政资金年初预算数4</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910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000元，财政资金全年预算数29</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180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kern w:val="0"/>
          <w:sz w:val="32"/>
          <w:szCs w:val="32"/>
          <w:highlight w:val="none"/>
        </w:rPr>
        <w:t>3</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619</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021.84</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12.4</w:t>
      </w:r>
      <w:r>
        <w:rPr>
          <w:rFonts w:hint="eastAsia" w:ascii="仿宋" w:hAnsi="仿宋" w:eastAsia="仿宋" w:cs="仿宋"/>
          <w:color w:val="auto"/>
          <w:sz w:val="32"/>
          <w:szCs w:val="32"/>
          <w:highlight w:val="none"/>
        </w:rPr>
        <w:t>%。</w:t>
      </w:r>
    </w:p>
    <w:p>
      <w:pPr>
        <w:widowControl/>
        <w:spacing w:line="578" w:lineRule="atLeast"/>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kern w:val="0"/>
          <w:sz w:val="32"/>
          <w:szCs w:val="32"/>
          <w:highlight w:val="none"/>
        </w:rPr>
        <w:t>3</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619</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021.84</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12.4</w:t>
      </w:r>
      <w:r>
        <w:rPr>
          <w:rFonts w:hint="eastAsia" w:ascii="仿宋" w:hAnsi="仿宋" w:eastAsia="仿宋" w:cs="仿宋"/>
          <w:color w:val="auto"/>
          <w:sz w:val="32"/>
          <w:szCs w:val="32"/>
          <w:highlight w:val="none"/>
        </w:rPr>
        <w:t>%</w:t>
      </w:r>
    </w:p>
    <w:p>
      <w:pPr>
        <w:widowControl/>
        <w:spacing w:line="578" w:lineRule="atLeast"/>
        <w:ind w:firstLine="640"/>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绩效目标完成情况：该项目推动了我省的基础科学研究，服务经济和社会发展。项目执行期限为2021年12月至2024年。目前按照年度计划进度正常进行。年度目标均已完成，EI收录论文数达到10篇，SCI收录论文数达到16篇，国内外核心期刊发表论文数达到52篇，专利申请达到27项，支持培养研究生达到116人。</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8</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8</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23"/>
        <w:gridCol w:w="1815"/>
        <w:gridCol w:w="1943"/>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一级指标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二级指标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EI收录论文数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8篇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SCI收录论文数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12篇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16篇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国内外核心期刊发表论文数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50篇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52篇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专利申请数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25项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27项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62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8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可持续影响</w:t>
            </w:r>
          </w:p>
        </w:tc>
        <w:tc>
          <w:tcPr>
            <w:tcW w:w="194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支持培养研究生人数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100人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116人</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widowControl/>
        <w:tabs>
          <w:tab w:val="left" w:pos="540"/>
        </w:tabs>
        <w:spacing w:line="360" w:lineRule="auto"/>
        <w:ind w:firstLine="640" w:firstLineChars="200"/>
        <w:rPr>
          <w:rFonts w:hint="eastAsia" w:ascii="仿宋" w:hAnsi="仿宋" w:eastAsia="仿宋" w:cs="仿宋"/>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rPr>
        <w:t>、重点研发专项项目绩效自评综述</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91.56</w:t>
      </w:r>
      <w:r>
        <w:rPr>
          <w:rFonts w:hint="eastAsia" w:ascii="仿宋" w:hAnsi="仿宋" w:eastAsia="仿宋" w:cs="仿宋"/>
          <w:sz w:val="32"/>
          <w:szCs w:val="32"/>
          <w:highlight w:val="none"/>
        </w:rPr>
        <w:t>分。</w:t>
      </w:r>
      <w:r>
        <w:rPr>
          <w:rFonts w:hint="eastAsia" w:ascii="仿宋" w:hAnsi="仿宋" w:eastAsia="仿宋" w:cs="仿宋"/>
          <w:color w:val="auto"/>
          <w:sz w:val="32"/>
          <w:szCs w:val="32"/>
          <w:highlight w:val="none"/>
        </w:rPr>
        <w:t>资金总额年初预算数0元，全年预算数26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540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000元。其中：财政资金年初预算数0元，财政资金全年预算数26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540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kern w:val="0"/>
          <w:sz w:val="32"/>
          <w:szCs w:val="32"/>
          <w:highlight w:val="none"/>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kern w:val="0"/>
          <w:sz w:val="32"/>
          <w:szCs w:val="32"/>
          <w:highlight w:val="none"/>
        </w:rPr>
        <w:t>4</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127</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250.52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15.55</w:t>
      </w:r>
      <w:r>
        <w:rPr>
          <w:rFonts w:hint="eastAsia" w:ascii="仿宋" w:hAnsi="仿宋" w:eastAsia="仿宋" w:cs="仿宋"/>
          <w:color w:val="auto"/>
          <w:sz w:val="32"/>
          <w:szCs w:val="32"/>
          <w:highlight w:val="none"/>
        </w:rPr>
        <w:t>%。</w:t>
      </w:r>
    </w:p>
    <w:p>
      <w:pPr>
        <w:widowControl/>
        <w:spacing w:line="578" w:lineRule="atLeast"/>
        <w:ind w:left="640" w:hanging="640" w:hanging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kern w:val="0"/>
          <w:sz w:val="32"/>
          <w:szCs w:val="32"/>
          <w:highlight w:val="none"/>
        </w:rPr>
        <w:t>4</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127</w:t>
      </w:r>
      <w:r>
        <w:rPr>
          <w:rFonts w:hint="eastAsia" w:ascii="仿宋" w:hAnsi="仿宋" w:eastAsia="仿宋" w:cs="仿宋"/>
          <w:color w:val="auto"/>
          <w:kern w:val="0"/>
          <w:sz w:val="32"/>
          <w:szCs w:val="32"/>
          <w:highlight w:val="none"/>
          <w:lang w:val="en-US" w:eastAsia="zh-CN"/>
        </w:rPr>
        <w:t>,</w:t>
      </w:r>
      <w:r>
        <w:rPr>
          <w:rFonts w:hint="eastAsia" w:ascii="仿宋" w:hAnsi="仿宋" w:eastAsia="仿宋" w:cs="仿宋"/>
          <w:color w:val="auto"/>
          <w:kern w:val="0"/>
          <w:sz w:val="32"/>
          <w:szCs w:val="32"/>
          <w:highlight w:val="none"/>
        </w:rPr>
        <w:t>250.52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15.55</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项目绩效目标完成情况：该项目执行年限为2022年9</w:t>
      </w:r>
    </w:p>
    <w:p>
      <w:pPr>
        <w:widowControl/>
        <w:spacing w:line="578" w:lineRule="atLeast"/>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月7日至2025年9月6日，截止至2022年底，本项目完成申请专利21项，收录SCI论文31篇，发表国内外核心期刊论文28篇，支持培养研究生96名，支持培养创新团队15支，科技成果转化数10项，转化科技成果合同金额达到1020万，目前按照任务书约定的执行年限正常进行。</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9</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9</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597"/>
        <w:gridCol w:w="2333"/>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专利申请数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20项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SCI收录论文数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30篇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31篇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国内外核心期刊发表论文数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25篇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28篇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可持续影响</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支持培养研究生人数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80人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96人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可持续影响</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支持培养创新团队数量</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15支</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15支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社会效益指标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科技成果转化数量</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经济效益指标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转化科技成果合同金额</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1000万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1020万</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widowControl/>
        <w:tabs>
          <w:tab w:val="left" w:pos="540"/>
        </w:tabs>
        <w:spacing w:line="360" w:lineRule="auto"/>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rPr>
        <w:t>、农业行业基础能力建设项目绩效自评综述</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20</w:t>
      </w:r>
      <w:r>
        <w:rPr>
          <w:rFonts w:hint="eastAsia" w:ascii="仿宋" w:hAnsi="仿宋" w:eastAsia="仿宋" w:cs="仿宋"/>
          <w:sz w:val="32"/>
          <w:szCs w:val="32"/>
          <w:highlight w:val="none"/>
        </w:rPr>
        <w:t>分。</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color w:val="auto"/>
          <w:sz w:val="32"/>
          <w:szCs w:val="32"/>
          <w:highlight w:val="none"/>
        </w:rPr>
        <w:t>资金总额年初预算数0元，全年预算数15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560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000元。其中：财政资金年初预算数0元，财政资金全年预算数15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560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kern w:val="0"/>
          <w:sz w:val="32"/>
          <w:szCs w:val="32"/>
          <w:highlight w:val="none"/>
        </w:rPr>
        <w:t>0</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kern w:val="0"/>
          <w:sz w:val="32"/>
          <w:szCs w:val="32"/>
          <w:highlight w:val="none"/>
        </w:rPr>
        <w:t>0</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项目绩效目标完成情况：设备采购分两批，第一批已于5月4日开标；第二批设备已基本完成招标文件准备工作，公示后即可开标；目前有6名教师以该基地为依托提交省级、国家级课题申报书。由于项目经费到账较晚（2022年10月31日到账），且项目负责人所在团队、招标代理公司、工程施工单位及各职能部门先后受到年底疫情影响，导致前期建安工程、设备采购等招标工作难以推动，项目进展缓慢</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项目涉及三亚南繁研究院众创中心改造，招标程序复杂，目前项目招标正在走程序，部分招标已在海南政府采购网公示，剩余部分正抓紧进行。</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10</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597"/>
        <w:gridCol w:w="2333"/>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实验室改造</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315平方米</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0平方米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仪器设备购置</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40台/套</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0台/套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社会效益指标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受益学生数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20人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成本指标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经济成本指标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成本控制率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5%</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widowControl/>
        <w:tabs>
          <w:tab w:val="left" w:pos="540"/>
        </w:tabs>
        <w:spacing w:line="360" w:lineRule="auto"/>
        <w:ind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11</w:t>
      </w:r>
      <w:r>
        <w:rPr>
          <w:rFonts w:hint="eastAsia" w:ascii="仿宋" w:hAnsi="仿宋" w:eastAsia="仿宋" w:cs="仿宋"/>
          <w:sz w:val="32"/>
          <w:szCs w:val="32"/>
          <w:highlight w:val="none"/>
        </w:rPr>
        <w:t>、南海海洋资源利用国家重点实验室建设</w:t>
      </w:r>
      <w:r>
        <w:rPr>
          <w:rFonts w:hint="eastAsia" w:ascii="仿宋" w:hAnsi="仿宋" w:eastAsia="仿宋" w:cs="仿宋"/>
          <w:sz w:val="32"/>
          <w:szCs w:val="32"/>
          <w:highlight w:val="none"/>
          <w:lang w:val="en-US" w:eastAsia="zh-CN"/>
        </w:rPr>
        <w:t>项目</w:t>
      </w:r>
      <w:r>
        <w:rPr>
          <w:rFonts w:hint="eastAsia" w:ascii="仿宋" w:hAnsi="仿宋" w:eastAsia="仿宋" w:cs="仿宋"/>
          <w:sz w:val="32"/>
          <w:szCs w:val="32"/>
          <w:highlight w:val="none"/>
        </w:rPr>
        <w:t>绩效自评综述</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96.95</w:t>
      </w:r>
      <w:r>
        <w:rPr>
          <w:rFonts w:hint="eastAsia" w:ascii="仿宋" w:hAnsi="仿宋" w:eastAsia="仿宋" w:cs="仿宋"/>
          <w:sz w:val="32"/>
          <w:szCs w:val="32"/>
          <w:highlight w:val="none"/>
        </w:rPr>
        <w:t>分。</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color w:val="auto"/>
          <w:sz w:val="32"/>
          <w:szCs w:val="32"/>
          <w:highlight w:val="none"/>
        </w:rPr>
        <w:t>资金总额年初预算数0元，全年预算数10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000元。其中：财政资金年初预算数0元，财政资金全年预算数10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952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310元，执行率</w:t>
      </w:r>
      <w:r>
        <w:rPr>
          <w:rFonts w:hint="eastAsia" w:ascii="仿宋" w:hAnsi="仿宋" w:eastAsia="仿宋" w:cs="仿宋"/>
          <w:color w:val="auto"/>
          <w:sz w:val="32"/>
          <w:szCs w:val="32"/>
          <w:highlight w:val="none"/>
          <w:lang w:val="en-US" w:eastAsia="zh-CN"/>
        </w:rPr>
        <w:t>69.52</w:t>
      </w:r>
      <w:r>
        <w:rPr>
          <w:rFonts w:hint="eastAsia" w:ascii="仿宋" w:hAnsi="仿宋" w:eastAsia="仿宋" w:cs="仿宋"/>
          <w:color w:val="auto"/>
          <w:sz w:val="32"/>
          <w:szCs w:val="32"/>
          <w:highlight w:val="none"/>
        </w:rPr>
        <w:t>%。其中：财政资金全年执行数6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952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310元，执行率</w:t>
      </w:r>
      <w:r>
        <w:rPr>
          <w:rFonts w:hint="eastAsia" w:ascii="仿宋" w:hAnsi="仿宋" w:eastAsia="仿宋" w:cs="仿宋"/>
          <w:color w:val="auto"/>
          <w:sz w:val="32"/>
          <w:szCs w:val="32"/>
          <w:highlight w:val="none"/>
          <w:lang w:val="en-US" w:eastAsia="zh-CN"/>
        </w:rPr>
        <w:t>69.52</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项目绩效目标完成情况：发表SCI论文篇数240篇；授权发明专利29项；申报省部级一等奖项以上3项、二等奖项2项；开展国内外学术交流有73人次</w:t>
      </w:r>
      <w:r>
        <w:rPr>
          <w:rFonts w:hint="eastAsia" w:ascii="仿宋" w:hAnsi="仿宋" w:eastAsia="仿宋" w:cs="仿宋"/>
          <w:color w:val="auto"/>
          <w:sz w:val="32"/>
          <w:szCs w:val="32"/>
          <w:highlight w:val="none"/>
          <w:lang w:eastAsia="zh-CN"/>
        </w:rPr>
        <w:t>。</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11</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11</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597"/>
        <w:gridCol w:w="2333"/>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发表SCI论文篇数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60篇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240篇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申报省部级奖项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5项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授权发明专利</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20项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29项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社会效益指标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开展学术交流</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xml:space="preserve">60人次 </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 xml:space="preserve">73人次 </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12</w:t>
      </w:r>
      <w:r>
        <w:rPr>
          <w:rFonts w:hint="eastAsia" w:ascii="仿宋" w:hAnsi="仿宋" w:eastAsia="仿宋" w:cs="仿宋"/>
          <w:sz w:val="32"/>
          <w:szCs w:val="32"/>
          <w:highlight w:val="none"/>
        </w:rPr>
        <w:t>、热带特色畜禽种质资源的挖掘与利用实验室平台建设</w:t>
      </w:r>
      <w:r>
        <w:rPr>
          <w:rFonts w:hint="eastAsia" w:ascii="仿宋" w:hAnsi="仿宋" w:eastAsia="仿宋" w:cs="仿宋"/>
          <w:sz w:val="32"/>
          <w:szCs w:val="32"/>
          <w:highlight w:val="none"/>
          <w:lang w:val="en-US" w:eastAsia="zh-CN"/>
        </w:rPr>
        <w:t>项目</w:t>
      </w:r>
      <w:r>
        <w:rPr>
          <w:rFonts w:hint="eastAsia" w:ascii="仿宋" w:hAnsi="仿宋" w:eastAsia="仿宋" w:cs="仿宋"/>
          <w:sz w:val="32"/>
          <w:szCs w:val="32"/>
          <w:highlight w:val="none"/>
        </w:rPr>
        <w:t>绩效自评综述</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95</w:t>
      </w:r>
      <w:r>
        <w:rPr>
          <w:rFonts w:hint="eastAsia" w:ascii="仿宋" w:hAnsi="仿宋" w:eastAsia="仿宋" w:cs="仿宋"/>
          <w:sz w:val="32"/>
          <w:szCs w:val="32"/>
          <w:highlight w:val="none"/>
        </w:rPr>
        <w:t>分。</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color w:val="auto"/>
          <w:sz w:val="32"/>
          <w:szCs w:val="32"/>
          <w:highlight w:val="none"/>
        </w:rPr>
        <w:t>资金总额年初预算数0元，全年预算数2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000元。其中：财政资金年初预算数0元，财政资金全年预算数2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000元，执行率</w:t>
      </w:r>
      <w:r>
        <w:rPr>
          <w:rFonts w:hint="eastAsia" w:ascii="仿宋" w:hAnsi="仿宋" w:eastAsia="仿宋" w:cs="仿宋"/>
          <w:color w:val="auto"/>
          <w:sz w:val="32"/>
          <w:szCs w:val="32"/>
          <w:highlight w:val="none"/>
          <w:lang w:val="en-US" w:eastAsia="zh-CN"/>
        </w:rPr>
        <w:t>50</w:t>
      </w:r>
      <w:r>
        <w:rPr>
          <w:rFonts w:hint="eastAsia" w:ascii="仿宋" w:hAnsi="仿宋" w:eastAsia="仿宋" w:cs="仿宋"/>
          <w:color w:val="auto"/>
          <w:sz w:val="32"/>
          <w:szCs w:val="32"/>
          <w:highlight w:val="none"/>
        </w:rPr>
        <w:t>%。其中：财政资金全年执行数1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000元，执行率</w:t>
      </w:r>
      <w:r>
        <w:rPr>
          <w:rFonts w:hint="eastAsia" w:ascii="仿宋" w:hAnsi="仿宋" w:eastAsia="仿宋" w:cs="仿宋"/>
          <w:color w:val="auto"/>
          <w:sz w:val="32"/>
          <w:szCs w:val="32"/>
          <w:highlight w:val="none"/>
          <w:lang w:val="en-US" w:eastAsia="zh-CN"/>
        </w:rPr>
        <w:t>50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绩效目标完成情况：通过本专项扶持，已经完成平台仪器设备购置和技术人员的仪器设备使用培训，已完成并构建热带特色畜禽种质资源的挖掘与利用实验室平台建设和提升，并极大的助力于海南热带特色种质资源研究。</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12</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12</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597"/>
        <w:gridCol w:w="2333"/>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国内外核心期刊发表论文数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SCI收录论文数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专利申请数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社会效益指标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得到实际应用的科研成果数量</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可持续影响指标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支持培养研究生人数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引进高层次人才</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开放共享仪器设备数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4台/套</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4台/套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经济效益指标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成果转化</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10万元</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10万元</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13</w:t>
      </w:r>
      <w:r>
        <w:rPr>
          <w:rFonts w:hint="eastAsia" w:ascii="仿宋" w:hAnsi="仿宋" w:eastAsia="仿宋" w:cs="仿宋"/>
          <w:sz w:val="32"/>
          <w:szCs w:val="32"/>
          <w:highlight w:val="none"/>
        </w:rPr>
        <w:t>、科技合作</w:t>
      </w:r>
      <w:r>
        <w:rPr>
          <w:rFonts w:hint="eastAsia" w:ascii="仿宋" w:hAnsi="仿宋" w:eastAsia="仿宋" w:cs="仿宋"/>
          <w:sz w:val="32"/>
          <w:szCs w:val="32"/>
          <w:highlight w:val="none"/>
          <w:lang w:val="en-US" w:eastAsia="zh-CN"/>
        </w:rPr>
        <w:t>项目</w:t>
      </w:r>
      <w:r>
        <w:rPr>
          <w:rFonts w:hint="eastAsia" w:ascii="仿宋" w:hAnsi="仿宋" w:eastAsia="仿宋" w:cs="仿宋"/>
          <w:sz w:val="32"/>
          <w:szCs w:val="32"/>
          <w:highlight w:val="none"/>
        </w:rPr>
        <w:t>绩效自评综述</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81.07</w:t>
      </w:r>
      <w:r>
        <w:rPr>
          <w:rFonts w:hint="eastAsia" w:ascii="仿宋" w:hAnsi="仿宋" w:eastAsia="仿宋" w:cs="仿宋"/>
          <w:sz w:val="32"/>
          <w:szCs w:val="32"/>
          <w:highlight w:val="none"/>
        </w:rPr>
        <w:t>分。</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color w:val="auto"/>
          <w:sz w:val="32"/>
          <w:szCs w:val="32"/>
          <w:highlight w:val="none"/>
        </w:rPr>
        <w:t>资金总额年初预算数2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450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000元，全年预算数2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450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450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000元，财政资金全年预算数2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450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资金总额全年执行数261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473.56元，执行率</w:t>
      </w:r>
      <w:r>
        <w:rPr>
          <w:rFonts w:hint="eastAsia" w:ascii="仿宋" w:hAnsi="仿宋" w:eastAsia="仿宋" w:cs="仿宋"/>
          <w:color w:val="auto"/>
          <w:sz w:val="32"/>
          <w:szCs w:val="32"/>
          <w:highlight w:val="none"/>
          <w:lang w:val="en-US" w:eastAsia="zh-CN"/>
        </w:rPr>
        <w:t>10.67</w:t>
      </w:r>
      <w:r>
        <w:rPr>
          <w:rFonts w:hint="eastAsia" w:ascii="仿宋" w:hAnsi="仿宋" w:eastAsia="仿宋" w:cs="仿宋"/>
          <w:color w:val="auto"/>
          <w:sz w:val="32"/>
          <w:szCs w:val="32"/>
          <w:highlight w:val="none"/>
        </w:rPr>
        <w:t>%。其中：财政资金全年执行数261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473.56元，执行率</w:t>
      </w:r>
      <w:r>
        <w:rPr>
          <w:rFonts w:hint="eastAsia" w:ascii="仿宋" w:hAnsi="仿宋" w:eastAsia="仿宋" w:cs="仿宋"/>
          <w:color w:val="auto"/>
          <w:sz w:val="32"/>
          <w:szCs w:val="32"/>
          <w:highlight w:val="none"/>
          <w:lang w:val="en-US" w:eastAsia="zh-CN"/>
        </w:rPr>
        <w:t>10.67</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绩效目标完成情况：该项目执行年限为三年，即从2022年3月12日至2025年3月11日。该项目年度目标已基本完成：分析、测试报告数量2份、软件开发1套、EI收录论文2篇、SCI收录论文3篇、国内外核心期刊发表论文2篇、专利申请3项、支持培养研究生12人。</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13</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13</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597"/>
        <w:gridCol w:w="2333"/>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分析、测试报告数量</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2份</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软件开发数量</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1套</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EI收录论文数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SCI收录论文数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国内外核心期刊发表论文数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验收合格率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95%</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专利申请数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2项</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59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可持续影响</w:t>
            </w:r>
          </w:p>
        </w:tc>
        <w:tc>
          <w:tcPr>
            <w:tcW w:w="233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支持培养研究生人数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12人</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14</w:t>
      </w:r>
      <w:r>
        <w:rPr>
          <w:rFonts w:hint="eastAsia" w:ascii="仿宋" w:hAnsi="仿宋" w:eastAsia="仿宋" w:cs="仿宋"/>
          <w:sz w:val="32"/>
          <w:szCs w:val="32"/>
          <w:highlight w:val="none"/>
        </w:rPr>
        <w:t>、省院士创新平台科研</w:t>
      </w:r>
      <w:r>
        <w:rPr>
          <w:rFonts w:hint="eastAsia" w:ascii="仿宋" w:hAnsi="仿宋" w:eastAsia="仿宋" w:cs="仿宋"/>
          <w:sz w:val="32"/>
          <w:szCs w:val="32"/>
          <w:highlight w:val="none"/>
          <w:lang w:val="en-US" w:eastAsia="zh-CN"/>
        </w:rPr>
        <w:t>项目</w:t>
      </w:r>
      <w:r>
        <w:rPr>
          <w:rFonts w:hint="eastAsia" w:ascii="仿宋" w:hAnsi="仿宋" w:eastAsia="仿宋" w:cs="仿宋"/>
          <w:sz w:val="32"/>
          <w:szCs w:val="32"/>
          <w:highlight w:val="none"/>
        </w:rPr>
        <w:t>绩效自评综述</w:t>
      </w:r>
    </w:p>
    <w:p>
      <w:pPr>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根据年初设定的绩效目标，项目自评得分为</w:t>
      </w:r>
      <w:r>
        <w:rPr>
          <w:rFonts w:hint="eastAsia" w:ascii="仿宋" w:hAnsi="仿宋" w:eastAsia="仿宋" w:cs="仿宋"/>
          <w:sz w:val="32"/>
          <w:szCs w:val="32"/>
          <w:highlight w:val="none"/>
          <w:lang w:val="en-US" w:eastAsia="zh-CN"/>
        </w:rPr>
        <w:t>20.75</w:t>
      </w:r>
      <w:r>
        <w:rPr>
          <w:rFonts w:hint="eastAsia" w:ascii="仿宋" w:hAnsi="仿宋" w:eastAsia="仿宋" w:cs="仿宋"/>
          <w:sz w:val="32"/>
          <w:szCs w:val="32"/>
          <w:highlight w:val="none"/>
        </w:rPr>
        <w:t>分。</w:t>
      </w:r>
    </w:p>
    <w:p>
      <w:pPr>
        <w:spacing w:line="360" w:lineRule="auto"/>
        <w:ind w:firstLine="640" w:firstLineChars="200"/>
        <w:rPr>
          <w:rFonts w:hint="eastAsia" w:ascii="仿宋" w:hAnsi="仿宋" w:eastAsia="仿宋" w:cs="仿宋"/>
          <w:sz w:val="32"/>
          <w:szCs w:val="32"/>
          <w:highlight w:val="none"/>
          <w:lang w:eastAsia="zh-CN"/>
        </w:rPr>
      </w:pPr>
      <w:r>
        <w:rPr>
          <w:rFonts w:hint="eastAsia" w:ascii="仿宋" w:hAnsi="仿宋" w:eastAsia="仿宋" w:cs="仿宋"/>
          <w:color w:val="auto"/>
          <w:sz w:val="32"/>
          <w:szCs w:val="32"/>
          <w:highlight w:val="none"/>
        </w:rPr>
        <w:t>资金总额年初预算数1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110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000元，全年预算数1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110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110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000元，财政资金全年预算数1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110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spacing w:line="360" w:lineRule="auto"/>
        <w:ind w:firstLine="640" w:firstLineChars="200"/>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资金总额全年执行数83</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342.83元，执行率</w:t>
      </w:r>
      <w:r>
        <w:rPr>
          <w:rFonts w:hint="eastAsia" w:ascii="仿宋" w:hAnsi="仿宋" w:eastAsia="仿宋" w:cs="仿宋"/>
          <w:color w:val="auto"/>
          <w:sz w:val="32"/>
          <w:szCs w:val="32"/>
          <w:highlight w:val="none"/>
          <w:lang w:val="en-US" w:eastAsia="zh-CN"/>
        </w:rPr>
        <w:t>7.51</w:t>
      </w:r>
      <w:r>
        <w:rPr>
          <w:rFonts w:hint="eastAsia" w:ascii="仿宋" w:hAnsi="仿宋" w:eastAsia="仿宋" w:cs="仿宋"/>
          <w:color w:val="auto"/>
          <w:sz w:val="32"/>
          <w:szCs w:val="32"/>
          <w:highlight w:val="none"/>
        </w:rPr>
        <w:t>%。其中：财政资金全年执行数83</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342.83元，执行率</w:t>
      </w:r>
      <w:r>
        <w:rPr>
          <w:rFonts w:hint="eastAsia" w:ascii="仿宋" w:hAnsi="仿宋" w:eastAsia="仿宋" w:cs="仿宋"/>
          <w:color w:val="auto"/>
          <w:sz w:val="32"/>
          <w:szCs w:val="32"/>
          <w:highlight w:val="none"/>
          <w:lang w:val="en-US" w:eastAsia="zh-CN"/>
        </w:rPr>
        <w:t>7.51</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项目绩效目标完成情况：该项目执行年限为2021年12月至2024年12月，截止至2022年底，本项目完成论文发表1篇，培养学生1名，项目达到年度预期效果，目前按照任务书约定的执行年限正常进行。</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14</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14</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769"/>
        <w:gridCol w:w="2161"/>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发表论文数量</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3篇（部）</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3篇（部）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引进人才</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可持续发展指标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培养学生</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3人</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15</w:t>
      </w:r>
      <w:r>
        <w:rPr>
          <w:rFonts w:hint="eastAsia" w:ascii="仿宋" w:hAnsi="仿宋" w:eastAsia="仿宋" w:cs="仿宋"/>
          <w:sz w:val="32"/>
          <w:szCs w:val="32"/>
          <w:highlight w:val="none"/>
        </w:rPr>
        <w:t>、海南省科学技术奖奖金</w:t>
      </w:r>
      <w:r>
        <w:rPr>
          <w:rFonts w:hint="eastAsia" w:ascii="仿宋" w:hAnsi="仿宋" w:eastAsia="仿宋" w:cs="仿宋"/>
          <w:sz w:val="32"/>
          <w:szCs w:val="32"/>
          <w:highlight w:val="none"/>
          <w:lang w:val="en-US" w:eastAsia="zh-CN"/>
        </w:rPr>
        <w:t>项目</w:t>
      </w:r>
      <w:r>
        <w:rPr>
          <w:rFonts w:hint="eastAsia" w:ascii="仿宋" w:hAnsi="仿宋" w:eastAsia="仿宋" w:cs="仿宋"/>
          <w:sz w:val="32"/>
          <w:szCs w:val="32"/>
          <w:highlight w:val="none"/>
        </w:rPr>
        <w:t>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sz w:val="32"/>
          <w:szCs w:val="32"/>
          <w:highlight w:val="none"/>
        </w:rPr>
        <w:t>根</w:t>
      </w:r>
      <w:r>
        <w:rPr>
          <w:rFonts w:hint="eastAsia" w:ascii="仿宋" w:hAnsi="仿宋" w:eastAsia="仿宋" w:cs="仿宋"/>
          <w:color w:val="auto"/>
          <w:sz w:val="32"/>
          <w:szCs w:val="32"/>
          <w:highlight w:val="none"/>
        </w:rPr>
        <w:t>据年初设定的绩效目标，项目自评得分为</w:t>
      </w:r>
      <w:r>
        <w:rPr>
          <w:rFonts w:hint="eastAsia" w:ascii="仿宋" w:hAnsi="仿宋" w:eastAsia="仿宋" w:cs="仿宋"/>
          <w:color w:val="auto"/>
          <w:sz w:val="32"/>
          <w:szCs w:val="32"/>
          <w:highlight w:val="none"/>
          <w:lang w:val="en-US" w:eastAsia="zh-CN"/>
        </w:rPr>
        <w:t>90</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元，全年预算数980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元，财政资金全年预算数980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项目绩效目标完成情况：奖金发放及时，本年度科学技术奖奖金于2022年12月底到位，是在下一年度（即2023年）发放。</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15</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15</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769"/>
        <w:gridCol w:w="2161"/>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社会效益指标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获得省级奖励</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1个</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6个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按时发放率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90%</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100%</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16</w:t>
      </w:r>
      <w:r>
        <w:rPr>
          <w:rFonts w:hint="eastAsia" w:ascii="仿宋" w:hAnsi="仿宋" w:eastAsia="仿宋" w:cs="仿宋"/>
          <w:sz w:val="32"/>
          <w:szCs w:val="32"/>
          <w:highlight w:val="none"/>
        </w:rPr>
        <w:t>、科技条件平台专项</w:t>
      </w:r>
      <w:r>
        <w:rPr>
          <w:rFonts w:hint="eastAsia" w:ascii="仿宋" w:hAnsi="仿宋" w:eastAsia="仿宋" w:cs="仿宋"/>
          <w:sz w:val="32"/>
          <w:szCs w:val="32"/>
          <w:highlight w:val="none"/>
          <w:lang w:val="en-US" w:eastAsia="zh-CN"/>
        </w:rPr>
        <w:t>项目</w:t>
      </w:r>
      <w:r>
        <w:rPr>
          <w:rFonts w:hint="eastAsia" w:ascii="仿宋" w:hAnsi="仿宋" w:eastAsia="仿宋" w:cs="仿宋"/>
          <w:sz w:val="32"/>
          <w:szCs w:val="32"/>
          <w:highlight w:val="none"/>
        </w:rPr>
        <w:t>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sz w:val="32"/>
          <w:szCs w:val="32"/>
          <w:highlight w:val="none"/>
        </w:rPr>
        <w:t>根</w:t>
      </w:r>
      <w:r>
        <w:rPr>
          <w:rFonts w:hint="eastAsia" w:ascii="仿宋" w:hAnsi="仿宋" w:eastAsia="仿宋" w:cs="仿宋"/>
          <w:color w:val="auto"/>
          <w:sz w:val="32"/>
          <w:szCs w:val="32"/>
          <w:highlight w:val="none"/>
        </w:rPr>
        <w:t>据年初设定的绩效目标，项目自评得分为</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元，全年预算数337</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261元。其中：财政资金年初预算数</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元，财政资金全年预算数337</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261元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项目绩效目标完成情况：该项目预算下达时间为2022年10月，项目执行期一般为2-3年，正在抓紧推进中。本项目为跨年度项目，目前按照计划正常进行，项目未到期。</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16</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16</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769"/>
        <w:gridCol w:w="2161"/>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国内外核心期刊发表论文数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5篇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质量指标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SCI收录论文数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10篇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可持续影响</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支持培养研究生人数</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50人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0人</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tabs>
          <w:tab w:val="left" w:pos="540"/>
        </w:tabs>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lang w:val="en-US" w:eastAsia="zh-CN"/>
        </w:rPr>
        <w:t>17</w:t>
      </w:r>
      <w:r>
        <w:rPr>
          <w:rFonts w:hint="eastAsia" w:ascii="仿宋" w:hAnsi="仿宋" w:eastAsia="仿宋" w:cs="仿宋"/>
          <w:sz w:val="32"/>
          <w:szCs w:val="32"/>
          <w:highlight w:val="none"/>
        </w:rPr>
        <w:t>、软科学</w:t>
      </w:r>
      <w:r>
        <w:rPr>
          <w:rFonts w:hint="eastAsia" w:ascii="仿宋" w:hAnsi="仿宋" w:eastAsia="仿宋" w:cs="仿宋"/>
          <w:sz w:val="32"/>
          <w:szCs w:val="32"/>
          <w:highlight w:val="none"/>
          <w:lang w:val="en-US" w:eastAsia="zh-CN"/>
        </w:rPr>
        <w:t>项目</w:t>
      </w:r>
      <w:r>
        <w:rPr>
          <w:rFonts w:hint="eastAsia" w:ascii="仿宋" w:hAnsi="仿宋" w:eastAsia="仿宋" w:cs="仿宋"/>
          <w:sz w:val="32"/>
          <w:szCs w:val="32"/>
          <w:highlight w:val="none"/>
        </w:rPr>
        <w:t>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sz w:val="32"/>
          <w:szCs w:val="32"/>
          <w:highlight w:val="none"/>
        </w:rPr>
        <w:t>根</w:t>
      </w:r>
      <w:r>
        <w:rPr>
          <w:rFonts w:hint="eastAsia" w:ascii="仿宋" w:hAnsi="仿宋" w:eastAsia="仿宋" w:cs="仿宋"/>
          <w:color w:val="auto"/>
          <w:sz w:val="32"/>
          <w:szCs w:val="32"/>
          <w:highlight w:val="none"/>
        </w:rPr>
        <w:t>据年初设定的绩效目标，项目自评得分为</w:t>
      </w:r>
      <w:r>
        <w:rPr>
          <w:rFonts w:hint="eastAsia" w:ascii="仿宋" w:hAnsi="仿宋" w:eastAsia="仿宋" w:cs="仿宋"/>
          <w:color w:val="auto"/>
          <w:sz w:val="32"/>
          <w:szCs w:val="32"/>
          <w:highlight w:val="none"/>
          <w:lang w:val="en-US" w:eastAsia="zh-CN"/>
        </w:rPr>
        <w:t>94.31</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325,000</w:t>
      </w:r>
      <w:r>
        <w:rPr>
          <w:rFonts w:hint="eastAsia" w:ascii="仿宋" w:hAnsi="仿宋" w:eastAsia="仿宋" w:cs="仿宋"/>
          <w:color w:val="auto"/>
          <w:sz w:val="32"/>
          <w:szCs w:val="32"/>
          <w:highlight w:val="none"/>
        </w:rPr>
        <w:t>元，全年预算数325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w:t>
      </w:r>
      <w:r>
        <w:rPr>
          <w:rFonts w:hint="eastAsia" w:ascii="仿宋" w:hAnsi="仿宋" w:eastAsia="仿宋" w:cs="仿宋"/>
          <w:color w:val="auto"/>
          <w:sz w:val="32"/>
          <w:szCs w:val="32"/>
          <w:highlight w:val="none"/>
          <w:lang w:val="en-US" w:eastAsia="zh-CN"/>
        </w:rPr>
        <w:t>325,000</w:t>
      </w:r>
      <w:r>
        <w:rPr>
          <w:rFonts w:hint="eastAsia" w:ascii="仿宋" w:hAnsi="仿宋" w:eastAsia="仿宋" w:cs="仿宋"/>
          <w:color w:val="auto"/>
          <w:sz w:val="32"/>
          <w:szCs w:val="32"/>
          <w:highlight w:val="none"/>
        </w:rPr>
        <w:t>元，财政资金全年预算数325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140,000</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43.08</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140,000</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43.08</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项目绩效目标完成情况：年度目标已经全部完成: 发表期刊论文1篇、出具研究报告2份，培养研究生数量3人。</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17</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17 </w:t>
      </w:r>
      <w:r>
        <w:rPr>
          <w:rFonts w:hint="eastAsia" w:ascii="仿宋" w:hAnsi="仿宋" w:eastAsia="仿宋" w:cs="仿宋"/>
          <w:sz w:val="28"/>
          <w:szCs w:val="28"/>
          <w:highlight w:val="none"/>
          <w:lang w:eastAsia="zh-CN"/>
        </w:rPr>
        <w:t>项目绩效自评表</w:t>
      </w:r>
    </w:p>
    <w:tbl>
      <w:tblPr>
        <w:tblStyle w:val="7"/>
        <w:tblW w:w="841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451"/>
        <w:gridCol w:w="1769"/>
        <w:gridCol w:w="2161"/>
        <w:gridCol w:w="1515"/>
        <w:gridCol w:w="1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一级指标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二级指标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三级指标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年度指标值</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bCs/>
                <w:color w:val="auto"/>
                <w:sz w:val="20"/>
                <w:szCs w:val="20"/>
                <w:highlight w:val="none"/>
                <w:lang w:val="en-US" w:eastAsia="zh-CN"/>
              </w:rPr>
            </w:pPr>
            <w:r>
              <w:rPr>
                <w:rFonts w:hint="eastAsia" w:ascii="仿宋" w:hAnsi="仿宋" w:eastAsia="仿宋" w:cs="仿宋"/>
                <w:b/>
                <w:bCs/>
                <w:color w:val="auto"/>
                <w:sz w:val="20"/>
                <w:szCs w:val="20"/>
                <w:highlight w:val="none"/>
                <w:lang w:val="en-US" w:eastAsia="zh-CN"/>
              </w:rPr>
              <w:t>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期刊论文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1篇</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1篇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产出指标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数量指标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研究报告</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2份</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2份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3" w:hRule="atLeast"/>
        </w:trPr>
        <w:tc>
          <w:tcPr>
            <w:tcW w:w="145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效益指标</w:t>
            </w:r>
          </w:p>
        </w:tc>
        <w:tc>
          <w:tcPr>
            <w:tcW w:w="1769"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经济效益指标</w:t>
            </w:r>
          </w:p>
        </w:tc>
        <w:tc>
          <w:tcPr>
            <w:tcW w:w="2161"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培养研究生数量</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3人</w:t>
            </w:r>
          </w:p>
        </w:tc>
        <w:tc>
          <w:tcPr>
            <w:tcW w:w="151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jc w:val="center"/>
              <w:rPr>
                <w:rFonts w:hint="eastAsia" w:ascii="仿宋" w:hAnsi="仿宋" w:eastAsia="仿宋" w:cs="仿宋"/>
                <w:b w:val="0"/>
                <w:bCs w:val="0"/>
                <w:color w:val="auto"/>
                <w:sz w:val="20"/>
                <w:szCs w:val="20"/>
                <w:highlight w:val="none"/>
                <w:lang w:val="en-US" w:eastAsia="zh-CN"/>
              </w:rPr>
            </w:pPr>
            <w:r>
              <w:rPr>
                <w:rFonts w:hint="eastAsia" w:ascii="仿宋" w:hAnsi="仿宋" w:eastAsia="仿宋" w:cs="仿宋"/>
                <w:b w:val="0"/>
                <w:bCs w:val="0"/>
                <w:color w:val="auto"/>
                <w:sz w:val="20"/>
                <w:szCs w:val="20"/>
                <w:highlight w:val="none"/>
                <w:lang w:val="en-US" w:eastAsia="zh-CN"/>
              </w:rPr>
              <w:t>3人</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left="0" w:leftChars="0" w:firstLine="640" w:firstLineChars="200"/>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科研类项目</w:t>
      </w:r>
      <w:r>
        <w:rPr>
          <w:rFonts w:hint="eastAsia" w:ascii="仿宋" w:hAnsi="仿宋" w:eastAsia="仿宋" w:cs="仿宋"/>
          <w:sz w:val="32"/>
          <w:szCs w:val="32"/>
          <w:highlight w:val="none"/>
        </w:rPr>
        <w:t>主要问题、原因及建议</w:t>
      </w:r>
      <w:r>
        <w:rPr>
          <w:rFonts w:hint="eastAsia" w:ascii="仿宋" w:hAnsi="仿宋" w:eastAsia="仿宋" w:cs="仿宋"/>
          <w:sz w:val="32"/>
          <w:szCs w:val="32"/>
          <w:highlight w:val="none"/>
          <w:lang w:val="en-US" w:eastAsia="zh-CN"/>
        </w:rPr>
        <w:t>同项目1。</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18</w:t>
      </w:r>
      <w:r>
        <w:rPr>
          <w:rFonts w:hint="eastAsia" w:ascii="仿宋" w:hAnsi="仿宋" w:eastAsia="仿宋" w:cs="仿宋"/>
          <w:color w:val="auto"/>
          <w:sz w:val="32"/>
          <w:szCs w:val="32"/>
          <w:highlight w:val="none"/>
        </w:rPr>
        <w:t>、海甸校区电力改造-学生公寓空调配电系统改造项目绩效自评综述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8,667,207</w:t>
      </w:r>
      <w:r>
        <w:rPr>
          <w:rFonts w:hint="eastAsia" w:ascii="仿宋" w:hAnsi="仿宋" w:eastAsia="仿宋" w:cs="仿宋"/>
          <w:color w:val="auto"/>
          <w:sz w:val="32"/>
          <w:szCs w:val="32"/>
          <w:highlight w:val="none"/>
        </w:rPr>
        <w:t>元，全年预算数8</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667</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207元。其中：财政资金年初预算数</w:t>
      </w:r>
      <w:r>
        <w:rPr>
          <w:rFonts w:hint="eastAsia" w:ascii="仿宋" w:hAnsi="仿宋" w:eastAsia="仿宋" w:cs="仿宋"/>
          <w:color w:val="auto"/>
          <w:sz w:val="32"/>
          <w:szCs w:val="32"/>
          <w:highlight w:val="none"/>
          <w:lang w:val="en-US" w:eastAsia="zh-CN"/>
        </w:rPr>
        <w:t>8,667,207</w:t>
      </w:r>
      <w:r>
        <w:rPr>
          <w:rFonts w:hint="eastAsia" w:ascii="仿宋" w:hAnsi="仿宋" w:eastAsia="仿宋" w:cs="仿宋"/>
          <w:color w:val="auto"/>
          <w:sz w:val="32"/>
          <w:szCs w:val="32"/>
          <w:highlight w:val="none"/>
        </w:rPr>
        <w:t>元，财政资金全年预算数8</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667</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207元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8,667,207</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8,667,207</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已完成学生宿舍的空调供电系统扩容及线路改造，并通电运行，困扰学生空调不能正常使用的问题彻底解决，保证学生公寓正常用电。改造后新增供电容量为7470KVA。</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18</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18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443"/>
        <w:gridCol w:w="2516"/>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时效指标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项目按计划开工率</w:t>
            </w:r>
          </w:p>
        </w:tc>
        <w:tc>
          <w:tcPr>
            <w:tcW w:w="14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90%</w:t>
            </w:r>
          </w:p>
        </w:tc>
        <w:tc>
          <w:tcPr>
            <w:tcW w:w="1475" w:type="dxa"/>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100%</w:t>
            </w:r>
          </w:p>
        </w:tc>
      </w:tr>
      <w:tr>
        <w:tblPrEx>
          <w:tblCellMar>
            <w:top w:w="0" w:type="dxa"/>
            <w:left w:w="108" w:type="dxa"/>
            <w:bottom w:w="0" w:type="dxa"/>
            <w:right w:w="108" w:type="dxa"/>
          </w:tblCellMar>
        </w:tblPrEx>
        <w:trPr>
          <w:trHeight w:val="623" w:hRule="atLeast"/>
        </w:trPr>
        <w:tc>
          <w:tcPr>
            <w:tcW w:w="759" w:type="pct"/>
            <w:tcBorders>
              <w:top w:val="nil"/>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效益指标</w:t>
            </w:r>
          </w:p>
        </w:tc>
        <w:tc>
          <w:tcPr>
            <w:tcW w:w="885" w:type="pct"/>
            <w:tcBorders>
              <w:top w:val="nil"/>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社会效益指标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项目受益人数</w:t>
            </w:r>
          </w:p>
        </w:tc>
        <w:tc>
          <w:tcPr>
            <w:tcW w:w="1475" w:type="dxa"/>
            <w:tcBorders>
              <w:top w:val="nil"/>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30000人</w:t>
            </w:r>
          </w:p>
        </w:tc>
        <w:tc>
          <w:tcPr>
            <w:tcW w:w="1475" w:type="dxa"/>
            <w:tcBorders>
              <w:top w:val="nil"/>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30000人</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成本指标</w:t>
            </w:r>
          </w:p>
        </w:tc>
        <w:tc>
          <w:tcPr>
            <w:tcW w:w="88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经济成本指标</w:t>
            </w:r>
          </w:p>
        </w:tc>
        <w:tc>
          <w:tcPr>
            <w:tcW w:w="154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成本控制率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5%</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19</w:t>
      </w:r>
      <w:r>
        <w:rPr>
          <w:rFonts w:hint="eastAsia" w:ascii="仿宋" w:hAnsi="仿宋" w:eastAsia="仿宋" w:cs="仿宋"/>
          <w:color w:val="auto"/>
          <w:sz w:val="32"/>
          <w:szCs w:val="32"/>
          <w:highlight w:val="none"/>
        </w:rPr>
        <w:t>、创新能力建设专项资金项目绩效自评综述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99.94</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4,300,000</w:t>
      </w:r>
      <w:r>
        <w:rPr>
          <w:rFonts w:hint="eastAsia" w:ascii="仿宋" w:hAnsi="仿宋" w:eastAsia="仿宋" w:cs="仿宋"/>
          <w:color w:val="auto"/>
          <w:sz w:val="32"/>
          <w:szCs w:val="32"/>
          <w:highlight w:val="none"/>
        </w:rPr>
        <w:t>元，全年预算数4</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000元。其中：财政资金年初预算数</w:t>
      </w:r>
      <w:r>
        <w:rPr>
          <w:rFonts w:hint="eastAsia" w:ascii="仿宋" w:hAnsi="仿宋" w:eastAsia="仿宋" w:cs="仿宋"/>
          <w:color w:val="auto"/>
          <w:sz w:val="32"/>
          <w:szCs w:val="32"/>
          <w:highlight w:val="none"/>
          <w:lang w:val="en-US" w:eastAsia="zh-CN"/>
        </w:rPr>
        <w:t>4,300,000</w:t>
      </w:r>
      <w:r>
        <w:rPr>
          <w:rFonts w:hint="eastAsia" w:ascii="仿宋" w:hAnsi="仿宋" w:eastAsia="仿宋" w:cs="仿宋"/>
          <w:color w:val="auto"/>
          <w:sz w:val="32"/>
          <w:szCs w:val="32"/>
          <w:highlight w:val="none"/>
        </w:rPr>
        <w:t>元，财政资金全年预算数4</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300</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000元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4,274,169.5</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99.4</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4,274,169.5</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99.4</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已完成学生宿舍的空调供电系统扩容及线路改造，并通电运行，困扰学生空调不能正常使用的问题彻底解决，保证学生公寓正常用电。改造后新增供电容量为7470KVA。</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19</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19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443"/>
        <w:gridCol w:w="2516"/>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质量指标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验收合格率</w:t>
            </w:r>
          </w:p>
        </w:tc>
        <w:tc>
          <w:tcPr>
            <w:tcW w:w="90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97%</w:t>
            </w:r>
          </w:p>
        </w:tc>
        <w:tc>
          <w:tcPr>
            <w:tcW w:w="90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97%</w:t>
            </w:r>
          </w:p>
        </w:tc>
      </w:tr>
      <w:tr>
        <w:tblPrEx>
          <w:tblCellMar>
            <w:top w:w="0" w:type="dxa"/>
            <w:left w:w="108" w:type="dxa"/>
            <w:bottom w:w="0" w:type="dxa"/>
            <w:right w:w="108" w:type="dxa"/>
          </w:tblCellMar>
        </w:tblPrEx>
        <w:trPr>
          <w:trHeight w:val="623" w:hRule="atLeast"/>
        </w:trPr>
        <w:tc>
          <w:tcPr>
            <w:tcW w:w="759" w:type="pct"/>
            <w:tcBorders>
              <w:top w:val="nil"/>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效益指标</w:t>
            </w:r>
          </w:p>
        </w:tc>
        <w:tc>
          <w:tcPr>
            <w:tcW w:w="885" w:type="pct"/>
            <w:tcBorders>
              <w:top w:val="nil"/>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社会效益指标</w:t>
            </w:r>
          </w:p>
        </w:tc>
        <w:tc>
          <w:tcPr>
            <w:tcW w:w="1544"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发表SCI论文数</w:t>
            </w:r>
          </w:p>
        </w:tc>
        <w:tc>
          <w:tcPr>
            <w:tcW w:w="905" w:type="pct"/>
            <w:tcBorders>
              <w:top w:val="nil"/>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5篇</w:t>
            </w:r>
          </w:p>
        </w:tc>
        <w:tc>
          <w:tcPr>
            <w:tcW w:w="905" w:type="pct"/>
            <w:tcBorders>
              <w:top w:val="nil"/>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5篇</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20</w:t>
      </w:r>
      <w:r>
        <w:rPr>
          <w:rFonts w:hint="eastAsia" w:ascii="仿宋" w:hAnsi="仿宋" w:eastAsia="仿宋" w:cs="仿宋"/>
          <w:color w:val="auto"/>
          <w:sz w:val="32"/>
          <w:szCs w:val="32"/>
          <w:highlight w:val="none"/>
        </w:rPr>
        <w:t>、儋州校区图书馆改造项目绩效自评综述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2,262,863.2</w:t>
      </w:r>
      <w:r>
        <w:rPr>
          <w:rFonts w:hint="eastAsia" w:ascii="仿宋" w:hAnsi="仿宋" w:eastAsia="仿宋" w:cs="仿宋"/>
          <w:color w:val="auto"/>
          <w:sz w:val="32"/>
          <w:szCs w:val="32"/>
          <w:highlight w:val="none"/>
        </w:rPr>
        <w:t>元，全年预算数2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262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863.2元。其中：财政资金年初预算数</w:t>
      </w:r>
      <w:r>
        <w:rPr>
          <w:rFonts w:hint="eastAsia" w:ascii="仿宋" w:hAnsi="仿宋" w:eastAsia="仿宋" w:cs="仿宋"/>
          <w:color w:val="auto"/>
          <w:sz w:val="32"/>
          <w:szCs w:val="32"/>
          <w:highlight w:val="none"/>
          <w:lang w:val="en-US" w:eastAsia="zh-CN"/>
        </w:rPr>
        <w:t>2,262,863.2</w:t>
      </w:r>
      <w:r>
        <w:rPr>
          <w:rFonts w:hint="eastAsia" w:ascii="仿宋" w:hAnsi="仿宋" w:eastAsia="仿宋" w:cs="仿宋"/>
          <w:color w:val="auto"/>
          <w:sz w:val="32"/>
          <w:szCs w:val="32"/>
          <w:highlight w:val="none"/>
        </w:rPr>
        <w:t>元，财政资金全年预算数2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262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863.2元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2,262,863.2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2,262,863.2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已完成项目竣工验收并投入使用，开展工程结算工作。</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20</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20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443"/>
        <w:gridCol w:w="2516"/>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数量指标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建设(改造、修缮)工程量</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8500平方米/公里</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8632.65平方米/公里</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时效指标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项目按计划开工率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90%</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100%</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效益指标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社会效益指标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发生安全事故次数</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2次</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0次</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经济成本指标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成本控制率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5%</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21</w:t>
      </w:r>
      <w:r>
        <w:rPr>
          <w:rFonts w:hint="eastAsia" w:ascii="仿宋" w:hAnsi="仿宋" w:eastAsia="仿宋" w:cs="仿宋"/>
          <w:color w:val="auto"/>
          <w:sz w:val="32"/>
          <w:szCs w:val="32"/>
          <w:highlight w:val="none"/>
        </w:rPr>
        <w:t>、联谊馆周边排涝工程项目绩效自评综述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1,655,215</w:t>
      </w:r>
      <w:r>
        <w:rPr>
          <w:rFonts w:hint="eastAsia" w:ascii="仿宋" w:hAnsi="仿宋" w:eastAsia="仿宋" w:cs="仿宋"/>
          <w:color w:val="auto"/>
          <w:sz w:val="32"/>
          <w:szCs w:val="32"/>
          <w:highlight w:val="none"/>
        </w:rPr>
        <w:t>元，全年预算数1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655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215元。其中：财政资金年初预算数</w:t>
      </w:r>
      <w:r>
        <w:rPr>
          <w:rFonts w:hint="eastAsia" w:ascii="仿宋" w:hAnsi="仿宋" w:eastAsia="仿宋" w:cs="仿宋"/>
          <w:color w:val="auto"/>
          <w:sz w:val="32"/>
          <w:szCs w:val="32"/>
          <w:highlight w:val="none"/>
          <w:lang w:val="en-US" w:eastAsia="zh-CN"/>
        </w:rPr>
        <w:t>1,655,215</w:t>
      </w:r>
      <w:r>
        <w:rPr>
          <w:rFonts w:hint="eastAsia" w:ascii="仿宋" w:hAnsi="仿宋" w:eastAsia="仿宋" w:cs="仿宋"/>
          <w:color w:val="auto"/>
          <w:sz w:val="32"/>
          <w:szCs w:val="32"/>
          <w:highlight w:val="none"/>
        </w:rPr>
        <w:t>元，财政资金全年预算数1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655</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215元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1,655,215</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1,655,215</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已完成项目竣工验收并投入使用，开展工程结算工作。</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21</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21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443"/>
        <w:gridCol w:w="2516"/>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数量指标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建设(改造、修缮)工程量</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400平方米/公里</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400平方米/公里</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时效指标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项目按计划完工率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90%</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100%</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效益指标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社会效益指标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发生安全事故次数</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2次</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0次</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经济成本指标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成本控制率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5%</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22</w:t>
      </w:r>
      <w:r>
        <w:rPr>
          <w:rFonts w:hint="eastAsia" w:ascii="仿宋" w:hAnsi="仿宋" w:eastAsia="仿宋" w:cs="仿宋"/>
          <w:color w:val="auto"/>
          <w:sz w:val="32"/>
          <w:szCs w:val="32"/>
          <w:highlight w:val="none"/>
        </w:rPr>
        <w:t>、儋州校区1至4栋学生宿舍维修改造项目绩效自评综述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1,476,372.83</w:t>
      </w:r>
      <w:r>
        <w:rPr>
          <w:rFonts w:hint="eastAsia" w:ascii="仿宋" w:hAnsi="仿宋" w:eastAsia="仿宋" w:cs="仿宋"/>
          <w:color w:val="auto"/>
          <w:sz w:val="32"/>
          <w:szCs w:val="32"/>
          <w:highlight w:val="none"/>
        </w:rPr>
        <w:t>元，全年预算数1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476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372.83元。其中：财政资金年初预算数</w:t>
      </w:r>
      <w:r>
        <w:rPr>
          <w:rFonts w:hint="eastAsia" w:ascii="仿宋" w:hAnsi="仿宋" w:eastAsia="仿宋" w:cs="仿宋"/>
          <w:color w:val="auto"/>
          <w:sz w:val="32"/>
          <w:szCs w:val="32"/>
          <w:highlight w:val="none"/>
          <w:lang w:val="en-US" w:eastAsia="zh-CN"/>
        </w:rPr>
        <w:t>1,476,372.83</w:t>
      </w:r>
      <w:r>
        <w:rPr>
          <w:rFonts w:hint="eastAsia" w:ascii="仿宋" w:hAnsi="仿宋" w:eastAsia="仿宋" w:cs="仿宋"/>
          <w:color w:val="auto"/>
          <w:sz w:val="32"/>
          <w:szCs w:val="32"/>
          <w:highlight w:val="none"/>
        </w:rPr>
        <w:t>元，财政资金全年预算数1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476</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372.83元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1,476,372.83</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1,476,372.83</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完成项目竣工验收并投入使用，完成工程结算、决算工作。</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22</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22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443"/>
        <w:gridCol w:w="2516"/>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数量指标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建设(改造、修缮)工程量</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8400平方米/公里</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8521.35平方米/公里</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时效指标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项目按计划完工率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90%</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95%</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效益指标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社会效益指标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发生安全事故次数</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2次</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0次</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经济成本指标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成本控制率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5%</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23</w:t>
      </w:r>
      <w:r>
        <w:rPr>
          <w:rFonts w:hint="eastAsia" w:ascii="仿宋" w:hAnsi="仿宋" w:eastAsia="仿宋" w:cs="仿宋"/>
          <w:color w:val="auto"/>
          <w:sz w:val="32"/>
          <w:szCs w:val="32"/>
          <w:highlight w:val="none"/>
        </w:rPr>
        <w:t>、城西校区消防历史遗留问题整改项目绩效自评综述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97</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1,052,083</w:t>
      </w:r>
      <w:r>
        <w:rPr>
          <w:rFonts w:hint="eastAsia" w:ascii="仿宋" w:hAnsi="仿宋" w:eastAsia="仿宋" w:cs="仿宋"/>
          <w:color w:val="auto"/>
          <w:sz w:val="32"/>
          <w:szCs w:val="32"/>
          <w:highlight w:val="none"/>
        </w:rPr>
        <w:t>元，全年预算数1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052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083元。其中：财政资金年初预算数</w:t>
      </w:r>
      <w:r>
        <w:rPr>
          <w:rFonts w:hint="eastAsia" w:ascii="仿宋" w:hAnsi="仿宋" w:eastAsia="仿宋" w:cs="仿宋"/>
          <w:color w:val="auto"/>
          <w:sz w:val="32"/>
          <w:szCs w:val="32"/>
          <w:highlight w:val="none"/>
          <w:lang w:val="en-US" w:eastAsia="zh-CN"/>
        </w:rPr>
        <w:t>1,052,083</w:t>
      </w:r>
      <w:r>
        <w:rPr>
          <w:rFonts w:hint="eastAsia" w:ascii="仿宋" w:hAnsi="仿宋" w:eastAsia="仿宋" w:cs="仿宋"/>
          <w:color w:val="auto"/>
          <w:sz w:val="32"/>
          <w:szCs w:val="32"/>
          <w:highlight w:val="none"/>
        </w:rPr>
        <w:t>元，财政资金全年预算数1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052</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083元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1,052,083</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1,052,083</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项目改造总面积已完成27000平方米，除综合实验楼内部部分面积未完成，其余部分已完成。</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23</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23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443"/>
        <w:gridCol w:w="2516"/>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885"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544"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数量指标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建设(改造、修缮)工程量</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30000平方米/公里</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27000平方米/公里</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时效指标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项目按计划开工率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90%</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90%</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效益指标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社会效益指标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发生安全事故次数</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2次</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0次</w:t>
            </w:r>
          </w:p>
        </w:tc>
      </w:tr>
      <w:tr>
        <w:tblPrEx>
          <w:tblCellMar>
            <w:top w:w="0" w:type="dxa"/>
            <w:left w:w="108" w:type="dxa"/>
            <w:bottom w:w="0" w:type="dxa"/>
            <w:right w:w="108" w:type="dxa"/>
          </w:tblCellMar>
        </w:tblPrEx>
        <w:trPr>
          <w:trHeight w:val="623" w:hRule="atLeast"/>
        </w:trPr>
        <w:tc>
          <w:tcPr>
            <w:tcW w:w="1237"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成本指标</w:t>
            </w:r>
          </w:p>
        </w:tc>
        <w:tc>
          <w:tcPr>
            <w:tcW w:w="1443"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经济成本指标</w:t>
            </w:r>
          </w:p>
        </w:tc>
        <w:tc>
          <w:tcPr>
            <w:tcW w:w="2516"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成本控制率</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5%</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24</w:t>
      </w:r>
      <w:r>
        <w:rPr>
          <w:rFonts w:hint="eastAsia" w:ascii="仿宋" w:hAnsi="仿宋" w:eastAsia="仿宋" w:cs="仿宋"/>
          <w:color w:val="auto"/>
          <w:sz w:val="32"/>
          <w:szCs w:val="32"/>
          <w:highlight w:val="none"/>
        </w:rPr>
        <w:t>、学生资助补助经费项目绩效自评综述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453,098.02</w:t>
      </w:r>
      <w:r>
        <w:rPr>
          <w:rFonts w:hint="eastAsia" w:ascii="仿宋" w:hAnsi="仿宋" w:eastAsia="仿宋" w:cs="仿宋"/>
          <w:color w:val="auto"/>
          <w:sz w:val="32"/>
          <w:szCs w:val="32"/>
          <w:highlight w:val="none"/>
        </w:rPr>
        <w:t>元，全年预算数109</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383.02元。其中：财政资金年初预算数</w:t>
      </w:r>
      <w:r>
        <w:rPr>
          <w:rFonts w:hint="eastAsia" w:ascii="仿宋" w:hAnsi="仿宋" w:eastAsia="仿宋" w:cs="仿宋"/>
          <w:color w:val="auto"/>
          <w:sz w:val="32"/>
          <w:szCs w:val="32"/>
          <w:highlight w:val="none"/>
          <w:lang w:val="en-US" w:eastAsia="zh-CN"/>
        </w:rPr>
        <w:t>453,098.02</w:t>
      </w:r>
      <w:r>
        <w:rPr>
          <w:rFonts w:hint="eastAsia" w:ascii="仿宋" w:hAnsi="仿宋" w:eastAsia="仿宋" w:cs="仿宋"/>
          <w:color w:val="auto"/>
          <w:sz w:val="32"/>
          <w:szCs w:val="32"/>
          <w:highlight w:val="none"/>
        </w:rPr>
        <w:t>元，财政资金全年预算数109</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383.02元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109,383.02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109,383.02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本项目资助家庭经济困难学生，鼓励家庭经济困难学生奋发向上，提升学业。总体而言，成功完成年度目标。奖学金按时发放率达到100%，受资助人数达到330人</w:t>
      </w:r>
      <w:r>
        <w:rPr>
          <w:rFonts w:hint="eastAsia" w:ascii="仿宋" w:hAnsi="仿宋" w:eastAsia="仿宋" w:cs="仿宋"/>
          <w:kern w:val="0"/>
          <w:sz w:val="32"/>
          <w:szCs w:val="32"/>
          <w:highlight w:val="none"/>
          <w:lang w:eastAsia="zh-CN"/>
        </w:rPr>
        <w:t>。</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24</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24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767"/>
        <w:gridCol w:w="2192"/>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1084"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345"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108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数量指标</w:t>
            </w:r>
          </w:p>
        </w:tc>
        <w:tc>
          <w:tcPr>
            <w:tcW w:w="134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按时发放率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100%</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效益指标</w:t>
            </w:r>
          </w:p>
        </w:tc>
        <w:tc>
          <w:tcPr>
            <w:tcW w:w="1084"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可持续发展指标</w:t>
            </w:r>
          </w:p>
        </w:tc>
        <w:tc>
          <w:tcPr>
            <w:tcW w:w="134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受资助人数</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100人</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330人</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25</w:t>
      </w:r>
      <w:r>
        <w:rPr>
          <w:rFonts w:hint="eastAsia" w:ascii="仿宋" w:hAnsi="仿宋" w:eastAsia="仿宋" w:cs="仿宋"/>
          <w:color w:val="auto"/>
          <w:sz w:val="32"/>
          <w:szCs w:val="32"/>
          <w:highlight w:val="none"/>
        </w:rPr>
        <w:t>、泰坚楼维修改造项目绩效自评综述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153,516.2</w:t>
      </w:r>
      <w:r>
        <w:rPr>
          <w:rFonts w:hint="eastAsia" w:ascii="仿宋" w:hAnsi="仿宋" w:eastAsia="仿宋" w:cs="仿宋"/>
          <w:color w:val="auto"/>
          <w:sz w:val="32"/>
          <w:szCs w:val="32"/>
          <w:highlight w:val="none"/>
        </w:rPr>
        <w:t>元，全年预算数153</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516.2元。其中：财政资金年初预算数</w:t>
      </w:r>
      <w:r>
        <w:rPr>
          <w:rFonts w:hint="eastAsia" w:ascii="仿宋" w:hAnsi="仿宋" w:eastAsia="仿宋" w:cs="仿宋"/>
          <w:color w:val="auto"/>
          <w:sz w:val="32"/>
          <w:szCs w:val="32"/>
          <w:highlight w:val="none"/>
          <w:lang w:val="en-US" w:eastAsia="zh-CN"/>
        </w:rPr>
        <w:t>153,516.2</w:t>
      </w:r>
      <w:r>
        <w:rPr>
          <w:rFonts w:hint="eastAsia" w:ascii="仿宋" w:hAnsi="仿宋" w:eastAsia="仿宋" w:cs="仿宋"/>
          <w:color w:val="auto"/>
          <w:sz w:val="32"/>
          <w:szCs w:val="32"/>
          <w:highlight w:val="none"/>
        </w:rPr>
        <w:t>元，财政资金全年预算数153</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516.2元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153,516.2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153,516.2</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已完成项目竣工验收并投入使用，开展工程结算工作。</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25</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25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617"/>
        <w:gridCol w:w="2342"/>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992"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437"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99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数量指标</w:t>
            </w:r>
          </w:p>
        </w:tc>
        <w:tc>
          <w:tcPr>
            <w:tcW w:w="143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建设(改造、修缮)工程量</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4000平方米/公里</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4025.18平方米/公里</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99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时效指标</w:t>
            </w:r>
          </w:p>
        </w:tc>
        <w:tc>
          <w:tcPr>
            <w:tcW w:w="143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项目按计划开工率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90%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100%</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效益指标</w:t>
            </w:r>
          </w:p>
        </w:tc>
        <w:tc>
          <w:tcPr>
            <w:tcW w:w="99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社会效益指标</w:t>
            </w:r>
          </w:p>
        </w:tc>
        <w:tc>
          <w:tcPr>
            <w:tcW w:w="143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发生安全事故次数</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2次</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0次</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成本指标</w:t>
            </w:r>
          </w:p>
        </w:tc>
        <w:tc>
          <w:tcPr>
            <w:tcW w:w="99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经济成本指标</w:t>
            </w:r>
          </w:p>
        </w:tc>
        <w:tc>
          <w:tcPr>
            <w:tcW w:w="143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成本控制率</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5%</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0%</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26</w:t>
      </w:r>
      <w:r>
        <w:rPr>
          <w:rFonts w:hint="eastAsia" w:ascii="仿宋" w:hAnsi="仿宋" w:eastAsia="仿宋" w:cs="仿宋"/>
          <w:color w:val="auto"/>
          <w:sz w:val="32"/>
          <w:szCs w:val="32"/>
          <w:highlight w:val="none"/>
        </w:rPr>
        <w:t>、重大传染病防控经费项目绩效自评综述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99.92</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21,196</w:t>
      </w:r>
      <w:r>
        <w:rPr>
          <w:rFonts w:hint="eastAsia" w:ascii="仿宋" w:hAnsi="仿宋" w:eastAsia="仿宋" w:cs="仿宋"/>
          <w:color w:val="auto"/>
          <w:sz w:val="32"/>
          <w:szCs w:val="32"/>
          <w:highlight w:val="none"/>
        </w:rPr>
        <w:t>元，全年预算数21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196元。其中：财政资金年初预算数</w:t>
      </w:r>
      <w:r>
        <w:rPr>
          <w:rFonts w:hint="eastAsia" w:ascii="仿宋" w:hAnsi="仿宋" w:eastAsia="仿宋" w:cs="仿宋"/>
          <w:color w:val="auto"/>
          <w:sz w:val="32"/>
          <w:szCs w:val="32"/>
          <w:highlight w:val="none"/>
          <w:lang w:val="en-US" w:eastAsia="zh-CN"/>
        </w:rPr>
        <w:t>21,196</w:t>
      </w:r>
      <w:r>
        <w:rPr>
          <w:rFonts w:hint="eastAsia" w:ascii="仿宋" w:hAnsi="仿宋" w:eastAsia="仿宋" w:cs="仿宋"/>
          <w:color w:val="auto"/>
          <w:sz w:val="32"/>
          <w:szCs w:val="32"/>
          <w:highlight w:val="none"/>
        </w:rPr>
        <w:t>元，财政资金全年预算数21</w:t>
      </w:r>
      <w:r>
        <w:rPr>
          <w:rFonts w:hint="eastAsia" w:ascii="仿宋" w:hAnsi="仿宋" w:eastAsia="仿宋" w:cs="仿宋"/>
          <w:color w:val="auto"/>
          <w:sz w:val="32"/>
          <w:szCs w:val="32"/>
          <w:highlight w:val="none"/>
          <w:lang w:val="en-US" w:eastAsia="zh-CN"/>
        </w:rPr>
        <w:t>,</w:t>
      </w:r>
      <w:r>
        <w:rPr>
          <w:rFonts w:hint="eastAsia" w:ascii="仿宋" w:hAnsi="仿宋" w:eastAsia="仿宋" w:cs="仿宋"/>
          <w:color w:val="auto"/>
          <w:sz w:val="32"/>
          <w:szCs w:val="32"/>
          <w:highlight w:val="none"/>
        </w:rPr>
        <w:t>196元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21,035.9</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99.24</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21,035.9</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99.24</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联合海南省第五人民医院开展海南大学举行2022年“共抗艾滋 共享健康”艾滋病防治巡回讲座1次。</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26</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26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617"/>
        <w:gridCol w:w="2342"/>
        <w:gridCol w:w="147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992"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437"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99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数量指标</w:t>
            </w:r>
          </w:p>
        </w:tc>
        <w:tc>
          <w:tcPr>
            <w:tcW w:w="143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开展艾滋病宣传工作</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1次</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1次</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效益指标</w:t>
            </w:r>
          </w:p>
        </w:tc>
        <w:tc>
          <w:tcPr>
            <w:tcW w:w="992"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社会效益指标</w:t>
            </w:r>
          </w:p>
        </w:tc>
        <w:tc>
          <w:tcPr>
            <w:tcW w:w="1437"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活动覆盖人数</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38000人次</w:t>
            </w:r>
          </w:p>
        </w:tc>
        <w:tc>
          <w:tcPr>
            <w:tcW w:w="1475"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40000人次</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暂无。</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27</w:t>
      </w:r>
      <w:r>
        <w:rPr>
          <w:rFonts w:hint="eastAsia" w:ascii="仿宋" w:hAnsi="仿宋" w:eastAsia="仿宋" w:cs="仿宋"/>
          <w:color w:val="auto"/>
          <w:sz w:val="32"/>
          <w:szCs w:val="32"/>
          <w:highlight w:val="none"/>
        </w:rPr>
        <w:t>、林业改革发展资金项目绩效自评综述</w:t>
      </w:r>
    </w:p>
    <w:p>
      <w:pPr>
        <w:widowControl/>
        <w:spacing w:line="578" w:lineRule="atLeast"/>
        <w:ind w:firstLine="640" w:firstLineChars="200"/>
        <w:jc w:val="both"/>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根据年初设定的绩效目标，项目自评得分为</w:t>
      </w:r>
      <w:r>
        <w:rPr>
          <w:rFonts w:hint="eastAsia" w:ascii="仿宋" w:hAnsi="仿宋" w:eastAsia="仿宋" w:cs="仿宋"/>
          <w:color w:val="auto"/>
          <w:sz w:val="32"/>
          <w:szCs w:val="32"/>
          <w:highlight w:val="none"/>
          <w:lang w:val="en-US" w:eastAsia="zh-CN"/>
        </w:rPr>
        <w:t>99.92</w:t>
      </w:r>
      <w:r>
        <w:rPr>
          <w:rFonts w:hint="eastAsia" w:ascii="仿宋" w:hAnsi="仿宋" w:eastAsia="仿宋" w:cs="仿宋"/>
          <w:color w:val="auto"/>
          <w:sz w:val="32"/>
          <w:szCs w:val="32"/>
          <w:highlight w:val="none"/>
        </w:rPr>
        <w:t>分。</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资金总额年初预算数</w:t>
      </w:r>
      <w:r>
        <w:rPr>
          <w:rFonts w:hint="eastAsia" w:ascii="仿宋" w:hAnsi="仿宋" w:eastAsia="仿宋" w:cs="仿宋"/>
          <w:color w:val="auto"/>
          <w:sz w:val="32"/>
          <w:szCs w:val="32"/>
          <w:highlight w:val="none"/>
          <w:lang w:val="en-US" w:eastAsia="zh-CN"/>
        </w:rPr>
        <w:t>20,799.67</w:t>
      </w:r>
      <w:r>
        <w:rPr>
          <w:rFonts w:hint="eastAsia" w:ascii="仿宋" w:hAnsi="仿宋" w:eastAsia="仿宋" w:cs="仿宋"/>
          <w:color w:val="auto"/>
          <w:sz w:val="32"/>
          <w:szCs w:val="32"/>
          <w:highlight w:val="none"/>
        </w:rPr>
        <w:t>元，全年预算数265.3元。其中：财政资金年初预算数</w:t>
      </w:r>
      <w:r>
        <w:rPr>
          <w:rFonts w:hint="eastAsia" w:ascii="仿宋" w:hAnsi="仿宋" w:eastAsia="仿宋" w:cs="仿宋"/>
          <w:color w:val="auto"/>
          <w:sz w:val="32"/>
          <w:szCs w:val="32"/>
          <w:highlight w:val="none"/>
          <w:lang w:val="en-US" w:eastAsia="zh-CN"/>
        </w:rPr>
        <w:t>20,799.67</w:t>
      </w:r>
      <w:r>
        <w:rPr>
          <w:rFonts w:hint="eastAsia" w:ascii="仿宋" w:hAnsi="仿宋" w:eastAsia="仿宋" w:cs="仿宋"/>
          <w:color w:val="auto"/>
          <w:sz w:val="32"/>
          <w:szCs w:val="32"/>
          <w:highlight w:val="none"/>
        </w:rPr>
        <w:t>元，财政资金全年预算数265.3元</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资金总额全年执行数</w:t>
      </w:r>
      <w:r>
        <w:rPr>
          <w:rFonts w:hint="eastAsia" w:ascii="仿宋" w:hAnsi="仿宋" w:eastAsia="仿宋" w:cs="仿宋"/>
          <w:color w:val="auto"/>
          <w:sz w:val="32"/>
          <w:szCs w:val="32"/>
          <w:highlight w:val="none"/>
          <w:lang w:val="en-US" w:eastAsia="zh-CN"/>
        </w:rPr>
        <w:t>265.3</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%。其中：财政资金全年执行数</w:t>
      </w:r>
      <w:r>
        <w:rPr>
          <w:rFonts w:hint="eastAsia" w:ascii="仿宋" w:hAnsi="仿宋" w:eastAsia="仿宋" w:cs="仿宋"/>
          <w:color w:val="auto"/>
          <w:sz w:val="32"/>
          <w:szCs w:val="32"/>
          <w:highlight w:val="none"/>
          <w:lang w:val="en-US" w:eastAsia="zh-CN"/>
        </w:rPr>
        <w:t>265.3</w:t>
      </w:r>
      <w:r>
        <w:rPr>
          <w:rFonts w:hint="eastAsia" w:ascii="仿宋" w:hAnsi="仿宋" w:eastAsia="仿宋" w:cs="仿宋"/>
          <w:color w:val="auto"/>
          <w:sz w:val="32"/>
          <w:szCs w:val="32"/>
          <w:highlight w:val="none"/>
        </w:rPr>
        <w:t>元，执行率</w:t>
      </w:r>
      <w:r>
        <w:rPr>
          <w:rFonts w:hint="eastAsia" w:ascii="仿宋" w:hAnsi="仿宋" w:eastAsia="仿宋" w:cs="仿宋"/>
          <w:color w:val="auto"/>
          <w:sz w:val="32"/>
          <w:szCs w:val="32"/>
          <w:highlight w:val="none"/>
          <w:lang w:val="en-US" w:eastAsia="zh-CN"/>
        </w:rPr>
        <w:t>100</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p>
    <w:p>
      <w:pPr>
        <w:widowControl/>
        <w:spacing w:line="578" w:lineRule="atLeast"/>
        <w:ind w:firstLine="640" w:firstLineChars="200"/>
        <w:jc w:val="both"/>
        <w:rPr>
          <w:rFonts w:hint="eastAsia" w:ascii="仿宋" w:hAnsi="仿宋" w:eastAsia="仿宋" w:cs="仿宋"/>
          <w:color w:val="auto"/>
          <w:kern w:val="0"/>
          <w:sz w:val="32"/>
          <w:szCs w:val="32"/>
          <w:highlight w:val="none"/>
          <w:lang w:val="en-US" w:eastAsia="zh-CN"/>
        </w:rPr>
      </w:pPr>
      <w:r>
        <w:rPr>
          <w:rFonts w:hint="eastAsia" w:ascii="仿宋" w:hAnsi="仿宋" w:eastAsia="仿宋" w:cs="仿宋"/>
          <w:color w:val="auto"/>
          <w:sz w:val="32"/>
          <w:szCs w:val="32"/>
          <w:highlight w:val="none"/>
        </w:rPr>
        <w:t>项目绩效目标完成情况：</w:t>
      </w:r>
      <w:r>
        <w:rPr>
          <w:rFonts w:hint="eastAsia" w:ascii="仿宋" w:hAnsi="仿宋" w:eastAsia="仿宋" w:cs="仿宋"/>
          <w:kern w:val="0"/>
          <w:sz w:val="32"/>
          <w:szCs w:val="32"/>
          <w:highlight w:val="none"/>
        </w:rPr>
        <w:t>油茶良种嫁接苗60万株育苗任务已完成，目前已销售推广销售约20万株，带动了20人就业，当年任务完成率达到100%。</w:t>
      </w:r>
    </w:p>
    <w:p>
      <w:pPr>
        <w:autoSpaceDE w:val="0"/>
        <w:spacing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具体完成情况见表</w:t>
      </w:r>
      <w:r>
        <w:rPr>
          <w:rFonts w:hint="eastAsia" w:ascii="仿宋" w:hAnsi="仿宋" w:eastAsia="仿宋" w:cs="仿宋"/>
          <w:sz w:val="32"/>
          <w:szCs w:val="32"/>
          <w:highlight w:val="none"/>
          <w:lang w:val="en-US" w:eastAsia="zh-CN"/>
        </w:rPr>
        <w:t>27</w:t>
      </w:r>
      <w:r>
        <w:rPr>
          <w:rFonts w:hint="eastAsia" w:ascii="仿宋" w:hAnsi="仿宋" w:eastAsia="仿宋" w:cs="仿宋"/>
          <w:sz w:val="32"/>
          <w:szCs w:val="32"/>
          <w:highlight w:val="none"/>
        </w:rPr>
        <w:t>。</w:t>
      </w:r>
    </w:p>
    <w:p>
      <w:pPr>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rPr>
        <w:t xml:space="preserve"> 表</w:t>
      </w:r>
      <w:r>
        <w:rPr>
          <w:rFonts w:hint="eastAsia" w:ascii="仿宋" w:hAnsi="仿宋" w:eastAsia="仿宋" w:cs="仿宋"/>
          <w:sz w:val="28"/>
          <w:szCs w:val="28"/>
          <w:highlight w:val="none"/>
          <w:lang w:val="en-US" w:eastAsia="zh-CN"/>
        </w:rPr>
        <w:t xml:space="preserve">27 </w:t>
      </w:r>
      <w:r>
        <w:rPr>
          <w:rFonts w:hint="eastAsia" w:ascii="仿宋" w:hAnsi="仿宋" w:eastAsia="仿宋" w:cs="仿宋"/>
          <w:sz w:val="28"/>
          <w:szCs w:val="28"/>
          <w:highlight w:val="none"/>
          <w:lang w:eastAsia="zh-CN"/>
        </w:rPr>
        <w:t>项目绩效自评表</w:t>
      </w:r>
    </w:p>
    <w:tbl>
      <w:tblPr>
        <w:tblStyle w:val="7"/>
        <w:tblW w:w="4779" w:type="pct"/>
        <w:tblInd w:w="232" w:type="dxa"/>
        <w:tblLayout w:type="fixed"/>
        <w:tblCellMar>
          <w:top w:w="0" w:type="dxa"/>
          <w:left w:w="108" w:type="dxa"/>
          <w:bottom w:w="0" w:type="dxa"/>
          <w:right w:w="108" w:type="dxa"/>
        </w:tblCellMar>
      </w:tblPr>
      <w:tblGrid>
        <w:gridCol w:w="1237"/>
        <w:gridCol w:w="1559"/>
        <w:gridCol w:w="2550"/>
        <w:gridCol w:w="1325"/>
        <w:gridCol w:w="1475"/>
      </w:tblGrid>
      <w:tr>
        <w:tblPrEx>
          <w:tblCellMar>
            <w:top w:w="0" w:type="dxa"/>
            <w:left w:w="108" w:type="dxa"/>
            <w:bottom w:w="0" w:type="dxa"/>
            <w:right w:w="108" w:type="dxa"/>
          </w:tblCellMar>
        </w:tblPrEx>
        <w:trPr>
          <w:trHeight w:val="76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一级指标</w:t>
            </w:r>
          </w:p>
        </w:tc>
        <w:tc>
          <w:tcPr>
            <w:tcW w:w="956" w:type="pct"/>
            <w:tcBorders>
              <w:top w:val="single" w:color="auto" w:sz="4" w:space="0"/>
              <w:left w:val="nil"/>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二级指标</w:t>
            </w:r>
          </w:p>
        </w:tc>
        <w:tc>
          <w:tcPr>
            <w:tcW w:w="1565" w:type="pct"/>
            <w:tcBorders>
              <w:top w:val="single" w:color="auto" w:sz="4" w:space="0"/>
              <w:left w:val="nil"/>
              <w:bottom w:val="single" w:color="auto" w:sz="4" w:space="0"/>
              <w:right w:val="single" w:color="000000" w:sz="4" w:space="0"/>
            </w:tcBorders>
            <w:shd w:val="clear" w:color="000000" w:fill="FFFFFF"/>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三级指标</w:t>
            </w:r>
          </w:p>
        </w:tc>
        <w:tc>
          <w:tcPr>
            <w:tcW w:w="813"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年度指标值</w:t>
            </w:r>
          </w:p>
        </w:tc>
        <w:tc>
          <w:tcPr>
            <w:tcW w:w="905" w:type="pct"/>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b/>
                <w:bCs/>
                <w:color w:val="000000"/>
                <w:kern w:val="0"/>
                <w:sz w:val="20"/>
                <w:szCs w:val="20"/>
                <w:highlight w:val="none"/>
              </w:rPr>
            </w:pPr>
            <w:r>
              <w:rPr>
                <w:rFonts w:hint="eastAsia" w:ascii="仿宋" w:hAnsi="仿宋" w:eastAsia="仿宋" w:cs="仿宋"/>
                <w:b/>
                <w:bCs/>
                <w:color w:val="000000"/>
                <w:kern w:val="0"/>
                <w:sz w:val="20"/>
                <w:szCs w:val="20"/>
                <w:highlight w:val="none"/>
              </w:rPr>
              <w:t>实际完成值</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95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时效指标</w:t>
            </w:r>
          </w:p>
        </w:tc>
        <w:tc>
          <w:tcPr>
            <w:tcW w:w="156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当年任务完成率</w:t>
            </w:r>
          </w:p>
        </w:tc>
        <w:tc>
          <w:tcPr>
            <w:tcW w:w="81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100%</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100%</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产出指标</w:t>
            </w:r>
          </w:p>
        </w:tc>
        <w:tc>
          <w:tcPr>
            <w:tcW w:w="95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数量指标</w:t>
            </w:r>
          </w:p>
        </w:tc>
        <w:tc>
          <w:tcPr>
            <w:tcW w:w="156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rPr>
            </w:pPr>
            <w:r>
              <w:rPr>
                <w:rFonts w:hint="eastAsia" w:ascii="仿宋" w:hAnsi="仿宋" w:eastAsia="仿宋" w:cs="仿宋"/>
                <w:b w:val="0"/>
                <w:bCs w:val="0"/>
                <w:color w:val="000000"/>
                <w:kern w:val="0"/>
                <w:sz w:val="20"/>
                <w:szCs w:val="20"/>
                <w:highlight w:val="none"/>
                <w:lang w:val="en-US" w:eastAsia="zh-CN"/>
              </w:rPr>
              <w:t>培育的优良种子标准级别</w:t>
            </w:r>
          </w:p>
        </w:tc>
        <w:tc>
          <w:tcPr>
            <w:tcW w:w="81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rPr>
            </w:pPr>
            <w:r>
              <w:rPr>
                <w:rFonts w:hint="eastAsia" w:ascii="仿宋" w:hAnsi="仿宋" w:eastAsia="仿宋" w:cs="仿宋"/>
                <w:b w:val="0"/>
                <w:bCs w:val="0"/>
                <w:color w:val="000000"/>
                <w:kern w:val="0"/>
                <w:sz w:val="20"/>
                <w:szCs w:val="20"/>
                <w:highlight w:val="none"/>
                <w:lang w:val="en-US" w:eastAsia="zh-CN"/>
              </w:rPr>
              <w:t>1级</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1级</w:t>
            </w:r>
          </w:p>
        </w:tc>
      </w:tr>
      <w:tr>
        <w:tblPrEx>
          <w:tblCellMar>
            <w:top w:w="0" w:type="dxa"/>
            <w:left w:w="108" w:type="dxa"/>
            <w:bottom w:w="0" w:type="dxa"/>
            <w:right w:w="108" w:type="dxa"/>
          </w:tblCellMar>
        </w:tblPrEx>
        <w:trPr>
          <w:trHeight w:val="623" w:hRule="atLeast"/>
        </w:trPr>
        <w:tc>
          <w:tcPr>
            <w:tcW w:w="759"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效益指标</w:t>
            </w:r>
          </w:p>
        </w:tc>
        <w:tc>
          <w:tcPr>
            <w:tcW w:w="956"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社会效益指标</w:t>
            </w:r>
          </w:p>
        </w:tc>
        <w:tc>
          <w:tcPr>
            <w:tcW w:w="156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通过良种培育带动了就业</w:t>
            </w:r>
          </w:p>
        </w:tc>
        <w:tc>
          <w:tcPr>
            <w:tcW w:w="813"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10人数</w:t>
            </w:r>
          </w:p>
        </w:tc>
        <w:tc>
          <w:tcPr>
            <w:tcW w:w="905" w:type="pct"/>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spacing w:line="360" w:lineRule="auto"/>
              <w:jc w:val="center"/>
              <w:rPr>
                <w:rFonts w:hint="eastAsia" w:ascii="仿宋" w:hAnsi="仿宋" w:eastAsia="仿宋" w:cs="仿宋"/>
                <w:b w:val="0"/>
                <w:bCs w:val="0"/>
                <w:color w:val="000000"/>
                <w:kern w:val="0"/>
                <w:sz w:val="20"/>
                <w:szCs w:val="20"/>
                <w:highlight w:val="none"/>
                <w:lang w:val="en-US" w:eastAsia="zh-CN"/>
              </w:rPr>
            </w:pPr>
            <w:r>
              <w:rPr>
                <w:rFonts w:hint="eastAsia" w:ascii="仿宋" w:hAnsi="仿宋" w:eastAsia="仿宋" w:cs="仿宋"/>
                <w:b w:val="0"/>
                <w:bCs w:val="0"/>
                <w:color w:val="000000"/>
                <w:kern w:val="0"/>
                <w:sz w:val="20"/>
                <w:szCs w:val="20"/>
                <w:highlight w:val="none"/>
                <w:lang w:val="en-US" w:eastAsia="zh-CN"/>
              </w:rPr>
              <w:t>20人数</w:t>
            </w:r>
          </w:p>
        </w:tc>
      </w:tr>
    </w:tbl>
    <w:p>
      <w:pPr>
        <w:spacing w:before="156" w:beforeLines="50" w:line="360" w:lineRule="auto"/>
        <w:ind w:firstLine="640" w:firstLineChars="200"/>
        <w:rPr>
          <w:rFonts w:hint="eastAsia" w:ascii="仿宋" w:hAnsi="仿宋" w:eastAsia="仿宋" w:cs="仿宋"/>
          <w:sz w:val="32"/>
          <w:szCs w:val="32"/>
          <w:highlight w:val="none"/>
        </w:rPr>
      </w:pPr>
      <w:r>
        <w:rPr>
          <w:rFonts w:hint="eastAsia" w:ascii="仿宋" w:hAnsi="仿宋" w:eastAsia="仿宋" w:cs="仿宋"/>
          <w:sz w:val="32"/>
          <w:szCs w:val="32"/>
          <w:highlight w:val="none"/>
        </w:rPr>
        <w:t>发现的主要问题、原因及建议：</w:t>
      </w:r>
    </w:p>
    <w:p>
      <w:pPr>
        <w:pStyle w:val="2"/>
        <w:ind w:firstLine="640" w:firstLineChars="200"/>
        <w:rPr>
          <w:rFonts w:hint="eastAsia" w:ascii="仿宋" w:hAnsi="仿宋" w:eastAsia="仿宋" w:cs="仿宋"/>
          <w:highlight w:val="none"/>
        </w:rPr>
      </w:pPr>
      <w:r>
        <w:rPr>
          <w:rFonts w:hint="eastAsia" w:ascii="仿宋" w:hAnsi="仿宋" w:eastAsia="仿宋" w:cs="仿宋"/>
          <w:kern w:val="2"/>
          <w:sz w:val="32"/>
          <w:szCs w:val="32"/>
          <w:highlight w:val="none"/>
          <w:lang w:val="en-US" w:eastAsia="zh-CN" w:bidi="ar-SA"/>
        </w:rPr>
        <w:t>暂无。</w:t>
      </w:r>
    </w:p>
    <w:p>
      <w:pPr>
        <w:spacing w:line="360" w:lineRule="auto"/>
        <w:ind w:firstLine="420" w:firstLineChars="200"/>
        <w:rPr>
          <w:rFonts w:hint="eastAsia" w:ascii="仿宋" w:hAnsi="仿宋" w:eastAsia="仿宋" w:cs="仿宋"/>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BkZmVlMGEwZGY0YzhjMGZmMmRmMWIzMTEzMmNjOGIifQ=="/>
  </w:docVars>
  <w:rsids>
    <w:rsidRoot w:val="00000000"/>
    <w:rsid w:val="001675AE"/>
    <w:rsid w:val="007C3482"/>
    <w:rsid w:val="011C028F"/>
    <w:rsid w:val="01CE57B8"/>
    <w:rsid w:val="01F571E8"/>
    <w:rsid w:val="02CD056D"/>
    <w:rsid w:val="02EB239A"/>
    <w:rsid w:val="03570B9C"/>
    <w:rsid w:val="043F6404"/>
    <w:rsid w:val="048E1E25"/>
    <w:rsid w:val="04FC43EA"/>
    <w:rsid w:val="054144F3"/>
    <w:rsid w:val="055C5765"/>
    <w:rsid w:val="060A2B37"/>
    <w:rsid w:val="071A4FFB"/>
    <w:rsid w:val="073A38CF"/>
    <w:rsid w:val="077F41EF"/>
    <w:rsid w:val="07B741AE"/>
    <w:rsid w:val="08A052E6"/>
    <w:rsid w:val="099358C9"/>
    <w:rsid w:val="09E532BA"/>
    <w:rsid w:val="0A264B9C"/>
    <w:rsid w:val="0B7929A8"/>
    <w:rsid w:val="0B987A3C"/>
    <w:rsid w:val="0BA276BD"/>
    <w:rsid w:val="0BD70132"/>
    <w:rsid w:val="0C2907E9"/>
    <w:rsid w:val="0C625AA7"/>
    <w:rsid w:val="0CE0675F"/>
    <w:rsid w:val="0CE547A5"/>
    <w:rsid w:val="0D68166A"/>
    <w:rsid w:val="0D981488"/>
    <w:rsid w:val="0DF91E0E"/>
    <w:rsid w:val="0E6217F5"/>
    <w:rsid w:val="0EA5271C"/>
    <w:rsid w:val="0F033E8F"/>
    <w:rsid w:val="0F0C791F"/>
    <w:rsid w:val="0F1F485D"/>
    <w:rsid w:val="1005689B"/>
    <w:rsid w:val="103A378A"/>
    <w:rsid w:val="11231A18"/>
    <w:rsid w:val="11924999"/>
    <w:rsid w:val="1228104F"/>
    <w:rsid w:val="125E37B6"/>
    <w:rsid w:val="12F40DF6"/>
    <w:rsid w:val="12FE2C52"/>
    <w:rsid w:val="13E14B44"/>
    <w:rsid w:val="13FA243C"/>
    <w:rsid w:val="152B0972"/>
    <w:rsid w:val="15783F61"/>
    <w:rsid w:val="15EE5FD1"/>
    <w:rsid w:val="16DD6E7A"/>
    <w:rsid w:val="17771379"/>
    <w:rsid w:val="17DF7A1A"/>
    <w:rsid w:val="17F82398"/>
    <w:rsid w:val="184E4D3B"/>
    <w:rsid w:val="194720B3"/>
    <w:rsid w:val="1967459C"/>
    <w:rsid w:val="1A297944"/>
    <w:rsid w:val="1B0A2852"/>
    <w:rsid w:val="1B701236"/>
    <w:rsid w:val="1C276CB2"/>
    <w:rsid w:val="1CD53A47"/>
    <w:rsid w:val="1D022A36"/>
    <w:rsid w:val="1D495AF7"/>
    <w:rsid w:val="1D9C70F7"/>
    <w:rsid w:val="1E9B1AE1"/>
    <w:rsid w:val="1F0054E3"/>
    <w:rsid w:val="1F7D1A45"/>
    <w:rsid w:val="1FD33329"/>
    <w:rsid w:val="20B6121F"/>
    <w:rsid w:val="213634B2"/>
    <w:rsid w:val="213F1987"/>
    <w:rsid w:val="217D645B"/>
    <w:rsid w:val="237A5348"/>
    <w:rsid w:val="23F873F7"/>
    <w:rsid w:val="2453076C"/>
    <w:rsid w:val="255045B2"/>
    <w:rsid w:val="259F4AE8"/>
    <w:rsid w:val="25CC5344"/>
    <w:rsid w:val="274A389D"/>
    <w:rsid w:val="27AA5303"/>
    <w:rsid w:val="27F05BD9"/>
    <w:rsid w:val="28722C41"/>
    <w:rsid w:val="28C83B50"/>
    <w:rsid w:val="295624BD"/>
    <w:rsid w:val="29684C55"/>
    <w:rsid w:val="2AC05D36"/>
    <w:rsid w:val="2B7D6336"/>
    <w:rsid w:val="2B8919C3"/>
    <w:rsid w:val="2C47597A"/>
    <w:rsid w:val="2C815051"/>
    <w:rsid w:val="2CDF614E"/>
    <w:rsid w:val="2E505623"/>
    <w:rsid w:val="2EB80E51"/>
    <w:rsid w:val="2F2F75F7"/>
    <w:rsid w:val="30021656"/>
    <w:rsid w:val="30B31E99"/>
    <w:rsid w:val="30FB5378"/>
    <w:rsid w:val="31264419"/>
    <w:rsid w:val="31CB26D7"/>
    <w:rsid w:val="324749E3"/>
    <w:rsid w:val="328F7449"/>
    <w:rsid w:val="32982CB6"/>
    <w:rsid w:val="329B3C5F"/>
    <w:rsid w:val="32B03598"/>
    <w:rsid w:val="34C72FF1"/>
    <w:rsid w:val="35095F6B"/>
    <w:rsid w:val="35A71F6E"/>
    <w:rsid w:val="36CC4CF8"/>
    <w:rsid w:val="36FF7AA3"/>
    <w:rsid w:val="37607601"/>
    <w:rsid w:val="383B2EA0"/>
    <w:rsid w:val="38AC518A"/>
    <w:rsid w:val="3ACB3A69"/>
    <w:rsid w:val="3AF45588"/>
    <w:rsid w:val="3B4272F4"/>
    <w:rsid w:val="3B451F73"/>
    <w:rsid w:val="3B9D50C0"/>
    <w:rsid w:val="3C405C01"/>
    <w:rsid w:val="3CDB1CF4"/>
    <w:rsid w:val="3D1A01E0"/>
    <w:rsid w:val="3DD1395F"/>
    <w:rsid w:val="3DE32AC4"/>
    <w:rsid w:val="3E950E30"/>
    <w:rsid w:val="3E9E0642"/>
    <w:rsid w:val="3F01658C"/>
    <w:rsid w:val="3F340223"/>
    <w:rsid w:val="3F7F525C"/>
    <w:rsid w:val="3F903914"/>
    <w:rsid w:val="3FBF0DD8"/>
    <w:rsid w:val="3FD2189A"/>
    <w:rsid w:val="40233273"/>
    <w:rsid w:val="406821E7"/>
    <w:rsid w:val="408D1223"/>
    <w:rsid w:val="40D55514"/>
    <w:rsid w:val="41382CD2"/>
    <w:rsid w:val="41AA4BF2"/>
    <w:rsid w:val="424E2509"/>
    <w:rsid w:val="426C3C56"/>
    <w:rsid w:val="427E2AD7"/>
    <w:rsid w:val="432F3601"/>
    <w:rsid w:val="437159C8"/>
    <w:rsid w:val="43717414"/>
    <w:rsid w:val="438029B0"/>
    <w:rsid w:val="447F58E5"/>
    <w:rsid w:val="44EE57F6"/>
    <w:rsid w:val="453C2005"/>
    <w:rsid w:val="456432C1"/>
    <w:rsid w:val="459B7312"/>
    <w:rsid w:val="45B858B9"/>
    <w:rsid w:val="4615223B"/>
    <w:rsid w:val="465A557C"/>
    <w:rsid w:val="47013507"/>
    <w:rsid w:val="47DC187E"/>
    <w:rsid w:val="48212413"/>
    <w:rsid w:val="48B128C3"/>
    <w:rsid w:val="48DE5A3E"/>
    <w:rsid w:val="48FC21D7"/>
    <w:rsid w:val="49563C6B"/>
    <w:rsid w:val="495F62C2"/>
    <w:rsid w:val="49DF77CB"/>
    <w:rsid w:val="4B175D35"/>
    <w:rsid w:val="4B2A4627"/>
    <w:rsid w:val="4B425E9C"/>
    <w:rsid w:val="4B9E125C"/>
    <w:rsid w:val="4C2D2789"/>
    <w:rsid w:val="4CBE409E"/>
    <w:rsid w:val="4CF913F7"/>
    <w:rsid w:val="4D4E02A1"/>
    <w:rsid w:val="4E562F02"/>
    <w:rsid w:val="4E834801"/>
    <w:rsid w:val="4F0E056F"/>
    <w:rsid w:val="503C7AAB"/>
    <w:rsid w:val="519E24DF"/>
    <w:rsid w:val="52851FC9"/>
    <w:rsid w:val="53810C46"/>
    <w:rsid w:val="538C0ED3"/>
    <w:rsid w:val="54062CA5"/>
    <w:rsid w:val="544A08EB"/>
    <w:rsid w:val="549F7EBB"/>
    <w:rsid w:val="55E53FF3"/>
    <w:rsid w:val="56510A85"/>
    <w:rsid w:val="571516FA"/>
    <w:rsid w:val="57BE250A"/>
    <w:rsid w:val="58102901"/>
    <w:rsid w:val="5822508B"/>
    <w:rsid w:val="5AEB0587"/>
    <w:rsid w:val="5B326679"/>
    <w:rsid w:val="5B4048DE"/>
    <w:rsid w:val="5B4C1E4D"/>
    <w:rsid w:val="5B905C87"/>
    <w:rsid w:val="5C016A5C"/>
    <w:rsid w:val="5D9657BB"/>
    <w:rsid w:val="5F3479DF"/>
    <w:rsid w:val="5F9253C0"/>
    <w:rsid w:val="5FA94584"/>
    <w:rsid w:val="5FE1582B"/>
    <w:rsid w:val="61341789"/>
    <w:rsid w:val="614E5143"/>
    <w:rsid w:val="625574A9"/>
    <w:rsid w:val="628D6B9C"/>
    <w:rsid w:val="62F15D85"/>
    <w:rsid w:val="631C6658"/>
    <w:rsid w:val="63F65FAC"/>
    <w:rsid w:val="64240A7A"/>
    <w:rsid w:val="644463E6"/>
    <w:rsid w:val="64AC6408"/>
    <w:rsid w:val="64C37BF6"/>
    <w:rsid w:val="65921AA2"/>
    <w:rsid w:val="66370987"/>
    <w:rsid w:val="668134B2"/>
    <w:rsid w:val="66BB48A2"/>
    <w:rsid w:val="68920BCB"/>
    <w:rsid w:val="6897562C"/>
    <w:rsid w:val="69602062"/>
    <w:rsid w:val="69AF492B"/>
    <w:rsid w:val="69F33C42"/>
    <w:rsid w:val="6A592EB2"/>
    <w:rsid w:val="6B3D6DE6"/>
    <w:rsid w:val="6C140234"/>
    <w:rsid w:val="6C752A38"/>
    <w:rsid w:val="6C8B46C6"/>
    <w:rsid w:val="6CC04E53"/>
    <w:rsid w:val="6CD164F5"/>
    <w:rsid w:val="6D2A763D"/>
    <w:rsid w:val="6D88378A"/>
    <w:rsid w:val="6D8B1D1F"/>
    <w:rsid w:val="6E004D3F"/>
    <w:rsid w:val="6EE669BA"/>
    <w:rsid w:val="6FA00950"/>
    <w:rsid w:val="6FDD7DBD"/>
    <w:rsid w:val="703D6AAE"/>
    <w:rsid w:val="710475CC"/>
    <w:rsid w:val="71127683"/>
    <w:rsid w:val="71BF0C91"/>
    <w:rsid w:val="71C33899"/>
    <w:rsid w:val="71DE5F6E"/>
    <w:rsid w:val="72A71082"/>
    <w:rsid w:val="744E128A"/>
    <w:rsid w:val="74C463D7"/>
    <w:rsid w:val="74D10786"/>
    <w:rsid w:val="750D315E"/>
    <w:rsid w:val="757765BE"/>
    <w:rsid w:val="75941F88"/>
    <w:rsid w:val="75B90985"/>
    <w:rsid w:val="75CB5ED1"/>
    <w:rsid w:val="768B00D0"/>
    <w:rsid w:val="77594A3F"/>
    <w:rsid w:val="776D433B"/>
    <w:rsid w:val="781B6AE9"/>
    <w:rsid w:val="783F4DFB"/>
    <w:rsid w:val="79C21DD2"/>
    <w:rsid w:val="7A860EB9"/>
    <w:rsid w:val="7ADB7812"/>
    <w:rsid w:val="7AF62E6A"/>
    <w:rsid w:val="7B810197"/>
    <w:rsid w:val="7B831270"/>
    <w:rsid w:val="7C54306B"/>
    <w:rsid w:val="7CAF6B09"/>
    <w:rsid w:val="7CED2B42"/>
    <w:rsid w:val="7CFB2247"/>
    <w:rsid w:val="7DFB58B2"/>
    <w:rsid w:val="7E1618E7"/>
    <w:rsid w:val="7EC14D4E"/>
    <w:rsid w:val="7EC363D0"/>
    <w:rsid w:val="7ECE3911"/>
    <w:rsid w:val="7F2A2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BodyText1I"/>
    <w:basedOn w:val="3"/>
    <w:qFormat/>
    <w:uiPriority w:val="0"/>
    <w:pPr>
      <w:ind w:firstLine="420" w:firstLineChars="100"/>
    </w:pPr>
  </w:style>
  <w:style w:type="paragraph" w:customStyle="1" w:styleId="3">
    <w:name w:val="BodyText"/>
    <w:basedOn w:val="1"/>
    <w:qFormat/>
    <w:uiPriority w:val="0"/>
    <w:pPr>
      <w:textAlignment w:val="baseline"/>
    </w:p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rPr>
  </w:style>
  <w:style w:type="character" w:styleId="9">
    <w:name w:val="page number"/>
    <w:basedOn w:val="8"/>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17681</Words>
  <Characters>20834</Characters>
  <Lines>0</Lines>
  <Paragraphs>0</Paragraphs>
  <TotalTime>30</TotalTime>
  <ScaleCrop>false</ScaleCrop>
  <LinksUpToDate>false</LinksUpToDate>
  <CharactersWithSpaces>20920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2023-09-02T02:23:00Z</dcterms:created>
  <dc:creator>fengjieying</dc:creator>
  <cp:lastModifiedBy>Huawei</cp:lastModifiedBy>
  <dcterms:modified xsi:type="dcterms:W3CDTF">2023-09-07T11:05:38Z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BA35357DE57C4EFCA21BCD9D33BF228E_13</vt:lpwstr>
  </property>
</Properties>
</file>