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beforeAutospacing="1" w:after="0" w:afterAutospacing="1"/>
        <w:jc w:val="center"/>
        <w:rPr>
          <w:rFonts w:hint="eastAsia" w:ascii="黑体" w:hAnsi="ˎ̥" w:eastAsia="黑体" w:cs="黑体"/>
          <w:kern w:val="0"/>
          <w:sz w:val="44"/>
          <w:szCs w:val="44"/>
        </w:rPr>
      </w:pPr>
      <w:r>
        <w:rPr>
          <w:rFonts w:hint="eastAsia" w:ascii="黑体" w:hAnsi="宋体" w:eastAsia="黑体" w:cs="黑体"/>
          <w:kern w:val="0"/>
          <w:sz w:val="44"/>
          <w:szCs w:val="44"/>
        </w:rPr>
        <w:t>海南热带海洋学院附属中学</w:t>
      </w:r>
    </w:p>
    <w:p>
      <w:pPr>
        <w:spacing w:before="0" w:beforeAutospacing="1" w:after="0" w:afterAutospacing="1"/>
        <w:jc w:val="center"/>
        <w:rPr>
          <w:rFonts w:hint="eastAsia" w:ascii="黑体" w:hAnsi="ˎ̥" w:eastAsia="黑体" w:cs="黑体"/>
          <w:kern w:val="0"/>
          <w:sz w:val="44"/>
          <w:szCs w:val="44"/>
        </w:rPr>
      </w:pPr>
      <w:r>
        <w:rPr>
          <w:rFonts w:hint="eastAsia" w:ascii="黑体" w:hAnsi="宋体" w:eastAsia="黑体" w:cs="黑体"/>
          <w:kern w:val="0"/>
          <w:sz w:val="44"/>
          <w:szCs w:val="44"/>
        </w:rPr>
        <w:t>2022年度部门决算公开报告</w:t>
      </w:r>
    </w:p>
    <w:p>
      <w:pPr>
        <w:spacing w:before="0" w:beforeAutospacing="1" w:after="0" w:afterAutospacing="1"/>
        <w:jc w:val="center"/>
        <w:rPr>
          <w:rFonts w:hint="eastAsia" w:ascii="黑体" w:hAnsi="ˎ̥" w:eastAsia="黑体" w:cs="黑体"/>
          <w:b/>
          <w:bCs w:val="0"/>
          <w:kern w:val="0"/>
          <w:sz w:val="32"/>
          <w:szCs w:val="32"/>
        </w:rPr>
      </w:pPr>
      <w:r>
        <w:rPr>
          <w:rFonts w:hint="eastAsia" w:ascii="黑体" w:hAnsi="ˎ̥" w:eastAsia="黑体" w:cs="黑体"/>
          <w:b/>
          <w:bCs w:val="0"/>
          <w:kern w:val="0"/>
          <w:sz w:val="32"/>
          <w:szCs w:val="32"/>
        </w:rPr>
        <w:t xml:space="preserve"> </w:t>
      </w:r>
    </w:p>
    <w:p>
      <w:pPr>
        <w:spacing w:before="0" w:beforeAutospacing="1" w:after="0" w:afterAutospacing="1"/>
        <w:jc w:val="center"/>
        <w:rPr>
          <w:rFonts w:hint="eastAsia" w:ascii="黑体" w:hAnsi="宋体" w:eastAsia="黑体" w:cs="黑体"/>
          <w:kern w:val="0"/>
          <w:sz w:val="44"/>
          <w:szCs w:val="44"/>
        </w:rPr>
      </w:pPr>
      <w:r>
        <w:rPr>
          <w:rFonts w:hint="eastAsia" w:ascii="黑体" w:hAnsi="宋体" w:eastAsia="黑体" w:cs="黑体"/>
          <w:kern w:val="0"/>
          <w:sz w:val="44"/>
          <w:szCs w:val="44"/>
        </w:rPr>
        <w:t>目  录</w:t>
      </w:r>
    </w:p>
    <w:p>
      <w:pPr>
        <w:pStyle w:val="4"/>
        <w:rPr>
          <w:rFonts w:hint="eastAsia" w:ascii="宋体" w:hAnsi="宋体" w:eastAsia="宋体" w:cs="宋体"/>
          <w:kern w:val="0"/>
          <w:sz w:val="32"/>
          <w:szCs w:val="32"/>
        </w:rPr>
      </w:pPr>
      <w:r>
        <w:rPr>
          <w:rFonts w:hint="eastAsia" w:ascii="黑体" w:hAnsi="宋体" w:eastAsia="黑体" w:cs="黑体"/>
          <w:kern w:val="0"/>
          <w:sz w:val="32"/>
          <w:szCs w:val="32"/>
        </w:rPr>
        <w:t>第一部分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基本情况</w:t>
      </w:r>
      <w:r>
        <w:rPr>
          <w:rFonts w:hint="eastAsia" w:ascii="宋体" w:hAnsi="宋体" w:eastAsia="宋体" w:cs="宋体"/>
          <w:kern w:val="0"/>
          <w:sz w:val="32"/>
          <w:szCs w:val="32"/>
        </w:rPr>
        <w:tab/>
      </w:r>
      <w:r>
        <w:rPr>
          <w:rFonts w:hint="eastAsia" w:ascii="宋体" w:hAnsi="宋体" w:eastAsia="宋体" w:cs="宋体"/>
          <w:kern w:val="0"/>
          <w:sz w:val="32"/>
          <w:szCs w:val="32"/>
        </w:rPr>
        <w:t>3</w:t>
      </w:r>
    </w:p>
    <w:p>
      <w:pPr>
        <w:pStyle w:val="5"/>
        <w:ind w:left="200"/>
        <w:rPr>
          <w:rFonts w:hint="eastAsia" w:ascii="仿宋" w:hAnsi="仿宋" w:eastAsia="仿宋" w:cs="仿宋"/>
          <w:kern w:val="0"/>
          <w:sz w:val="32"/>
          <w:szCs w:val="32"/>
        </w:rPr>
      </w:pPr>
      <w:r>
        <w:rPr>
          <w:rFonts w:hint="eastAsia" w:ascii="仿宋" w:hAnsi="仿宋" w:eastAsia="仿宋" w:cs="仿宋"/>
          <w:kern w:val="0"/>
          <w:sz w:val="32"/>
          <w:szCs w:val="32"/>
        </w:rPr>
        <w:t>一、部门职责</w:t>
      </w:r>
      <w:r>
        <w:rPr>
          <w:rFonts w:hint="eastAsia" w:ascii="仿宋" w:hAnsi="仿宋" w:eastAsia="仿宋" w:cs="仿宋"/>
          <w:kern w:val="0"/>
          <w:sz w:val="32"/>
          <w:szCs w:val="32"/>
        </w:rPr>
        <w:tab/>
      </w:r>
      <w:r>
        <w:rPr>
          <w:rFonts w:hint="eastAsia" w:ascii="仿宋" w:hAnsi="仿宋" w:eastAsia="仿宋" w:cs="仿宋"/>
          <w:kern w:val="0"/>
          <w:sz w:val="32"/>
          <w:szCs w:val="32"/>
        </w:rPr>
        <w:t>3</w:t>
      </w:r>
    </w:p>
    <w:p>
      <w:pPr>
        <w:pStyle w:val="5"/>
        <w:ind w:left="200"/>
        <w:rPr>
          <w:rFonts w:hint="eastAsia" w:ascii="仿宋" w:hAnsi="仿宋" w:eastAsia="仿宋" w:cs="仿宋"/>
          <w:kern w:val="0"/>
          <w:sz w:val="32"/>
          <w:szCs w:val="32"/>
        </w:rPr>
      </w:pPr>
      <w:r>
        <w:rPr>
          <w:rFonts w:hint="eastAsia" w:ascii="仿宋" w:hAnsi="仿宋" w:eastAsia="仿宋" w:cs="仿宋"/>
          <w:kern w:val="0"/>
          <w:sz w:val="32"/>
          <w:szCs w:val="32"/>
        </w:rPr>
        <w:t>二、机构设置</w:t>
      </w:r>
      <w:r>
        <w:rPr>
          <w:rFonts w:hint="eastAsia" w:ascii="仿宋" w:hAnsi="仿宋" w:eastAsia="仿宋" w:cs="仿宋"/>
          <w:kern w:val="0"/>
          <w:sz w:val="32"/>
          <w:szCs w:val="32"/>
        </w:rPr>
        <w:tab/>
      </w:r>
      <w:r>
        <w:rPr>
          <w:rFonts w:hint="eastAsia" w:ascii="仿宋" w:hAnsi="仿宋" w:eastAsia="仿宋" w:cs="仿宋"/>
          <w:kern w:val="0"/>
          <w:sz w:val="32"/>
          <w:szCs w:val="32"/>
        </w:rPr>
        <w:t>3</w:t>
      </w:r>
    </w:p>
    <w:p>
      <w:pPr>
        <w:pStyle w:val="4"/>
        <w:rPr>
          <w:rFonts w:hint="eastAsia" w:ascii="宋体" w:hAnsi="宋体" w:eastAsia="宋体" w:cs="宋体"/>
          <w:kern w:val="0"/>
          <w:sz w:val="32"/>
          <w:szCs w:val="32"/>
        </w:rPr>
      </w:pPr>
      <w:r>
        <w:rPr>
          <w:rFonts w:hint="eastAsia" w:ascii="黑体" w:hAnsi="宋体" w:eastAsia="黑体" w:cs="黑体"/>
          <w:kern w:val="0"/>
          <w:sz w:val="32"/>
          <w:szCs w:val="32"/>
        </w:rPr>
        <w:t>第二部分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2022年度部门决算公开表</w:t>
      </w:r>
      <w:r>
        <w:rPr>
          <w:rFonts w:hint="eastAsia" w:ascii="宋体" w:hAnsi="宋体" w:eastAsia="宋体" w:cs="宋体"/>
          <w:kern w:val="0"/>
          <w:sz w:val="32"/>
          <w:szCs w:val="32"/>
        </w:rPr>
        <w:tab/>
      </w:r>
      <w:r>
        <w:rPr>
          <w:rFonts w:hint="eastAsia" w:ascii="宋体" w:hAnsi="宋体" w:eastAsia="宋体" w:cs="宋体"/>
          <w:kern w:val="0"/>
          <w:sz w:val="32"/>
          <w:szCs w:val="32"/>
        </w:rPr>
        <w:t>3</w:t>
      </w:r>
    </w:p>
    <w:p>
      <w:pPr>
        <w:pStyle w:val="4"/>
        <w:rPr>
          <w:rFonts w:hint="eastAsia" w:ascii="宋体" w:hAnsi="宋体" w:eastAsia="宋体" w:cs="宋体"/>
          <w:kern w:val="0"/>
          <w:sz w:val="32"/>
          <w:szCs w:val="32"/>
        </w:rPr>
      </w:pPr>
      <w:r>
        <w:rPr>
          <w:rFonts w:hint="eastAsia" w:ascii="黑体" w:hAnsi="宋体" w:eastAsia="黑体" w:cs="黑体"/>
          <w:kern w:val="0"/>
          <w:sz w:val="32"/>
          <w:szCs w:val="32"/>
        </w:rPr>
        <w:t>第三部分</w:t>
      </w:r>
      <w:r>
        <w:rPr>
          <w:rFonts w:hint="eastAsia" w:ascii="宋体" w:hAnsi="宋体" w:eastAsia="宋体" w:cs="宋体"/>
          <w:kern w:val="0"/>
          <w:sz w:val="32"/>
          <w:szCs w:val="32"/>
        </w:rPr>
        <w:t xml:space="preserve">  </w:t>
      </w:r>
      <w:r>
        <w:rPr>
          <w:rFonts w:hint="eastAsia" w:ascii="黑体" w:hAnsi="宋体" w:eastAsia="黑体" w:cs="黑体"/>
          <w:kern w:val="0"/>
          <w:sz w:val="32"/>
          <w:szCs w:val="32"/>
        </w:rPr>
        <w:t>2022年度部门决算情况说明</w:t>
      </w:r>
      <w:r>
        <w:rPr>
          <w:rFonts w:hint="eastAsia" w:ascii="宋体" w:hAnsi="宋体" w:eastAsia="宋体" w:cs="宋体"/>
          <w:kern w:val="0"/>
          <w:sz w:val="32"/>
          <w:szCs w:val="32"/>
        </w:rPr>
        <w:tab/>
      </w:r>
      <w:r>
        <w:rPr>
          <w:rFonts w:hint="eastAsia" w:ascii="宋体" w:hAnsi="宋体" w:eastAsia="宋体" w:cs="宋体"/>
          <w:kern w:val="0"/>
          <w:sz w:val="32"/>
          <w:szCs w:val="32"/>
        </w:rPr>
        <w:t>4</w:t>
      </w:r>
    </w:p>
    <w:p>
      <w:pPr>
        <w:pStyle w:val="5"/>
        <w:ind w:left="200"/>
        <w:rPr>
          <w:rFonts w:hint="eastAsia" w:ascii="仿宋" w:hAnsi="仿宋" w:eastAsia="仿宋" w:cs="仿宋"/>
          <w:kern w:val="0"/>
          <w:sz w:val="32"/>
          <w:szCs w:val="32"/>
        </w:rPr>
      </w:pPr>
      <w:r>
        <w:rPr>
          <w:rFonts w:hint="eastAsia" w:ascii="仿宋" w:hAnsi="仿宋" w:eastAsia="仿宋" w:cs="仿宋"/>
          <w:bCs/>
          <w:kern w:val="0"/>
          <w:sz w:val="32"/>
          <w:szCs w:val="32"/>
        </w:rPr>
        <w:t>一、收入支出总体情况说明</w:t>
      </w:r>
      <w:r>
        <w:rPr>
          <w:rFonts w:hint="eastAsia" w:ascii="仿宋" w:hAnsi="仿宋" w:eastAsia="仿宋" w:cs="仿宋"/>
          <w:kern w:val="0"/>
          <w:sz w:val="32"/>
          <w:szCs w:val="32"/>
        </w:rPr>
        <w:tab/>
      </w:r>
      <w:r>
        <w:rPr>
          <w:rFonts w:hint="eastAsia" w:ascii="仿宋" w:hAnsi="仿宋" w:eastAsia="仿宋" w:cs="仿宋"/>
          <w:kern w:val="0"/>
          <w:sz w:val="32"/>
          <w:szCs w:val="32"/>
        </w:rPr>
        <w:t>4</w:t>
      </w:r>
    </w:p>
    <w:p>
      <w:pPr>
        <w:pStyle w:val="5"/>
        <w:ind w:left="200"/>
        <w:rPr>
          <w:rFonts w:hint="eastAsia" w:ascii="仿宋" w:hAnsi="仿宋" w:eastAsia="仿宋" w:cs="仿宋"/>
          <w:kern w:val="0"/>
          <w:sz w:val="32"/>
          <w:szCs w:val="32"/>
        </w:rPr>
      </w:pPr>
      <w:r>
        <w:rPr>
          <w:rFonts w:hint="eastAsia" w:ascii="仿宋" w:hAnsi="仿宋" w:eastAsia="仿宋" w:cs="仿宋"/>
          <w:bCs/>
          <w:kern w:val="0"/>
          <w:sz w:val="32"/>
          <w:szCs w:val="32"/>
        </w:rPr>
        <w:t>二、收入决算情况说明</w:t>
      </w:r>
      <w:r>
        <w:rPr>
          <w:rFonts w:hint="eastAsia" w:ascii="仿宋" w:hAnsi="仿宋" w:eastAsia="仿宋" w:cs="仿宋"/>
          <w:kern w:val="0"/>
          <w:sz w:val="32"/>
          <w:szCs w:val="32"/>
        </w:rPr>
        <w:tab/>
      </w:r>
      <w:r>
        <w:rPr>
          <w:rFonts w:hint="eastAsia" w:ascii="仿宋" w:hAnsi="仿宋" w:eastAsia="仿宋" w:cs="仿宋"/>
          <w:kern w:val="0"/>
          <w:sz w:val="32"/>
          <w:szCs w:val="32"/>
        </w:rPr>
        <w:t>5</w:t>
      </w:r>
    </w:p>
    <w:p>
      <w:pPr>
        <w:pStyle w:val="5"/>
        <w:ind w:left="200"/>
        <w:rPr>
          <w:rFonts w:hint="eastAsia" w:ascii="仿宋" w:hAnsi="仿宋" w:eastAsia="仿宋" w:cs="仿宋"/>
          <w:kern w:val="0"/>
          <w:sz w:val="32"/>
          <w:szCs w:val="32"/>
        </w:rPr>
      </w:pPr>
      <w:r>
        <w:rPr>
          <w:rFonts w:hint="eastAsia" w:ascii="仿宋" w:hAnsi="仿宋" w:eastAsia="仿宋" w:cs="仿宋"/>
          <w:bCs/>
          <w:kern w:val="0"/>
          <w:sz w:val="32"/>
          <w:szCs w:val="32"/>
        </w:rPr>
        <w:t>三、支出决算情况说明</w:t>
      </w:r>
      <w:r>
        <w:rPr>
          <w:rFonts w:hint="eastAsia" w:ascii="仿宋" w:hAnsi="仿宋" w:eastAsia="仿宋" w:cs="仿宋"/>
          <w:kern w:val="0"/>
          <w:sz w:val="32"/>
          <w:szCs w:val="32"/>
        </w:rPr>
        <w:tab/>
      </w:r>
      <w:r>
        <w:rPr>
          <w:rFonts w:hint="eastAsia" w:ascii="仿宋" w:hAnsi="仿宋" w:eastAsia="仿宋" w:cs="仿宋"/>
          <w:kern w:val="0"/>
          <w:sz w:val="32"/>
          <w:szCs w:val="32"/>
        </w:rPr>
        <w:t>5</w:t>
      </w:r>
    </w:p>
    <w:p>
      <w:pPr>
        <w:pStyle w:val="5"/>
        <w:ind w:left="200"/>
        <w:rPr>
          <w:rFonts w:hint="eastAsia" w:ascii="仿宋" w:hAnsi="仿宋" w:eastAsia="仿宋" w:cs="仿宋"/>
          <w:kern w:val="0"/>
          <w:sz w:val="32"/>
          <w:szCs w:val="32"/>
        </w:rPr>
      </w:pPr>
      <w:r>
        <w:rPr>
          <w:rFonts w:hint="eastAsia" w:ascii="仿宋" w:hAnsi="仿宋" w:eastAsia="仿宋" w:cs="仿宋"/>
          <w:bCs/>
          <w:kern w:val="0"/>
          <w:sz w:val="32"/>
          <w:szCs w:val="32"/>
        </w:rPr>
        <w:t>四、财政拨款收入支出决算情况说明</w:t>
      </w:r>
      <w:r>
        <w:rPr>
          <w:rFonts w:hint="eastAsia" w:ascii="仿宋" w:hAnsi="仿宋" w:eastAsia="仿宋" w:cs="仿宋"/>
          <w:kern w:val="0"/>
          <w:sz w:val="32"/>
          <w:szCs w:val="32"/>
        </w:rPr>
        <w:tab/>
      </w:r>
      <w:r>
        <w:rPr>
          <w:rFonts w:hint="eastAsia" w:ascii="仿宋" w:hAnsi="仿宋" w:eastAsia="仿宋" w:cs="仿宋"/>
          <w:kern w:val="0"/>
          <w:sz w:val="32"/>
          <w:szCs w:val="32"/>
        </w:rPr>
        <w:t>6</w:t>
      </w:r>
    </w:p>
    <w:p>
      <w:pPr>
        <w:pStyle w:val="5"/>
        <w:ind w:left="200"/>
        <w:rPr>
          <w:rFonts w:hint="eastAsia" w:ascii="仿宋" w:hAnsi="仿宋" w:eastAsia="仿宋" w:cs="仿宋"/>
          <w:kern w:val="0"/>
          <w:sz w:val="32"/>
          <w:szCs w:val="32"/>
        </w:rPr>
      </w:pPr>
      <w:r>
        <w:rPr>
          <w:rFonts w:hint="eastAsia" w:ascii="仿宋" w:hAnsi="仿宋" w:eastAsia="仿宋" w:cs="仿宋"/>
          <w:bCs/>
          <w:kern w:val="0"/>
          <w:sz w:val="32"/>
          <w:szCs w:val="32"/>
        </w:rPr>
        <w:t>五、一般公共预算财政拨款支出决算情况说明</w:t>
      </w:r>
      <w:r>
        <w:rPr>
          <w:rFonts w:hint="eastAsia" w:ascii="仿宋" w:hAnsi="仿宋" w:eastAsia="仿宋" w:cs="仿宋"/>
          <w:kern w:val="0"/>
          <w:sz w:val="32"/>
          <w:szCs w:val="32"/>
        </w:rPr>
        <w:tab/>
      </w:r>
      <w:r>
        <w:rPr>
          <w:rFonts w:hint="eastAsia" w:ascii="仿宋" w:hAnsi="仿宋" w:eastAsia="仿宋" w:cs="仿宋"/>
          <w:kern w:val="0"/>
          <w:sz w:val="32"/>
          <w:szCs w:val="32"/>
        </w:rPr>
        <w:t>6</w:t>
      </w:r>
    </w:p>
    <w:p>
      <w:pPr>
        <w:pStyle w:val="5"/>
        <w:ind w:left="200"/>
        <w:rPr>
          <w:rFonts w:hint="eastAsia" w:ascii="仿宋" w:hAnsi="仿宋" w:eastAsia="仿宋" w:cs="仿宋"/>
          <w:kern w:val="0"/>
          <w:sz w:val="32"/>
          <w:szCs w:val="32"/>
        </w:rPr>
      </w:pPr>
      <w:r>
        <w:rPr>
          <w:rFonts w:hint="eastAsia" w:ascii="仿宋" w:hAnsi="仿宋" w:eastAsia="仿宋" w:cs="仿宋"/>
          <w:bCs/>
          <w:kern w:val="0"/>
          <w:sz w:val="32"/>
          <w:szCs w:val="32"/>
        </w:rPr>
        <w:t>六、一般公共预算财政拨款基本支出决算情况说明</w:t>
      </w:r>
      <w:r>
        <w:rPr>
          <w:rFonts w:hint="eastAsia" w:ascii="仿宋" w:hAnsi="仿宋" w:eastAsia="仿宋" w:cs="仿宋"/>
          <w:kern w:val="0"/>
          <w:sz w:val="32"/>
          <w:szCs w:val="32"/>
        </w:rPr>
        <w:tab/>
      </w:r>
      <w:r>
        <w:rPr>
          <w:rFonts w:hint="eastAsia" w:ascii="仿宋" w:hAnsi="仿宋" w:eastAsia="仿宋" w:cs="仿宋"/>
          <w:kern w:val="0"/>
          <w:sz w:val="32"/>
          <w:szCs w:val="32"/>
        </w:rPr>
        <w:tab/>
      </w:r>
      <w:r>
        <w:rPr>
          <w:rFonts w:hint="eastAsia" w:ascii="仿宋" w:hAnsi="仿宋" w:eastAsia="仿宋" w:cs="仿宋"/>
          <w:kern w:val="0"/>
          <w:sz w:val="32"/>
          <w:szCs w:val="32"/>
        </w:rPr>
        <w:t>9</w:t>
      </w:r>
    </w:p>
    <w:p>
      <w:pPr>
        <w:pStyle w:val="5"/>
        <w:ind w:left="200"/>
        <w:rPr>
          <w:rFonts w:hint="eastAsia" w:ascii="仿宋" w:hAnsi="仿宋" w:eastAsia="仿宋" w:cs="仿宋"/>
          <w:bCs/>
          <w:kern w:val="0"/>
          <w:sz w:val="32"/>
          <w:szCs w:val="32"/>
        </w:rPr>
      </w:pPr>
      <w:r>
        <w:rPr>
          <w:rFonts w:hint="eastAsia" w:ascii="仿宋" w:hAnsi="仿宋" w:eastAsia="仿宋" w:cs="仿宋"/>
          <w:bCs/>
          <w:kern w:val="0"/>
          <w:sz w:val="32"/>
          <w:szCs w:val="32"/>
        </w:rPr>
        <w:t>七、政府性基金预算财政拨款收入支出决算情况说明</w:t>
      </w:r>
      <w:r>
        <w:rPr>
          <w:rFonts w:hint="eastAsia" w:ascii="仿宋" w:hAnsi="仿宋" w:eastAsia="仿宋" w:cs="仿宋"/>
          <w:bCs/>
          <w:kern w:val="0"/>
          <w:sz w:val="32"/>
          <w:szCs w:val="32"/>
        </w:rPr>
        <w:tab/>
      </w:r>
      <w:r>
        <w:rPr>
          <w:rFonts w:hint="eastAsia" w:ascii="仿宋" w:hAnsi="仿宋" w:eastAsia="仿宋" w:cs="仿宋"/>
          <w:bCs/>
          <w:kern w:val="0"/>
          <w:sz w:val="32"/>
          <w:szCs w:val="32"/>
        </w:rPr>
        <w:t>10</w:t>
      </w:r>
    </w:p>
    <w:p>
      <w:pPr>
        <w:pStyle w:val="5"/>
        <w:numPr>
          <w:ilvl w:val="0"/>
          <w:numId w:val="1"/>
        </w:numPr>
        <w:ind w:left="1080" w:hanging="720"/>
        <w:rPr>
          <w:rFonts w:hint="eastAsia" w:ascii="仿宋" w:hAnsi="仿宋" w:eastAsia="仿宋" w:cs="仿宋"/>
          <w:kern w:val="0"/>
          <w:sz w:val="32"/>
          <w:szCs w:val="32"/>
        </w:rPr>
      </w:pPr>
      <w:r>
        <w:rPr>
          <w:rFonts w:hint="eastAsia" w:ascii="仿宋" w:hAnsi="仿宋" w:eastAsia="仿宋" w:cs="仿宋"/>
          <w:bCs/>
          <w:kern w:val="0"/>
          <w:sz w:val="32"/>
          <w:szCs w:val="32"/>
        </w:rPr>
        <w:t>国有资本经营预算财政拨款收入支出决算情况说明</w:t>
      </w:r>
      <w:r>
        <w:rPr>
          <w:rFonts w:hint="eastAsia" w:ascii="仿宋" w:hAnsi="仿宋" w:eastAsia="仿宋" w:cs="仿宋"/>
          <w:kern w:val="0"/>
          <w:sz w:val="32"/>
          <w:szCs w:val="32"/>
        </w:rPr>
        <w:tab/>
      </w:r>
      <w:r>
        <w:rPr>
          <w:rFonts w:hint="eastAsia" w:ascii="仿宋" w:hAnsi="仿宋" w:eastAsia="仿宋" w:cs="仿宋"/>
          <w:kern w:val="0"/>
          <w:sz w:val="32"/>
          <w:szCs w:val="32"/>
        </w:rPr>
        <w:t>11</w:t>
      </w:r>
    </w:p>
    <w:p>
      <w:pPr>
        <w:pStyle w:val="5"/>
        <w:ind w:left="200"/>
        <w:rPr>
          <w:rFonts w:hint="eastAsia" w:ascii="仿宋" w:hAnsi="仿宋" w:eastAsia="仿宋" w:cs="仿宋"/>
          <w:kern w:val="0"/>
          <w:sz w:val="32"/>
          <w:szCs w:val="32"/>
        </w:rPr>
      </w:pPr>
      <w:r>
        <w:rPr>
          <w:rFonts w:hint="eastAsia" w:ascii="仿宋" w:hAnsi="仿宋" w:eastAsia="仿宋" w:cs="仿宋"/>
          <w:bCs/>
          <w:kern w:val="0"/>
          <w:sz w:val="32"/>
          <w:szCs w:val="32"/>
        </w:rPr>
        <w:t>九、财政拨款“三公”经费支出决算情况说明</w:t>
      </w:r>
      <w:r>
        <w:rPr>
          <w:rFonts w:hint="eastAsia" w:ascii="仿宋" w:hAnsi="仿宋" w:eastAsia="仿宋" w:cs="仿宋"/>
          <w:kern w:val="0"/>
          <w:sz w:val="32"/>
          <w:szCs w:val="32"/>
        </w:rPr>
        <w:tab/>
      </w:r>
      <w:r>
        <w:rPr>
          <w:rFonts w:hint="eastAsia" w:ascii="仿宋" w:hAnsi="仿宋" w:eastAsia="仿宋" w:cs="仿宋"/>
          <w:kern w:val="0"/>
          <w:sz w:val="32"/>
          <w:szCs w:val="32"/>
        </w:rPr>
        <w:t>11</w:t>
      </w:r>
    </w:p>
    <w:p>
      <w:pPr>
        <w:pStyle w:val="5"/>
        <w:ind w:left="200"/>
        <w:rPr>
          <w:rFonts w:hint="eastAsia" w:ascii="仿宋" w:hAnsi="仿宋" w:eastAsia="仿宋" w:cs="仿宋"/>
          <w:kern w:val="0"/>
          <w:sz w:val="32"/>
          <w:szCs w:val="32"/>
        </w:rPr>
      </w:pPr>
      <w:r>
        <w:rPr>
          <w:rFonts w:hint="eastAsia" w:ascii="仿宋" w:hAnsi="仿宋" w:eastAsia="仿宋" w:cs="仿宋"/>
          <w:bCs/>
          <w:kern w:val="0"/>
          <w:sz w:val="32"/>
          <w:szCs w:val="32"/>
        </w:rPr>
        <w:t>十、预算绩效情况说明</w:t>
      </w:r>
      <w:r>
        <w:rPr>
          <w:rFonts w:hint="eastAsia" w:ascii="仿宋" w:hAnsi="仿宋" w:eastAsia="仿宋" w:cs="仿宋"/>
          <w:kern w:val="0"/>
          <w:sz w:val="32"/>
          <w:szCs w:val="32"/>
        </w:rPr>
        <w:tab/>
      </w:r>
      <w:r>
        <w:rPr>
          <w:rFonts w:hint="eastAsia" w:ascii="仿宋" w:hAnsi="仿宋" w:eastAsia="仿宋" w:cs="仿宋"/>
          <w:kern w:val="0"/>
          <w:sz w:val="32"/>
          <w:szCs w:val="32"/>
        </w:rPr>
        <w:t>13</w:t>
      </w:r>
    </w:p>
    <w:p>
      <w:pPr>
        <w:pStyle w:val="5"/>
        <w:ind w:left="200"/>
        <w:rPr>
          <w:rFonts w:hint="eastAsia" w:ascii="仿宋" w:hAnsi="仿宋" w:eastAsia="仿宋" w:cs="仿宋"/>
          <w:kern w:val="0"/>
          <w:sz w:val="32"/>
          <w:szCs w:val="32"/>
        </w:rPr>
      </w:pPr>
      <w:r>
        <w:rPr>
          <w:rFonts w:hint="eastAsia" w:ascii="仿宋" w:hAnsi="仿宋" w:eastAsia="仿宋" w:cs="仿宋"/>
          <w:bCs/>
          <w:kern w:val="0"/>
          <w:sz w:val="32"/>
          <w:szCs w:val="32"/>
        </w:rPr>
        <w:t>十一、其他重要事项情况说明</w:t>
      </w:r>
      <w:r>
        <w:rPr>
          <w:rFonts w:hint="eastAsia" w:ascii="仿宋" w:hAnsi="仿宋" w:eastAsia="仿宋" w:cs="仿宋"/>
          <w:kern w:val="0"/>
          <w:sz w:val="32"/>
          <w:szCs w:val="32"/>
        </w:rPr>
        <w:tab/>
      </w:r>
      <w:r>
        <w:rPr>
          <w:rFonts w:hint="eastAsia" w:ascii="仿宋" w:hAnsi="仿宋" w:eastAsia="仿宋" w:cs="仿宋"/>
          <w:kern w:val="0"/>
          <w:sz w:val="32"/>
          <w:szCs w:val="32"/>
        </w:rPr>
        <w:t>15</w:t>
      </w:r>
    </w:p>
    <w:p>
      <w:pPr>
        <w:pStyle w:val="4"/>
        <w:rPr>
          <w:rFonts w:hint="eastAsia" w:ascii="黑体" w:hAnsi="ˎ̥" w:eastAsia="宋体" w:cs="黑体"/>
          <w:b/>
          <w:bCs w:val="0"/>
          <w:kern w:val="0"/>
          <w:sz w:val="32"/>
          <w:szCs w:val="32"/>
        </w:rPr>
      </w:pPr>
      <w:r>
        <w:rPr>
          <w:rFonts w:hint="eastAsia" w:ascii="黑体" w:hAnsi="宋体" w:eastAsia="黑体" w:cs="黑体"/>
          <w:kern w:val="0"/>
          <w:sz w:val="32"/>
          <w:szCs w:val="32"/>
        </w:rPr>
        <w:t>第四部分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名词解释</w:t>
      </w:r>
      <w:r>
        <w:rPr>
          <w:rFonts w:hint="eastAsia" w:ascii="宋体" w:hAnsi="宋体" w:eastAsia="宋体" w:cs="宋体"/>
          <w:kern w:val="0"/>
          <w:sz w:val="32"/>
          <w:szCs w:val="32"/>
        </w:rPr>
        <w:tab/>
      </w:r>
      <w:r>
        <w:rPr>
          <w:rFonts w:hint="eastAsia" w:ascii="宋体" w:hAnsi="宋体" w:eastAsia="宋体" w:cs="宋体"/>
          <w:kern w:val="0"/>
          <w:sz w:val="32"/>
          <w:szCs w:val="32"/>
        </w:rPr>
        <w:t>16</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宋体" w:eastAsia="黑体" w:cs="黑体"/>
          <w:kern w:val="0"/>
          <w:sz w:val="32"/>
          <w:szCs w:val="32"/>
        </w:rPr>
        <w:t>第一部分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基本情况</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 xml:space="preserve"> </w:t>
      </w:r>
    </w:p>
    <w:p>
      <w:pPr>
        <w:spacing w:before="0" w:beforeAutospacing="1" w:after="0" w:afterAutospacing="1"/>
        <w:ind w:left="0" w:firstLine="640" w:firstLineChars="200"/>
        <w:rPr>
          <w:rFonts w:hint="eastAsia" w:ascii="黑体" w:hAnsi="宋体" w:eastAsia="黑体" w:cs="黑体"/>
          <w:kern w:val="0"/>
          <w:sz w:val="32"/>
          <w:szCs w:val="32"/>
        </w:rPr>
      </w:pPr>
      <w:r>
        <w:rPr>
          <w:rFonts w:hint="eastAsia" w:ascii="黑体" w:hAnsi="宋体" w:eastAsia="黑体" w:cs="黑体"/>
          <w:kern w:val="0"/>
          <w:sz w:val="32"/>
          <w:szCs w:val="32"/>
        </w:rPr>
        <w:t>一、部门（单位）职责</w:t>
      </w:r>
    </w:p>
    <w:p>
      <w:pPr>
        <w:spacing w:before="0" w:beforeAutospacing="1" w:after="0" w:afterAutospacing="1"/>
        <w:ind w:left="641" w:leftChars="267" w:firstLine="640" w:firstLineChars="200"/>
        <w:rPr>
          <w:rFonts w:hint="eastAsia" w:ascii="黑体" w:hAnsi="宋体" w:eastAsia="黑体" w:cs="黑体"/>
          <w:kern w:val="0"/>
          <w:sz w:val="32"/>
          <w:szCs w:val="32"/>
        </w:rPr>
      </w:pPr>
      <w:r>
        <w:rPr>
          <w:rFonts w:hint="default" w:ascii="仿宋_GB2312" w:hAnsi="宋体" w:eastAsia="仿宋_GB2312" w:cs="仿宋_GB2312"/>
          <w:kern w:val="0"/>
          <w:sz w:val="32"/>
          <w:szCs w:val="32"/>
          <w:shd w:val="clear" w:fill="FFFFFF"/>
        </w:rPr>
        <w:t>海南热带海洋学院附属中学是一所省直属公办完全中学，主要职责是实施初中义务教育和高中学历教育，开展有关教育教学科研工作，积极发挥本校对民族地区中学教育教学活动的示范作用。</w:t>
      </w:r>
    </w:p>
    <w:p>
      <w:pPr>
        <w:spacing w:before="0" w:beforeAutospacing="1" w:after="0" w:afterAutospacing="1"/>
        <w:ind w:left="0" w:firstLine="640" w:firstLineChars="200"/>
        <w:rPr>
          <w:rFonts w:hint="eastAsia" w:ascii="黑体" w:hAnsi="宋体" w:eastAsia="黑体" w:cs="黑体"/>
          <w:kern w:val="0"/>
          <w:sz w:val="32"/>
          <w:szCs w:val="32"/>
        </w:rPr>
      </w:pPr>
      <w:r>
        <w:rPr>
          <w:rFonts w:hint="eastAsia" w:ascii="黑体" w:hAnsi="宋体" w:eastAsia="黑体" w:cs="黑体"/>
          <w:kern w:val="0"/>
          <w:sz w:val="32"/>
          <w:szCs w:val="32"/>
        </w:rPr>
        <w:t>二、机构设置</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宋体" w:eastAsia="仿宋_GB2312" w:cs="仿宋_GB2312"/>
          <w:kern w:val="0"/>
          <w:sz w:val="32"/>
          <w:szCs w:val="32"/>
          <w:shd w:val="clear" w:fill="FFFFFF"/>
        </w:rPr>
        <w:t>海南热带海洋学院附属中学是正处级事业单位，二级预算单位。内部机构设有10个科室，分别是:党政公办室、教务科、学生科、教研室、总务科、财务科、安全工作科、体卫艺科、校工会、团委。</w:t>
      </w:r>
    </w:p>
    <w:p>
      <w:pPr>
        <w:spacing w:before="0" w:beforeAutospacing="1" w:after="0" w:afterAutospacing="1"/>
        <w:jc w:val="center"/>
        <w:rPr>
          <w:rFonts w:hint="eastAsia" w:ascii="黑体" w:hAnsi="ˎ̥" w:eastAsia="黑体" w:cs="黑体"/>
          <w:kern w:val="0"/>
          <w:sz w:val="32"/>
          <w:szCs w:val="32"/>
        </w:rPr>
      </w:pPr>
      <w:r>
        <w:rPr>
          <w:rFonts w:hint="eastAsia" w:ascii="黑体" w:hAnsi="宋体" w:eastAsia="黑体" w:cs="黑体"/>
          <w:kern w:val="0"/>
          <w:sz w:val="32"/>
          <w:szCs w:val="32"/>
        </w:rPr>
        <w:t>第二部分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2022年度部门决算公开报表</w:t>
      </w:r>
    </w:p>
    <w:p>
      <w:pPr>
        <w:spacing w:before="0" w:beforeAutospacing="1" w:after="0" w:afterAutospacing="1"/>
        <w:ind w:left="0" w:firstLine="645"/>
        <w:rPr>
          <w:rFonts w:hint="eastAsia" w:ascii="黑体" w:hAnsi="宋体" w:eastAsia="黑体" w:cs="黑体"/>
          <w:kern w:val="0"/>
          <w:sz w:val="32"/>
          <w:szCs w:val="32"/>
        </w:rPr>
      </w:pPr>
      <w:r>
        <w:rPr>
          <w:rFonts w:hint="eastAsia" w:ascii="黑体" w:hAnsi="宋体" w:eastAsia="黑体" w:cs="黑体"/>
          <w:kern w:val="0"/>
          <w:sz w:val="32"/>
          <w:szCs w:val="32"/>
        </w:rPr>
        <w:t>一、收入支出决算公开表</w:t>
      </w:r>
    </w:p>
    <w:p>
      <w:pPr>
        <w:spacing w:before="0" w:beforeAutospacing="1" w:after="0" w:afterAutospacing="1"/>
        <w:ind w:left="0" w:firstLine="645"/>
        <w:rPr>
          <w:rFonts w:hint="eastAsia" w:ascii="黑体" w:hAnsi="宋体" w:eastAsia="黑体" w:cs="黑体"/>
          <w:kern w:val="0"/>
          <w:sz w:val="32"/>
          <w:szCs w:val="32"/>
        </w:rPr>
      </w:pPr>
      <w:r>
        <w:rPr>
          <w:rFonts w:hint="eastAsia" w:ascii="黑体" w:hAnsi="宋体" w:eastAsia="黑体" w:cs="黑体"/>
          <w:kern w:val="0"/>
          <w:sz w:val="32"/>
          <w:szCs w:val="32"/>
        </w:rPr>
        <w:t>二、收入决算公开表</w:t>
      </w:r>
    </w:p>
    <w:p>
      <w:pPr>
        <w:spacing w:before="0" w:beforeAutospacing="1" w:after="0" w:afterAutospacing="1"/>
        <w:ind w:left="0" w:firstLine="645"/>
        <w:rPr>
          <w:rFonts w:hint="eastAsia" w:ascii="黑体" w:hAnsi="宋体" w:eastAsia="黑体" w:cs="黑体"/>
          <w:kern w:val="0"/>
          <w:sz w:val="32"/>
          <w:szCs w:val="32"/>
        </w:rPr>
      </w:pPr>
      <w:r>
        <w:rPr>
          <w:rFonts w:hint="eastAsia" w:ascii="黑体" w:hAnsi="宋体" w:eastAsia="黑体" w:cs="黑体"/>
          <w:kern w:val="0"/>
          <w:sz w:val="32"/>
          <w:szCs w:val="32"/>
        </w:rPr>
        <w:t>三、支出决算公开表</w:t>
      </w:r>
    </w:p>
    <w:p>
      <w:pPr>
        <w:spacing w:before="0" w:beforeAutospacing="1" w:after="0" w:afterAutospacing="1"/>
        <w:ind w:left="0" w:firstLine="645"/>
        <w:rPr>
          <w:rFonts w:hint="eastAsia" w:ascii="黑体" w:hAnsi="宋体" w:eastAsia="黑体" w:cs="黑体"/>
          <w:kern w:val="0"/>
          <w:sz w:val="32"/>
          <w:szCs w:val="32"/>
        </w:rPr>
      </w:pPr>
      <w:r>
        <w:rPr>
          <w:rFonts w:hint="eastAsia" w:ascii="黑体" w:hAnsi="宋体" w:eastAsia="黑体" w:cs="黑体"/>
          <w:kern w:val="0"/>
          <w:sz w:val="32"/>
          <w:szCs w:val="32"/>
        </w:rPr>
        <w:t>四、财政拨款收入支出决算公开表</w:t>
      </w:r>
    </w:p>
    <w:p>
      <w:pPr>
        <w:spacing w:before="0" w:beforeAutospacing="1" w:after="0" w:afterAutospacing="1"/>
        <w:ind w:left="0" w:firstLine="645"/>
        <w:rPr>
          <w:rFonts w:hint="eastAsia" w:ascii="黑体" w:hAnsi="宋体" w:eastAsia="黑体" w:cs="黑体"/>
          <w:kern w:val="0"/>
          <w:sz w:val="32"/>
          <w:szCs w:val="32"/>
        </w:rPr>
      </w:pPr>
      <w:r>
        <w:rPr>
          <w:rFonts w:hint="eastAsia" w:ascii="黑体" w:hAnsi="宋体" w:eastAsia="黑体" w:cs="黑体"/>
          <w:kern w:val="0"/>
          <w:sz w:val="32"/>
          <w:szCs w:val="32"/>
        </w:rPr>
        <w:t>五、一般公共预算财政拨款收入支出决算公开表</w:t>
      </w:r>
    </w:p>
    <w:p>
      <w:pPr>
        <w:spacing w:before="0" w:beforeAutospacing="1" w:after="0" w:afterAutospacing="1"/>
        <w:ind w:left="0" w:firstLine="645"/>
        <w:rPr>
          <w:rFonts w:hint="eastAsia" w:ascii="黑体" w:hAnsi="宋体" w:eastAsia="黑体" w:cs="黑体"/>
          <w:kern w:val="0"/>
          <w:sz w:val="32"/>
          <w:szCs w:val="32"/>
        </w:rPr>
      </w:pPr>
      <w:r>
        <w:rPr>
          <w:rFonts w:hint="eastAsia" w:ascii="黑体" w:hAnsi="宋体" w:eastAsia="黑体" w:cs="黑体"/>
          <w:kern w:val="0"/>
          <w:sz w:val="32"/>
          <w:szCs w:val="32"/>
        </w:rPr>
        <w:t>六、一般公共预算财政拨款基本支出决算公开表</w:t>
      </w:r>
    </w:p>
    <w:p>
      <w:pPr>
        <w:spacing w:before="0" w:beforeAutospacing="1" w:after="0" w:afterAutospacing="1"/>
        <w:ind w:left="1210" w:leftChars="304" w:hanging="480" w:hangingChars="150"/>
        <w:rPr>
          <w:rFonts w:hint="eastAsia" w:ascii="黑体" w:hAnsi="宋体" w:eastAsia="黑体" w:cs="黑体"/>
          <w:kern w:val="0"/>
          <w:sz w:val="32"/>
          <w:szCs w:val="32"/>
        </w:rPr>
      </w:pPr>
      <w:r>
        <w:rPr>
          <w:rFonts w:hint="eastAsia" w:ascii="黑体" w:hAnsi="宋体" w:eastAsia="黑体" w:cs="黑体"/>
          <w:kern w:val="0"/>
          <w:sz w:val="32"/>
          <w:szCs w:val="32"/>
        </w:rPr>
        <w:t>七、政府性基金预算财政拨款收入支出决算公开表</w:t>
      </w:r>
    </w:p>
    <w:p>
      <w:pPr>
        <w:spacing w:before="0" w:beforeAutospacing="1" w:after="0" w:afterAutospacing="1"/>
        <w:ind w:left="1210" w:leftChars="304" w:hanging="480" w:hangingChars="150"/>
        <w:rPr>
          <w:rFonts w:hint="eastAsia" w:ascii="黑体" w:hAnsi="宋体" w:eastAsia="黑体" w:cs="黑体"/>
          <w:kern w:val="0"/>
          <w:sz w:val="32"/>
          <w:szCs w:val="32"/>
        </w:rPr>
      </w:pPr>
      <w:r>
        <w:rPr>
          <w:rFonts w:hint="eastAsia" w:ascii="黑体" w:hAnsi="宋体" w:eastAsia="黑体" w:cs="黑体"/>
          <w:kern w:val="0"/>
          <w:sz w:val="32"/>
          <w:szCs w:val="32"/>
        </w:rPr>
        <w:t>八、国有资本经营预算财政拨款收入支出决算公开表</w:t>
      </w:r>
    </w:p>
    <w:p>
      <w:pPr>
        <w:spacing w:before="0" w:beforeAutospacing="1" w:after="0" w:afterAutospacing="1"/>
        <w:ind w:left="0" w:firstLine="640"/>
        <w:rPr>
          <w:rFonts w:hint="eastAsia" w:ascii="黑体" w:hAnsi="宋体" w:eastAsia="黑体" w:cs="黑体"/>
          <w:kern w:val="0"/>
          <w:sz w:val="32"/>
          <w:szCs w:val="32"/>
        </w:rPr>
      </w:pPr>
      <w:r>
        <w:rPr>
          <w:rFonts w:hint="eastAsia" w:ascii="黑体" w:hAnsi="宋体" w:eastAsia="黑体" w:cs="黑体"/>
          <w:kern w:val="0"/>
          <w:sz w:val="32"/>
          <w:szCs w:val="32"/>
        </w:rPr>
        <w:t>九、财政拨款“三公”经费支出决算公开表</w:t>
      </w:r>
    </w:p>
    <w:p>
      <w:pPr>
        <w:spacing w:before="0" w:beforeAutospacing="1" w:after="0" w:afterAutospacing="1"/>
        <w:ind w:left="0" w:firstLine="640"/>
        <w:rPr>
          <w:rFonts w:hint="eastAsia" w:ascii="黑体" w:hAnsi="宋体" w:eastAsia="黑体" w:cs="黑体"/>
          <w:kern w:val="0"/>
          <w:sz w:val="32"/>
          <w:szCs w:val="32"/>
        </w:rPr>
      </w:pPr>
      <w:r>
        <w:rPr>
          <w:rFonts w:hint="eastAsia" w:ascii="黑体" w:hAnsi="宋体" w:eastAsia="黑体" w:cs="黑体"/>
          <w:kern w:val="0"/>
          <w:sz w:val="32"/>
          <w:szCs w:val="32"/>
        </w:rPr>
        <w:t xml:space="preserve">以上报表见附件。   </w:t>
      </w:r>
    </w:p>
    <w:p>
      <w:pPr>
        <w:spacing w:before="0" w:beforeAutospacing="1" w:after="0" w:afterAutospacing="1"/>
        <w:rPr>
          <w:rFonts w:hint="eastAsia" w:ascii="黑体" w:hAnsi="宋体" w:eastAsia="黑体" w:cs="黑体"/>
          <w:kern w:val="0"/>
          <w:sz w:val="32"/>
          <w:szCs w:val="32"/>
        </w:rPr>
      </w:pPr>
      <w:r>
        <w:rPr>
          <w:rFonts w:hint="eastAsia" w:ascii="黑体" w:hAnsi="宋体" w:eastAsia="黑体" w:cs="黑体"/>
          <w:kern w:val="0"/>
          <w:sz w:val="32"/>
          <w:szCs w:val="32"/>
        </w:rPr>
        <w:t xml:space="preserve"> </w:t>
      </w:r>
    </w:p>
    <w:p>
      <w:pPr>
        <w:spacing w:before="0" w:beforeAutospacing="1" w:after="0" w:afterAutospacing="1"/>
        <w:jc w:val="center"/>
        <w:rPr>
          <w:rFonts w:hint="eastAsia" w:ascii="黑体" w:hAnsi="ˎ̥" w:eastAsia="黑体" w:cs="黑体"/>
          <w:kern w:val="0"/>
          <w:sz w:val="32"/>
          <w:szCs w:val="32"/>
        </w:rPr>
      </w:pPr>
      <w:r>
        <w:rPr>
          <w:rFonts w:hint="eastAsia" w:ascii="黑体" w:hAnsi="宋体" w:eastAsia="黑体" w:cs="黑体"/>
          <w:kern w:val="0"/>
          <w:sz w:val="32"/>
          <w:szCs w:val="32"/>
        </w:rPr>
        <w:t>第三部分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2022年度部门决算情况说明</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eastAsia" w:ascii="黑体" w:hAnsi="宋体" w:eastAsia="黑体" w:cs="黑体"/>
          <w:bCs/>
          <w:kern w:val="0"/>
          <w:sz w:val="32"/>
          <w:szCs w:val="32"/>
        </w:rPr>
        <w:t>一、收入支出总体情况说明</w:t>
      </w:r>
      <w:r>
        <w:rPr>
          <w:rFonts w:hint="eastAsia" w:ascii="黑体" w:hAnsi="宋体" w:eastAsia="黑体" w:cs="黑体"/>
          <w:bCs/>
          <w:kern w:val="0"/>
          <w:sz w:val="32"/>
          <w:szCs w:val="32"/>
        </w:rPr>
        <w:br w:type="textWrapping"/>
      </w:r>
      <w:r>
        <w:rPr>
          <w:rFonts w:hint="default" w:ascii="楷体_GB2312" w:hAnsi="ˎ̥" w:eastAsia="楷体_GB2312" w:cs="楷体_GB2312"/>
          <w:kern w:val="0"/>
          <w:sz w:val="32"/>
          <w:szCs w:val="32"/>
        </w:rPr>
        <w:t xml:space="preserve">    </w:t>
      </w:r>
      <w:r>
        <w:rPr>
          <w:rFonts w:hint="default" w:ascii="仿宋_GB2312" w:hAnsi="ˎ̥" w:eastAsia="仿宋_GB2312" w:cs="仿宋_GB2312"/>
          <w:kern w:val="0"/>
          <w:sz w:val="32"/>
          <w:szCs w:val="32"/>
        </w:rPr>
        <w:t>2022年度收入总计</w:t>
      </w:r>
      <w:r>
        <w:rPr>
          <w:rFonts w:hint="default" w:ascii="仿宋_GB2312" w:hAnsi="宋体" w:eastAsia="仿宋_GB2312" w:cs="仿宋_GB2312"/>
          <w:kern w:val="0"/>
          <w:sz w:val="32"/>
          <w:szCs w:val="32"/>
        </w:rPr>
        <w:t>6,281.43</w:t>
      </w:r>
      <w:r>
        <w:rPr>
          <w:rFonts w:hint="default" w:ascii="仿宋_GB2312" w:hAnsi="ˎ̥" w:eastAsia="仿宋_GB2312" w:cs="仿宋_GB2312"/>
          <w:kern w:val="0"/>
          <w:sz w:val="32"/>
          <w:szCs w:val="32"/>
        </w:rPr>
        <w:t>万元，支出总计</w:t>
      </w:r>
      <w:r>
        <w:rPr>
          <w:rFonts w:hint="default" w:ascii="仿宋_GB2312" w:hAnsi="宋体" w:eastAsia="仿宋_GB2312" w:cs="仿宋_GB2312"/>
          <w:kern w:val="0"/>
          <w:sz w:val="32"/>
          <w:szCs w:val="32"/>
        </w:rPr>
        <w:t>6,281.43</w:t>
      </w:r>
      <w:r>
        <w:rPr>
          <w:rFonts w:hint="default" w:ascii="仿宋_GB2312" w:hAnsi="ˎ̥" w:eastAsia="仿宋_GB2312" w:cs="仿宋_GB2312"/>
          <w:kern w:val="0"/>
          <w:sz w:val="32"/>
          <w:szCs w:val="32"/>
        </w:rPr>
        <w:t>万元，与2021年度相比，收入、支出总计各增加550.32万元，增长9.6%。主要原因：一是今年上缴2022年单位部分职业年金，二是2022年事业单位绩效考核奖励核算公积金、社保以及2022年教职工工资晋升；三是今年购买设备较上年多。使用非财政拨款结余</w:t>
      </w:r>
      <w:r>
        <w:rPr>
          <w:rFonts w:hint="default" w:ascii="仿宋_GB2312" w:hAnsi="宋体" w:eastAsia="仿宋_GB2312" w:cs="仿宋_GB2312"/>
          <w:kern w:val="0"/>
          <w:sz w:val="32"/>
          <w:szCs w:val="32"/>
        </w:rPr>
        <w:t>0.03</w:t>
      </w:r>
      <w:r>
        <w:rPr>
          <w:rFonts w:hint="default" w:ascii="仿宋_GB2312" w:hAnsi="ˎ̥" w:eastAsia="仿宋_GB2312" w:cs="仿宋_GB2312"/>
          <w:kern w:val="0"/>
          <w:sz w:val="32"/>
          <w:szCs w:val="32"/>
        </w:rPr>
        <w:t>万元，较2021年度决算数增加0.03万元，主要原因是销户及自助设备服务产生的手续费。年初结转结余</w:t>
      </w:r>
      <w:r>
        <w:rPr>
          <w:rFonts w:hint="default" w:ascii="仿宋_GB2312" w:hAnsi="宋体" w:eastAsia="仿宋_GB2312" w:cs="仿宋_GB2312"/>
          <w:kern w:val="0"/>
          <w:sz w:val="32"/>
          <w:szCs w:val="32"/>
        </w:rPr>
        <w:t>112.85</w:t>
      </w:r>
      <w:r>
        <w:rPr>
          <w:rFonts w:hint="default" w:ascii="仿宋_GB2312" w:hAnsi="ˎ̥" w:eastAsia="仿宋_GB2312" w:cs="仿宋_GB2312"/>
          <w:kern w:val="0"/>
          <w:sz w:val="32"/>
          <w:szCs w:val="32"/>
        </w:rPr>
        <w:t>万元，主要是</w:t>
      </w:r>
      <w:r>
        <w:rPr>
          <w:rFonts w:hint="default" w:ascii="仿宋_GB2312" w:hAnsi="宋体" w:eastAsia="仿宋_GB2312" w:cs="仿宋_GB2312"/>
          <w:kern w:val="0"/>
          <w:sz w:val="32"/>
          <w:szCs w:val="32"/>
        </w:rPr>
        <w:t>其他单位自有资金结转结余112.84元，学生助学金0.02万元</w:t>
      </w:r>
      <w:r>
        <w:rPr>
          <w:rFonts w:hint="default" w:ascii="仿宋_GB2312" w:hAnsi="ˎ̥" w:eastAsia="仿宋_GB2312" w:cs="仿宋_GB2312"/>
          <w:kern w:val="0"/>
          <w:sz w:val="32"/>
          <w:szCs w:val="32"/>
        </w:rPr>
        <w:t>，较2021年度决算数增加24.88万元，增长28.28%，主要原因是中小学生营养改善不上年结转多。结余分配</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万元，较2021年度决算数减少10.1万元，下降100%，主要原因是今年无其他杂项收入。年末结转结余</w:t>
      </w:r>
      <w:r>
        <w:rPr>
          <w:rFonts w:hint="default" w:ascii="仿宋_GB2312" w:hAnsi="宋体" w:eastAsia="仿宋_GB2312" w:cs="仿宋_GB2312"/>
          <w:kern w:val="0"/>
          <w:sz w:val="32"/>
          <w:szCs w:val="32"/>
        </w:rPr>
        <w:t>129.39</w:t>
      </w:r>
      <w:r>
        <w:rPr>
          <w:rFonts w:hint="default" w:ascii="仿宋_GB2312" w:hAnsi="ˎ̥" w:eastAsia="仿宋_GB2312" w:cs="仿宋_GB2312"/>
          <w:kern w:val="0"/>
          <w:sz w:val="32"/>
          <w:szCs w:val="32"/>
        </w:rPr>
        <w:t>万元，主要是</w:t>
      </w:r>
      <w:r>
        <w:rPr>
          <w:rFonts w:hint="default" w:ascii="仿宋_GB2312" w:hAnsi="宋体" w:eastAsia="仿宋_GB2312" w:cs="仿宋_GB2312"/>
          <w:kern w:val="0"/>
          <w:sz w:val="32"/>
          <w:szCs w:val="32"/>
        </w:rPr>
        <w:t>单位资金学生营养改善补助经费结转结余124.59万元，语文学科核心素养课堂生</w:t>
      </w:r>
      <w:r>
        <w:rPr>
          <w:rFonts w:hint="default" w:ascii="仿宋_GB2312" w:hAnsi="ˎ̥" w:eastAsia="仿宋_GB2312" w:cs="仿宋_GB2312"/>
          <w:kern w:val="0"/>
          <w:sz w:val="32"/>
          <w:szCs w:val="32"/>
        </w:rPr>
        <w:t>成机制经费结转结余4.7万元，宋庆龄奖学金0.1万元，较2021年度决算数增加16.52万元，增长14.64%，主要原因是</w:t>
      </w:r>
      <w:r>
        <w:rPr>
          <w:rFonts w:hint="default" w:ascii="仿宋_GB2312" w:hAnsi="宋体" w:eastAsia="仿宋_GB2312" w:cs="仿宋_GB2312"/>
          <w:kern w:val="0"/>
          <w:sz w:val="32"/>
          <w:szCs w:val="32"/>
        </w:rPr>
        <w:t>今年增加语文学科核心素养课堂生成机制经费和学生营养餐经费结转增加。</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eastAsia" w:ascii="黑体" w:hAnsi="宋体" w:eastAsia="黑体" w:cs="黑体"/>
          <w:bCs/>
          <w:kern w:val="0"/>
          <w:sz w:val="32"/>
          <w:szCs w:val="32"/>
        </w:rPr>
        <w:t>二、收入决算情况说明</w:t>
      </w:r>
      <w:r>
        <w:rPr>
          <w:rFonts w:hint="eastAsia" w:ascii="黑体" w:hAnsi="宋体" w:eastAsia="黑体" w:cs="黑体"/>
          <w:bCs/>
          <w:kern w:val="0"/>
          <w:sz w:val="32"/>
          <w:szCs w:val="32"/>
        </w:rPr>
        <w:br w:type="textWrapping"/>
      </w:r>
      <w:r>
        <w:rPr>
          <w:rFonts w:hint="default" w:ascii="仿宋_GB2312" w:hAnsi="ˎ̥" w:eastAsia="仿宋_GB2312" w:cs="仿宋_GB2312"/>
          <w:kern w:val="0"/>
          <w:sz w:val="32"/>
          <w:szCs w:val="32"/>
        </w:rPr>
        <w:t xml:space="preserve">    本年收入合计</w:t>
      </w:r>
      <w:r>
        <w:rPr>
          <w:rFonts w:hint="default" w:ascii="仿宋_GB2312" w:hAnsi="宋体" w:eastAsia="仿宋_GB2312" w:cs="仿宋_GB2312"/>
          <w:kern w:val="0"/>
          <w:sz w:val="32"/>
          <w:szCs w:val="32"/>
        </w:rPr>
        <w:t>6,168.54</w:t>
      </w:r>
      <w:r>
        <w:rPr>
          <w:rFonts w:hint="default" w:ascii="仿宋_GB2312" w:hAnsi="ˎ̥" w:eastAsia="仿宋_GB2312" w:cs="仿宋_GB2312"/>
          <w:kern w:val="0"/>
          <w:sz w:val="32"/>
          <w:szCs w:val="32"/>
        </w:rPr>
        <w:t>万元，其中：财政拨款收入</w:t>
      </w:r>
      <w:r>
        <w:rPr>
          <w:rFonts w:hint="default" w:ascii="仿宋_GB2312" w:hAnsi="宋体" w:eastAsia="仿宋_GB2312" w:cs="仿宋_GB2312"/>
          <w:kern w:val="0"/>
          <w:sz w:val="32"/>
          <w:szCs w:val="32"/>
        </w:rPr>
        <w:t>5,941.47</w:t>
      </w:r>
      <w:r>
        <w:rPr>
          <w:rFonts w:hint="default" w:ascii="仿宋_GB2312" w:hAnsi="ˎ̥" w:eastAsia="仿宋_GB2312" w:cs="仿宋_GB2312"/>
          <w:kern w:val="0"/>
          <w:sz w:val="32"/>
          <w:szCs w:val="32"/>
        </w:rPr>
        <w:t>万元，占96.32%；上级补助收入</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万元，占0%；事业收入</w:t>
      </w:r>
      <w:r>
        <w:rPr>
          <w:rFonts w:hint="default" w:ascii="仿宋_GB2312" w:hAnsi="宋体" w:eastAsia="仿宋_GB2312" w:cs="仿宋_GB2312"/>
          <w:kern w:val="0"/>
          <w:sz w:val="32"/>
          <w:szCs w:val="32"/>
        </w:rPr>
        <w:t>111.93</w:t>
      </w:r>
      <w:r>
        <w:rPr>
          <w:rFonts w:hint="default" w:ascii="仿宋_GB2312" w:hAnsi="ˎ̥" w:eastAsia="仿宋_GB2312" w:cs="仿宋_GB2312"/>
          <w:kern w:val="0"/>
          <w:sz w:val="32"/>
          <w:szCs w:val="32"/>
        </w:rPr>
        <w:t>万元，占1.81%；经营收入</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万元，占0%；附属单位上缴收入</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万元，占0%；其他收入</w:t>
      </w:r>
      <w:r>
        <w:rPr>
          <w:rFonts w:hint="default" w:ascii="仿宋_GB2312" w:hAnsi="宋体" w:eastAsia="仿宋_GB2312" w:cs="仿宋_GB2312"/>
          <w:kern w:val="0"/>
          <w:sz w:val="32"/>
          <w:szCs w:val="32"/>
        </w:rPr>
        <w:t>115.14</w:t>
      </w:r>
      <w:r>
        <w:rPr>
          <w:rFonts w:hint="default" w:ascii="仿宋_GB2312" w:hAnsi="ˎ̥" w:eastAsia="仿宋_GB2312" w:cs="仿宋_GB2312"/>
          <w:kern w:val="0"/>
          <w:sz w:val="32"/>
          <w:szCs w:val="32"/>
        </w:rPr>
        <w:t>万元，占1.87%。</w:t>
      </w:r>
    </w:p>
    <w:p>
      <w:pPr>
        <w:spacing w:before="0" w:beforeAutospacing="1" w:after="0" w:afterAutospacing="1"/>
        <w:ind w:lef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三、支出决算情况说明</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本年支出合计</w:t>
      </w:r>
      <w:r>
        <w:rPr>
          <w:rFonts w:hint="default" w:ascii="仿宋_GB2312" w:hAnsi="宋体" w:eastAsia="仿宋_GB2312" w:cs="仿宋_GB2312"/>
          <w:kern w:val="0"/>
          <w:sz w:val="32"/>
          <w:szCs w:val="32"/>
        </w:rPr>
        <w:t>6,152.04</w:t>
      </w:r>
      <w:r>
        <w:rPr>
          <w:rFonts w:hint="default" w:ascii="仿宋_GB2312" w:hAnsi="ˎ̥" w:eastAsia="仿宋_GB2312" w:cs="仿宋_GB2312"/>
          <w:kern w:val="0"/>
          <w:sz w:val="32"/>
          <w:szCs w:val="32"/>
        </w:rPr>
        <w:t>万元，其中：基本支出</w:t>
      </w:r>
      <w:r>
        <w:rPr>
          <w:rFonts w:hint="default" w:ascii="仿宋_GB2312" w:hAnsi="宋体" w:eastAsia="仿宋_GB2312" w:cs="仿宋_GB2312"/>
          <w:kern w:val="0"/>
          <w:sz w:val="32"/>
          <w:szCs w:val="32"/>
        </w:rPr>
        <w:t>4,147.42</w:t>
      </w:r>
      <w:r>
        <w:rPr>
          <w:rFonts w:hint="default" w:ascii="仿宋_GB2312" w:hAnsi="ˎ̥" w:eastAsia="仿宋_GB2312" w:cs="仿宋_GB2312"/>
          <w:kern w:val="0"/>
          <w:sz w:val="32"/>
          <w:szCs w:val="32"/>
        </w:rPr>
        <w:t>万元，占67.42%；项目支出</w:t>
      </w:r>
      <w:r>
        <w:rPr>
          <w:rFonts w:hint="default" w:ascii="仿宋_GB2312" w:hAnsi="宋体" w:eastAsia="仿宋_GB2312" w:cs="仿宋_GB2312"/>
          <w:kern w:val="0"/>
          <w:sz w:val="32"/>
          <w:szCs w:val="32"/>
        </w:rPr>
        <w:t>2,004.61</w:t>
      </w:r>
      <w:r>
        <w:rPr>
          <w:rFonts w:hint="default" w:ascii="仿宋_GB2312" w:hAnsi="ˎ̥" w:eastAsia="仿宋_GB2312" w:cs="仿宋_GB2312"/>
          <w:kern w:val="0"/>
          <w:sz w:val="32"/>
          <w:szCs w:val="32"/>
        </w:rPr>
        <w:t>万元，占32.58%；上缴上级支出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万元，占0%；经营支出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万元，占0%；对附属单位补助支出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w:t>
      </w:r>
    </w:p>
    <w:p>
      <w:pPr>
        <w:spacing w:before="0" w:beforeAutospacing="1" w:after="0" w:afterAutospacing="1"/>
        <w:ind w:lef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四、财政拨款收入支出决算总体情况说明</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2022年度财政拨款收入</w:t>
      </w:r>
      <w:r>
        <w:rPr>
          <w:rFonts w:hint="default" w:ascii="仿宋_GB2312" w:hAnsi="宋体" w:eastAsia="仿宋_GB2312" w:cs="仿宋_GB2312"/>
          <w:kern w:val="0"/>
          <w:sz w:val="32"/>
          <w:szCs w:val="32"/>
        </w:rPr>
        <w:t>5,941.47</w:t>
      </w:r>
      <w:r>
        <w:rPr>
          <w:rFonts w:hint="default" w:ascii="仿宋_GB2312" w:hAnsi="ˎ̥" w:eastAsia="仿宋_GB2312" w:cs="仿宋_GB2312"/>
          <w:kern w:val="0"/>
          <w:sz w:val="32"/>
          <w:szCs w:val="32"/>
        </w:rPr>
        <w:t>万元，支出</w:t>
      </w:r>
      <w:r>
        <w:rPr>
          <w:rFonts w:hint="default" w:ascii="仿宋_GB2312" w:hAnsi="宋体" w:eastAsia="仿宋_GB2312" w:cs="仿宋_GB2312"/>
          <w:kern w:val="0"/>
          <w:sz w:val="32"/>
          <w:szCs w:val="32"/>
        </w:rPr>
        <w:t>5,941.47</w:t>
      </w:r>
      <w:r>
        <w:rPr>
          <w:rFonts w:hint="default" w:ascii="仿宋_GB2312" w:hAnsi="ˎ̥" w:eastAsia="仿宋_GB2312" w:cs="仿宋_GB2312"/>
          <w:kern w:val="0"/>
          <w:sz w:val="32"/>
          <w:szCs w:val="32"/>
        </w:rPr>
        <w:t>万元。与2021年度相比，财政拨款收入、支出各增加539.36万元，增长539.38%。主要原因：一是今年上缴2022年单位部分职业年金，二是2022年事业单位绩效考核奖励核算公积金、社保以及2022年教职工工资晋升；三是今年购买设备较上年多。</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财政拨款年初结转结余</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万元，较2021年度决算数无增减。</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财政拨款年末结转结余</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万元，较2021年度年末决算数减少0.02万元，下降100%，</w:t>
      </w:r>
      <w:r>
        <w:rPr>
          <w:rFonts w:hint="default" w:ascii="仿宋_GB2312" w:hAnsi="宋体" w:eastAsia="仿宋_GB2312" w:cs="仿宋_GB2312"/>
          <w:kern w:val="0"/>
          <w:sz w:val="32"/>
          <w:szCs w:val="32"/>
        </w:rPr>
        <w:t>主要原因是财政拨款剩余指标财政收回</w:t>
      </w:r>
      <w:r>
        <w:rPr>
          <w:rFonts w:hint="default" w:ascii="仿宋_GB2312" w:hAnsi="ˎ̥" w:eastAsia="仿宋_GB2312" w:cs="仿宋_GB2312"/>
          <w:kern w:val="0"/>
          <w:sz w:val="32"/>
          <w:szCs w:val="32"/>
        </w:rPr>
        <w:t>。</w:t>
      </w:r>
    </w:p>
    <w:p>
      <w:pPr>
        <w:spacing w:before="0" w:beforeAutospacing="1" w:after="0" w:afterAutospacing="1"/>
        <w:ind w:lef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五、一般公共预算财政拨款支出决算情况说明</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（一）一般公共预算财政拨款支出决算总体情况。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2022年度一般公共预算财政拨款支出</w:t>
      </w:r>
      <w:r>
        <w:rPr>
          <w:rFonts w:hint="default" w:ascii="仿宋_GB2312" w:hAnsi="宋体" w:eastAsia="仿宋_GB2312" w:cs="仿宋_GB2312"/>
          <w:kern w:val="0"/>
          <w:sz w:val="32"/>
          <w:szCs w:val="32"/>
        </w:rPr>
        <w:t>5,941.47</w:t>
      </w:r>
      <w:r>
        <w:rPr>
          <w:rFonts w:hint="default" w:ascii="仿宋_GB2312" w:hAnsi="ˎ̥" w:eastAsia="仿宋_GB2312" w:cs="仿宋_GB2312"/>
          <w:kern w:val="0"/>
          <w:sz w:val="32"/>
          <w:szCs w:val="32"/>
        </w:rPr>
        <w:t>万元，占本年支出合计的96.58%。与2021年度相比，一般公共预算财政拨款支出增加539.38万元，增长9.98%，主要原因是：一是今年上缴2022年单位部分职业年金，二是2022年事业单位绩效考核奖励核算公积金、社保以及2022年教职工工资晋升；三是今年购买设备较上年多。</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（二）一般公共预算财政拨款支出决算结构情况。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2022年度一般公共预算财政拨款支出</w:t>
      </w:r>
      <w:r>
        <w:rPr>
          <w:rFonts w:hint="default" w:ascii="仿宋_GB2312" w:hAnsi="宋体" w:eastAsia="仿宋_GB2312" w:cs="仿宋_GB2312"/>
          <w:kern w:val="0"/>
          <w:sz w:val="32"/>
          <w:szCs w:val="32"/>
        </w:rPr>
        <w:t>5,941.47</w:t>
      </w:r>
      <w:r>
        <w:rPr>
          <w:rFonts w:hint="default" w:ascii="仿宋_GB2312" w:hAnsi="ˎ̥" w:eastAsia="仿宋_GB2312" w:cs="仿宋_GB2312"/>
          <w:kern w:val="0"/>
          <w:sz w:val="32"/>
          <w:szCs w:val="32"/>
        </w:rPr>
        <w:t>万元，主要用于以下方面：</w:t>
      </w:r>
      <w:r>
        <w:rPr>
          <w:rFonts w:hint="default" w:ascii="仿宋_GB2312" w:hAnsi="ˎ̥" w:eastAsia="仿宋_GB2312" w:cs="仿宋_GB2312"/>
          <w:b/>
          <w:bCs w:val="0"/>
          <w:kern w:val="0"/>
          <w:sz w:val="32"/>
          <w:szCs w:val="32"/>
        </w:rPr>
        <w:t>一般公共服务（类）</w:t>
      </w:r>
      <w:r>
        <w:rPr>
          <w:rFonts w:hint="default" w:ascii="仿宋_GB2312" w:hAnsi="ˎ̥" w:eastAsia="仿宋_GB2312" w:cs="仿宋_GB2312"/>
          <w:kern w:val="0"/>
          <w:sz w:val="32"/>
          <w:szCs w:val="32"/>
        </w:rPr>
        <w:t>支出0万元，占0%；教育（类）支出4697.35万元，占79.06%；</w:t>
      </w:r>
      <w:r>
        <w:rPr>
          <w:rFonts w:hint="default" w:ascii="仿宋_GB2312" w:hAnsi="ˎ̥" w:eastAsia="仿宋_GB2312" w:cs="仿宋_GB2312"/>
          <w:b/>
          <w:bCs w:val="0"/>
          <w:kern w:val="0"/>
          <w:sz w:val="32"/>
          <w:szCs w:val="32"/>
        </w:rPr>
        <w:t>社会保障和就业（类）</w:t>
      </w:r>
      <w:r>
        <w:rPr>
          <w:rFonts w:hint="default" w:ascii="仿宋_GB2312" w:hAnsi="ˎ̥" w:eastAsia="仿宋_GB2312" w:cs="仿宋_GB2312"/>
          <w:kern w:val="0"/>
          <w:sz w:val="32"/>
          <w:szCs w:val="32"/>
        </w:rPr>
        <w:t>支出544.23万元，占9.16%；卫生健康（类）支出423.39万元，占7.13%；</w:t>
      </w:r>
      <w:r>
        <w:rPr>
          <w:rFonts w:hint="default" w:ascii="仿宋_GB2312" w:hAnsi="ˎ̥" w:eastAsia="仿宋_GB2312" w:cs="仿宋_GB2312"/>
          <w:b/>
          <w:bCs/>
          <w:kern w:val="0"/>
          <w:sz w:val="32"/>
          <w:szCs w:val="32"/>
        </w:rPr>
        <w:t>住房保障（类）</w:t>
      </w:r>
      <w:r>
        <w:rPr>
          <w:rFonts w:hint="default" w:ascii="仿宋_GB2312" w:hAnsi="ˎ̥" w:eastAsia="仿宋_GB2312" w:cs="仿宋_GB2312"/>
          <w:kern w:val="0"/>
          <w:sz w:val="32"/>
          <w:szCs w:val="32"/>
        </w:rPr>
        <w:t>支出276.5万元，占4.65%。</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（三）一般公共预算财政拨款支出决算具体情况。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2022年度一般公共预算财政拨款支出年初预算为5665.44万元，支出决算为</w:t>
      </w:r>
      <w:r>
        <w:rPr>
          <w:rFonts w:hint="default" w:ascii="仿宋_GB2312" w:hAnsi="宋体" w:eastAsia="仿宋_GB2312" w:cs="仿宋_GB2312"/>
          <w:kern w:val="0"/>
          <w:sz w:val="32"/>
          <w:szCs w:val="32"/>
        </w:rPr>
        <w:t>5,941.47</w:t>
      </w:r>
      <w:r>
        <w:rPr>
          <w:rFonts w:hint="default" w:ascii="仿宋_GB2312" w:hAnsi="ˎ̥" w:eastAsia="仿宋_GB2312" w:cs="仿宋_GB2312"/>
          <w:kern w:val="0"/>
          <w:sz w:val="32"/>
          <w:szCs w:val="32"/>
        </w:rPr>
        <w:t>万元，完成年初预算的104.87%。其中：</w:t>
      </w:r>
    </w:p>
    <w:p>
      <w:pPr>
        <w:spacing w:before="0" w:beforeAutospacing="1" w:after="0" w:afterAutospacing="1"/>
        <w:ind w:left="0" w:firstLine="640" w:firstLineChars="200"/>
        <w:rPr>
          <w:rFonts w:hint="default" w:ascii="仿宋_GB2312" w:hAnsi="宋体" w:eastAsia="仿宋_GB2312" w:cs="仿宋_GB2312"/>
          <w:b/>
          <w:bCs/>
          <w:kern w:val="0"/>
          <w:sz w:val="32"/>
          <w:szCs w:val="32"/>
        </w:rPr>
      </w:pPr>
      <w:r>
        <w:rPr>
          <w:rFonts w:hint="default" w:ascii="仿宋_GB2312" w:hAnsi="宋体" w:eastAsia="仿宋_GB2312" w:cs="仿宋_GB2312"/>
          <w:kern w:val="0"/>
          <w:sz w:val="32"/>
          <w:szCs w:val="32"/>
        </w:rPr>
        <w:t>1.</w:t>
      </w:r>
      <w:r>
        <w:rPr>
          <w:rFonts w:hint="default" w:ascii="仿宋_GB2312" w:hAnsi="宋体" w:eastAsia="仿宋_GB2312" w:cs="仿宋_GB2312"/>
          <w:b/>
          <w:bCs/>
          <w:kern w:val="0"/>
          <w:sz w:val="32"/>
          <w:szCs w:val="32"/>
        </w:rPr>
        <w:t>教育支出（类）普通教育（款）高中教育（项）。</w:t>
      </w:r>
    </w:p>
    <w:p>
      <w:pPr>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 xml:space="preserve">年初预算为4,563.99万元，支出决算为4557.73万元，完成年初预算的99.86%。决算数小于预算数的主要原因：一是食宿一体公寓2楼A食堂厨房设备采购项目经费财政收回；二是教育教学管理与监督项目经费财政收回。 </w:t>
      </w:r>
    </w:p>
    <w:p>
      <w:pPr>
        <w:spacing w:before="0" w:beforeAutospacing="1" w:after="0" w:afterAutospacing="1"/>
        <w:ind w:left="0" w:firstLine="640" w:firstLineChars="200"/>
        <w:rPr>
          <w:rFonts w:hint="default" w:ascii="仿宋_GB2312" w:hAnsi="宋体" w:eastAsia="仿宋_GB2312" w:cs="仿宋_GB2312"/>
          <w:b/>
          <w:bCs/>
          <w:kern w:val="0"/>
          <w:sz w:val="32"/>
          <w:szCs w:val="32"/>
        </w:rPr>
      </w:pPr>
      <w:r>
        <w:rPr>
          <w:rFonts w:hint="default" w:ascii="仿宋_GB2312" w:hAnsi="宋体" w:eastAsia="仿宋_GB2312" w:cs="仿宋_GB2312"/>
          <w:kern w:val="0"/>
          <w:sz w:val="32"/>
          <w:szCs w:val="32"/>
        </w:rPr>
        <w:t xml:space="preserve">2. </w:t>
      </w:r>
      <w:r>
        <w:rPr>
          <w:rFonts w:hint="default" w:ascii="仿宋_GB2312" w:hAnsi="宋体" w:eastAsia="仿宋_GB2312" w:cs="仿宋_GB2312"/>
          <w:b/>
          <w:bCs/>
          <w:kern w:val="0"/>
          <w:sz w:val="32"/>
          <w:szCs w:val="32"/>
        </w:rPr>
        <w:t>教育支出（类）普通教育（款）初中教育（项）。</w:t>
      </w:r>
    </w:p>
    <w:p>
      <w:pPr>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年初预算为155.20万元，支出决算为139.62万元。完成年初预算的89.96%。决算数小于预算数的主要原因是疫情无法开展游泳项目活动经费支付不了财政收回。</w:t>
      </w:r>
    </w:p>
    <w:p>
      <w:pPr>
        <w:spacing w:before="0" w:beforeAutospacing="1" w:after="0" w:afterAutospacing="1"/>
        <w:ind w:left="0" w:firstLine="640" w:firstLineChars="200"/>
        <w:rPr>
          <w:rFonts w:hint="default" w:ascii="仿宋_GB2312" w:hAnsi="宋体" w:eastAsia="仿宋_GB2312" w:cs="仿宋_GB2312"/>
          <w:b/>
          <w:bCs/>
          <w:kern w:val="0"/>
          <w:sz w:val="32"/>
          <w:szCs w:val="32"/>
        </w:rPr>
      </w:pPr>
      <w:r>
        <w:rPr>
          <w:rFonts w:hint="default" w:ascii="仿宋_GB2312" w:hAnsi="宋体" w:eastAsia="仿宋_GB2312" w:cs="仿宋_GB2312"/>
          <w:kern w:val="0"/>
          <w:sz w:val="32"/>
          <w:szCs w:val="32"/>
        </w:rPr>
        <w:t xml:space="preserve">3. </w:t>
      </w:r>
      <w:r>
        <w:rPr>
          <w:rFonts w:hint="default" w:ascii="仿宋_GB2312" w:hAnsi="宋体" w:eastAsia="仿宋_GB2312" w:cs="仿宋_GB2312"/>
          <w:b/>
          <w:bCs/>
          <w:kern w:val="0"/>
          <w:sz w:val="32"/>
          <w:szCs w:val="32"/>
        </w:rPr>
        <w:t>社会保障和就业支出（类）行政事业单位养老支出（款）机关事业单位基本养老保险缴费支出（项）。</w:t>
      </w:r>
    </w:p>
    <w:p>
      <w:pPr>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年初预算为288.04万元，支出决算为333.75万元。完成年初预算的115.87%。决算数大于预算数的主要原因是基础绩效奖作为基数缴纳养老保险年中追加养老保险。</w:t>
      </w:r>
    </w:p>
    <w:p>
      <w:pPr>
        <w:spacing w:before="0" w:beforeAutospacing="1" w:after="0" w:afterAutospacing="1"/>
        <w:ind w:left="0" w:firstLine="640" w:firstLineChars="200"/>
        <w:rPr>
          <w:rFonts w:hint="default" w:ascii="仿宋_GB2312" w:hAnsi="宋体" w:eastAsia="仿宋_GB2312" w:cs="仿宋_GB2312"/>
          <w:b/>
          <w:bCs/>
          <w:kern w:val="0"/>
          <w:sz w:val="32"/>
          <w:szCs w:val="32"/>
        </w:rPr>
      </w:pPr>
      <w:r>
        <w:rPr>
          <w:rFonts w:hint="default" w:ascii="仿宋_GB2312" w:hAnsi="宋体" w:eastAsia="仿宋_GB2312" w:cs="仿宋_GB2312"/>
          <w:kern w:val="0"/>
          <w:sz w:val="32"/>
          <w:szCs w:val="32"/>
        </w:rPr>
        <w:t xml:space="preserve">5. </w:t>
      </w:r>
      <w:r>
        <w:rPr>
          <w:rFonts w:hint="default" w:ascii="仿宋_GB2312" w:hAnsi="宋体" w:eastAsia="仿宋_GB2312" w:cs="仿宋_GB2312"/>
          <w:b/>
          <w:bCs/>
          <w:kern w:val="0"/>
          <w:sz w:val="32"/>
          <w:szCs w:val="32"/>
        </w:rPr>
        <w:t>社会保障和就业支出（类）行政事业单位养老支出（款）机关事业单位职业年金缴费支出（项）。</w:t>
      </w:r>
    </w:p>
    <w:p>
      <w:pPr>
        <w:ind w:left="0" w:firstLine="640" w:firstLineChars="200"/>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年初预算为 29.71万元，支出决算为204.83万元。完成年初预算的689.43%。决算数大于预算数的主要原因:一是本年单位部分职业年金单位上缴社保年中追加，二是基础绩效奖作为基数缴纳职业年金年中追加职业年金。</w:t>
      </w:r>
    </w:p>
    <w:p>
      <w:pPr>
        <w:spacing w:before="0" w:beforeAutospacing="1" w:after="0" w:afterAutospacing="1"/>
        <w:ind w:left="0" w:firstLine="640" w:firstLineChars="200"/>
        <w:rPr>
          <w:rFonts w:hint="default" w:ascii="仿宋_GB2312" w:hAnsi="宋体" w:eastAsia="仿宋_GB2312" w:cs="仿宋_GB2312"/>
          <w:b/>
          <w:bCs/>
          <w:kern w:val="0"/>
          <w:sz w:val="32"/>
          <w:szCs w:val="32"/>
        </w:rPr>
      </w:pPr>
      <w:r>
        <w:rPr>
          <w:rFonts w:hint="default" w:ascii="仿宋_GB2312" w:hAnsi="宋体" w:eastAsia="仿宋_GB2312" w:cs="仿宋_GB2312"/>
          <w:kern w:val="0"/>
          <w:sz w:val="32"/>
          <w:szCs w:val="32"/>
        </w:rPr>
        <w:t>6.</w:t>
      </w:r>
      <w:r>
        <w:rPr>
          <w:rFonts w:hint="eastAsia" w:ascii="宋体" w:hAnsi="宋体" w:eastAsia="宋体" w:cs="宋体"/>
          <w:kern w:val="0"/>
          <w:sz w:val="24"/>
          <w:szCs w:val="24"/>
        </w:rPr>
        <w:t xml:space="preserve"> </w:t>
      </w:r>
      <w:r>
        <w:rPr>
          <w:rFonts w:hint="default" w:ascii="仿宋_GB2312" w:hAnsi="宋体" w:eastAsia="仿宋_GB2312" w:cs="仿宋_GB2312"/>
          <w:kern w:val="0"/>
          <w:sz w:val="32"/>
          <w:szCs w:val="32"/>
        </w:rPr>
        <w:t>社会保障和就业支出</w:t>
      </w:r>
      <w:r>
        <w:rPr>
          <w:rFonts w:hint="default" w:ascii="仿宋_GB2312" w:hAnsi="宋体" w:eastAsia="仿宋_GB2312" w:cs="仿宋_GB2312"/>
          <w:b/>
          <w:bCs/>
          <w:kern w:val="0"/>
          <w:sz w:val="32"/>
          <w:szCs w:val="32"/>
        </w:rPr>
        <w:t>（类）抚恤（款）其他优抚支出（项）。</w:t>
      </w:r>
    </w:p>
    <w:p>
      <w:pPr>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年初预算为5.65万元，支出决算为5.65万元。完成年初预算的100%。决算数等于预算数。</w:t>
      </w:r>
    </w:p>
    <w:p>
      <w:pPr>
        <w:spacing w:before="0" w:beforeAutospacing="1" w:after="0" w:afterAutospacing="1"/>
        <w:ind w:left="0" w:firstLine="640" w:firstLineChars="200"/>
        <w:rPr>
          <w:rFonts w:hint="default" w:ascii="仿宋_GB2312" w:hAnsi="宋体" w:eastAsia="仿宋_GB2312" w:cs="仿宋_GB2312"/>
          <w:b/>
          <w:bCs/>
          <w:kern w:val="0"/>
          <w:sz w:val="32"/>
          <w:szCs w:val="32"/>
        </w:rPr>
      </w:pPr>
      <w:r>
        <w:rPr>
          <w:rFonts w:hint="default" w:ascii="仿宋_GB2312" w:hAnsi="宋体" w:eastAsia="仿宋_GB2312" w:cs="仿宋_GB2312"/>
          <w:kern w:val="0"/>
          <w:sz w:val="32"/>
          <w:szCs w:val="32"/>
        </w:rPr>
        <w:t>8.</w:t>
      </w:r>
      <w:r>
        <w:rPr>
          <w:rFonts w:hint="eastAsia" w:ascii="宋体" w:hAnsi="宋体" w:eastAsia="宋体" w:cs="宋体"/>
          <w:kern w:val="0"/>
          <w:sz w:val="24"/>
          <w:szCs w:val="24"/>
        </w:rPr>
        <w:t xml:space="preserve"> </w:t>
      </w:r>
      <w:r>
        <w:rPr>
          <w:rFonts w:hint="default" w:ascii="仿宋_GB2312" w:hAnsi="宋体" w:eastAsia="仿宋_GB2312" w:cs="仿宋_GB2312"/>
          <w:kern w:val="0"/>
          <w:sz w:val="32"/>
          <w:szCs w:val="32"/>
        </w:rPr>
        <w:t>卫生健康支出</w:t>
      </w:r>
      <w:r>
        <w:rPr>
          <w:rFonts w:hint="default" w:ascii="仿宋_GB2312" w:hAnsi="宋体" w:eastAsia="仿宋_GB2312" w:cs="仿宋_GB2312"/>
          <w:b/>
          <w:bCs/>
          <w:kern w:val="0"/>
          <w:sz w:val="32"/>
          <w:szCs w:val="32"/>
        </w:rPr>
        <w:t>（类）行政事业单位医疗（款）事业单位医疗（项）。</w:t>
      </w:r>
    </w:p>
    <w:p>
      <w:pPr>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年初预算为 153.02万元，支出决算为150.64万元。完成年初预算的99.44%。决算数小于预算数的主要原因是年中有人员退休。</w:t>
      </w:r>
    </w:p>
    <w:p>
      <w:pPr>
        <w:spacing w:before="0" w:beforeAutospacing="1" w:after="0" w:afterAutospacing="1"/>
        <w:ind w:left="0" w:firstLine="640" w:firstLineChars="200"/>
        <w:rPr>
          <w:rFonts w:hint="default" w:ascii="仿宋_GB2312" w:hAnsi="宋体" w:eastAsia="仿宋_GB2312" w:cs="仿宋_GB2312"/>
          <w:b/>
          <w:bCs/>
          <w:kern w:val="0"/>
          <w:sz w:val="32"/>
          <w:szCs w:val="32"/>
        </w:rPr>
      </w:pPr>
      <w:r>
        <w:rPr>
          <w:rFonts w:hint="default" w:ascii="仿宋_GB2312" w:hAnsi="宋体" w:eastAsia="仿宋_GB2312" w:cs="仿宋_GB2312"/>
          <w:kern w:val="0"/>
          <w:sz w:val="32"/>
          <w:szCs w:val="32"/>
        </w:rPr>
        <w:t>9.</w:t>
      </w:r>
      <w:r>
        <w:rPr>
          <w:rFonts w:hint="eastAsia" w:ascii="宋体" w:hAnsi="宋体" w:eastAsia="宋体" w:cs="宋体"/>
          <w:kern w:val="0"/>
          <w:sz w:val="24"/>
          <w:szCs w:val="24"/>
        </w:rPr>
        <w:t xml:space="preserve"> </w:t>
      </w:r>
      <w:r>
        <w:rPr>
          <w:rFonts w:hint="default" w:ascii="仿宋_GB2312" w:hAnsi="宋体" w:eastAsia="仿宋_GB2312" w:cs="仿宋_GB2312"/>
          <w:kern w:val="0"/>
          <w:sz w:val="32"/>
          <w:szCs w:val="32"/>
        </w:rPr>
        <w:t>卫生健康支出</w:t>
      </w:r>
      <w:r>
        <w:rPr>
          <w:rFonts w:hint="default" w:ascii="仿宋_GB2312" w:hAnsi="宋体" w:eastAsia="仿宋_GB2312" w:cs="仿宋_GB2312"/>
          <w:b/>
          <w:bCs/>
          <w:kern w:val="0"/>
          <w:sz w:val="32"/>
          <w:szCs w:val="32"/>
        </w:rPr>
        <w:t>（类）行政事业单位医疗（款）  公务员医疗补助（项）。</w:t>
      </w:r>
    </w:p>
    <w:p>
      <w:pPr>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年初预算为245.88万元，支出决算为272.75万元。完成年初预算的110.93%。决算数大于预算数的主要原因是基础绩效奖作为基数缴纳公务员医疗补助年中追加公务员医疗补助费用支出</w:t>
      </w:r>
    </w:p>
    <w:p>
      <w:pPr>
        <w:spacing w:before="0" w:beforeAutospacing="1" w:after="0" w:afterAutospacing="1"/>
        <w:ind w:left="0" w:firstLine="640" w:firstLineChars="200"/>
        <w:rPr>
          <w:rFonts w:hint="default" w:ascii="仿宋_GB2312" w:hAnsi="宋体" w:eastAsia="仿宋_GB2312" w:cs="仿宋_GB2312"/>
          <w:b/>
          <w:bCs/>
          <w:kern w:val="0"/>
          <w:sz w:val="32"/>
          <w:szCs w:val="32"/>
        </w:rPr>
      </w:pPr>
      <w:r>
        <w:rPr>
          <w:rFonts w:hint="default" w:ascii="仿宋_GB2312" w:hAnsi="宋体" w:eastAsia="仿宋_GB2312" w:cs="仿宋_GB2312"/>
          <w:kern w:val="0"/>
          <w:sz w:val="32"/>
          <w:szCs w:val="32"/>
        </w:rPr>
        <w:t>10.</w:t>
      </w:r>
      <w:r>
        <w:rPr>
          <w:rFonts w:hint="eastAsia" w:ascii="宋体" w:hAnsi="宋体" w:eastAsia="宋体" w:cs="宋体"/>
          <w:kern w:val="0"/>
          <w:sz w:val="24"/>
          <w:szCs w:val="24"/>
        </w:rPr>
        <w:t xml:space="preserve"> </w:t>
      </w:r>
      <w:r>
        <w:rPr>
          <w:rFonts w:hint="default" w:ascii="仿宋_GB2312" w:hAnsi="宋体" w:eastAsia="仿宋_GB2312" w:cs="仿宋_GB2312"/>
          <w:kern w:val="0"/>
          <w:sz w:val="32"/>
          <w:szCs w:val="32"/>
        </w:rPr>
        <w:t>住房保障支出</w:t>
      </w:r>
      <w:r>
        <w:rPr>
          <w:rFonts w:hint="default" w:ascii="仿宋_GB2312" w:hAnsi="宋体" w:eastAsia="仿宋_GB2312" w:cs="仿宋_GB2312"/>
          <w:b/>
          <w:bCs/>
          <w:kern w:val="0"/>
          <w:sz w:val="32"/>
          <w:szCs w:val="32"/>
        </w:rPr>
        <w:t>（类）住房改革支出（款） 住房公积金（项）。</w:t>
      </w:r>
    </w:p>
    <w:p>
      <w:pPr>
        <w:rPr>
          <w:rFonts w:hint="default" w:ascii="仿宋_GB2312" w:hAnsi="ˎ̥" w:eastAsia="仿宋_GB2312" w:cs="仿宋_GB2312"/>
          <w:kern w:val="0"/>
          <w:sz w:val="32"/>
          <w:szCs w:val="32"/>
        </w:rPr>
      </w:pPr>
      <w:r>
        <w:rPr>
          <w:rFonts w:hint="default" w:ascii="仿宋_GB2312" w:hAnsi="宋体" w:eastAsia="仿宋_GB2312" w:cs="仿宋_GB2312"/>
          <w:kern w:val="0"/>
          <w:sz w:val="32"/>
          <w:szCs w:val="32"/>
        </w:rPr>
        <w:t>年初预算为 223.95万元，支出决算为276.5万元。完成年初预算的123.47%。决算数大于预算数的主要原因是基础绩效奖作为基数缴纳公积金年中追加公积金。</w:t>
      </w:r>
    </w:p>
    <w:p>
      <w:pPr>
        <w:spacing w:before="0" w:beforeAutospacing="1" w:after="0" w:afterAutospacing="1"/>
        <w:ind w:left="0" w:firstLine="627" w:firstLineChars="196"/>
        <w:rPr>
          <w:rFonts w:hint="eastAsia" w:ascii="黑体" w:hAnsi="宋体" w:eastAsia="黑体" w:cs="黑体"/>
          <w:kern w:val="0"/>
          <w:sz w:val="32"/>
          <w:szCs w:val="32"/>
        </w:rPr>
      </w:pPr>
      <w:r>
        <w:rPr>
          <w:rFonts w:hint="eastAsia" w:ascii="黑体" w:hAnsi="宋体" w:eastAsia="黑体" w:cs="黑体"/>
          <w:bCs/>
          <w:kern w:val="0"/>
          <w:sz w:val="32"/>
          <w:szCs w:val="32"/>
        </w:rPr>
        <w:t>六、一般公共预算财政拨款基本支出决算情况说明。</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2022年度财政拨款基本支出</w:t>
      </w:r>
      <w:r>
        <w:rPr>
          <w:rFonts w:hint="default" w:ascii="仿宋_GB2312" w:hAnsi="宋体" w:eastAsia="仿宋_GB2312" w:cs="仿宋_GB2312"/>
          <w:kern w:val="0"/>
          <w:sz w:val="32"/>
          <w:szCs w:val="32"/>
        </w:rPr>
        <w:t>4,035.46</w:t>
      </w:r>
      <w:r>
        <w:rPr>
          <w:rFonts w:hint="default" w:ascii="仿宋_GB2312" w:hAnsi="ˎ̥" w:eastAsia="仿宋_GB2312" w:cs="仿宋_GB2312"/>
          <w:kern w:val="0"/>
          <w:sz w:val="32"/>
          <w:szCs w:val="32"/>
        </w:rPr>
        <w:t>万元，其中：人员经费3770.96万元，主要包括：工资福利支出中的基本工资、津贴补贴、绩效工资、机关事业单位基本养老保险缴费、职业年金缴费、职工基本医疗保险缴费、公务员医疗补助缴费、其他社会保障缴费、住房公积金、医疗费、其他工资福利支出；对个人和家庭的补助中的生活补助、奖励金、其他对个人和家庭的补助。公用经费</w:t>
      </w:r>
      <w:r>
        <w:rPr>
          <w:rFonts w:hint="default" w:ascii="仿宋_GB2312" w:hAnsi="宋体" w:eastAsia="仿宋_GB2312" w:cs="仿宋_GB2312"/>
          <w:kern w:val="0"/>
          <w:sz w:val="32"/>
          <w:szCs w:val="32"/>
        </w:rPr>
        <w:t>264.49</w:t>
      </w:r>
      <w:r>
        <w:rPr>
          <w:rFonts w:hint="default" w:ascii="仿宋_GB2312" w:hAnsi="ˎ̥" w:eastAsia="仿宋_GB2312" w:cs="仿宋_GB2312"/>
          <w:kern w:val="0"/>
          <w:sz w:val="32"/>
          <w:szCs w:val="32"/>
        </w:rPr>
        <w:t>万元，主要包括：商品和服务支出中的办公费、印刷费、手续费、水费、电费、邮电费、物业管理费、差旅费、维修（护）费、公务接待费、专用材料费、劳务费、委托业务费、工会经费、公务用车运行维护费、其他交通费用、其他商品和服务支出。</w:t>
      </w:r>
    </w:p>
    <w:p>
      <w:pPr>
        <w:spacing w:before="0" w:beforeAutospacing="1" w:after="0" w:afterAutospacing="1"/>
        <w:ind w:lef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七、政府性基金预算财政拨款支出决算情况说明</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（一）政府性基金预算财政拨款支出决算总体情况。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2022年度政府性基金预算财政拨款支出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万元，占本年支出合计的0%。与2021年度相比，政府性基金预算财政拨款支出无增减。</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（二）政府性基金预算财政拨款支出决算结构情况。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2022年度政府性基金预算财政拨款支出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（三）政府性基金预算财政拨款支出决算具体情况。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2022年度政府性基金预算财政拨款支出年初预算为0万元，支出决算为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w:t>
      </w:r>
    </w:p>
    <w:p>
      <w:pPr>
        <w:spacing w:before="0" w:beforeAutospacing="1" w:after="0" w:afterAutospacing="1"/>
        <w:ind w:lef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八、国有资本经营预算财政拨款支出决算情况说明</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（一）国有资本经营预算财政拨款支出决算总体情况。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2022年度国有资本经营预算财政拨款支出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万元，占本年支出合计的0%。与2021年度相比，国有资本经营预算财政拨款支出五增减。</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（二）国有资本经营预算财政拨款支出决算结构情况。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2022年度国有资本经营预算财政拨款支出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w:t>
      </w:r>
    </w:p>
    <w:p>
      <w:pPr>
        <w:spacing w:before="0" w:beforeAutospacing="1" w:after="0" w:afterAutospacing="1"/>
        <w:ind w:lef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（三）国有资本经营预算财政拨款支出决算具体情况。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2022年度国有资本经营预算财政拨款支出年初预算为0万元，支出决算</w:t>
      </w:r>
      <w:r>
        <w:rPr>
          <w:rFonts w:hint="default" w:ascii="仿宋_GB2312" w:hAnsi="宋体" w:eastAsia="仿宋_GB2312" w:cs="仿宋_GB2312"/>
          <w:kern w:val="0"/>
          <w:sz w:val="32"/>
          <w:szCs w:val="32"/>
        </w:rPr>
        <w:t>为0.00</w:t>
      </w:r>
      <w:r>
        <w:rPr>
          <w:rFonts w:hint="default" w:ascii="仿宋_GB2312" w:hAnsi="ˎ̥" w:eastAsia="仿宋_GB2312" w:cs="仿宋_GB2312"/>
          <w:kern w:val="0"/>
          <w:sz w:val="32"/>
          <w:szCs w:val="32"/>
        </w:rPr>
        <w:t>万元。</w:t>
      </w:r>
    </w:p>
    <w:p>
      <w:pPr>
        <w:spacing w:before="0" w:beforeAutospacing="1" w:after="0" w:afterAutospacing="1"/>
        <w:ind w:left="0" w:firstLine="627" w:firstLineChars="196"/>
        <w:rPr>
          <w:rFonts w:hint="default" w:ascii="仿宋_GB2312" w:hAnsi="ˎ̥" w:eastAsia="楷体_GB2312" w:cs="仿宋_GB2312"/>
          <w:kern w:val="0"/>
          <w:sz w:val="32"/>
          <w:szCs w:val="32"/>
        </w:rPr>
      </w:pPr>
      <w:r>
        <w:rPr>
          <w:rFonts w:hint="eastAsia" w:ascii="黑体" w:hAnsi="宋体" w:eastAsia="黑体" w:cs="黑体"/>
          <w:bCs/>
          <w:kern w:val="0"/>
          <w:sz w:val="32"/>
          <w:szCs w:val="32"/>
        </w:rPr>
        <w:t>九、财政拨款“三公”经费支出决算情况说明</w:t>
      </w:r>
    </w:p>
    <w:p>
      <w:pPr>
        <w:spacing w:before="0" w:beforeAutospacing="1" w:after="0" w:afterAutospacing="1"/>
        <w:ind w:lef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（一）财政拨款“三公”经费支出决算总体情况说明。</w:t>
      </w:r>
    </w:p>
    <w:p>
      <w:pPr>
        <w:spacing w:before="0" w:beforeAutospacing="1" w:after="0" w:afterAutospacing="1"/>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 xml:space="preserve">    2022年度财政拨款</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经费支出预算为</w:t>
      </w:r>
      <w:r>
        <w:rPr>
          <w:rFonts w:hint="default" w:ascii="仿宋_GB2312" w:hAnsi="宋体" w:eastAsia="仿宋_GB2312" w:cs="仿宋_GB2312"/>
          <w:kern w:val="0"/>
          <w:sz w:val="32"/>
          <w:szCs w:val="32"/>
        </w:rPr>
        <w:t>10.00</w:t>
      </w:r>
      <w:r>
        <w:rPr>
          <w:rFonts w:hint="default" w:ascii="仿宋_GB2312" w:hAnsi="ˎ̥" w:eastAsia="仿宋_GB2312" w:cs="仿宋_GB2312"/>
          <w:kern w:val="0"/>
          <w:sz w:val="32"/>
          <w:szCs w:val="32"/>
        </w:rPr>
        <w:t>万元，支出决算为</w:t>
      </w:r>
      <w:r>
        <w:rPr>
          <w:rFonts w:hint="default" w:ascii="仿宋_GB2312" w:hAnsi="宋体" w:eastAsia="仿宋_GB2312" w:cs="仿宋_GB2312"/>
          <w:kern w:val="0"/>
          <w:sz w:val="32"/>
          <w:szCs w:val="32"/>
        </w:rPr>
        <w:t>4.08</w:t>
      </w:r>
      <w:r>
        <w:rPr>
          <w:rFonts w:hint="default" w:ascii="仿宋_GB2312" w:hAnsi="ˎ̥" w:eastAsia="仿宋_GB2312" w:cs="仿宋_GB2312"/>
          <w:kern w:val="0"/>
          <w:sz w:val="32"/>
          <w:szCs w:val="32"/>
        </w:rPr>
        <w:t>万元，完成预算的40.8%。</w:t>
      </w:r>
    </w:p>
    <w:p>
      <w:pPr>
        <w:spacing w:before="0" w:beforeAutospacing="1" w:after="0" w:afterAutospacing="1"/>
        <w:rPr>
          <w:rFonts w:hint="eastAsia" w:ascii="楷体" w:hAnsi="楷体" w:eastAsia="楷体" w:cs="楷体"/>
          <w:kern w:val="0"/>
          <w:sz w:val="32"/>
          <w:szCs w:val="32"/>
        </w:rPr>
      </w:pPr>
      <w:r>
        <w:rPr>
          <w:rFonts w:hint="eastAsia" w:ascii="楷体" w:hAnsi="楷体" w:eastAsia="楷体" w:cs="楷体"/>
          <w:b/>
          <w:bCs/>
          <w:kern w:val="0"/>
          <w:sz w:val="32"/>
          <w:szCs w:val="32"/>
        </w:rPr>
        <w:t xml:space="preserve">   </w:t>
      </w:r>
      <w:r>
        <w:rPr>
          <w:rFonts w:hint="eastAsia" w:ascii="楷体" w:hAnsi="楷体" w:eastAsia="楷体" w:cs="楷体"/>
          <w:kern w:val="0"/>
          <w:sz w:val="32"/>
          <w:szCs w:val="32"/>
        </w:rPr>
        <w:t xml:space="preserve"> （二）财政拨款“三公”经费支出决算具体情况说明。</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2022年度财政拨款</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经费支出决算中，因公出国（境）费支出决算</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万元，占0%；公务用车购置及运行维护费支出决算</w:t>
      </w:r>
      <w:r>
        <w:rPr>
          <w:rFonts w:hint="default" w:ascii="仿宋_GB2312" w:hAnsi="宋体" w:eastAsia="仿宋_GB2312" w:cs="仿宋_GB2312"/>
          <w:kern w:val="0"/>
          <w:sz w:val="32"/>
          <w:szCs w:val="32"/>
        </w:rPr>
        <w:t>3.42</w:t>
      </w:r>
      <w:r>
        <w:rPr>
          <w:rFonts w:hint="default" w:ascii="仿宋_GB2312" w:hAnsi="ˎ̥" w:eastAsia="仿宋_GB2312" w:cs="仿宋_GB2312"/>
          <w:kern w:val="0"/>
          <w:sz w:val="32"/>
          <w:szCs w:val="32"/>
        </w:rPr>
        <w:t>万元，占83.82%；公务接待费支出决算</w:t>
      </w:r>
      <w:r>
        <w:rPr>
          <w:rFonts w:hint="default" w:ascii="仿宋_GB2312" w:hAnsi="宋体" w:eastAsia="仿宋_GB2312" w:cs="仿宋_GB2312"/>
          <w:kern w:val="0"/>
          <w:sz w:val="32"/>
          <w:szCs w:val="32"/>
        </w:rPr>
        <w:t>0.66</w:t>
      </w:r>
      <w:r>
        <w:rPr>
          <w:rFonts w:hint="default" w:ascii="仿宋_GB2312" w:hAnsi="ˎ̥" w:eastAsia="仿宋_GB2312" w:cs="仿宋_GB2312"/>
          <w:kern w:val="0"/>
          <w:sz w:val="32"/>
          <w:szCs w:val="32"/>
        </w:rPr>
        <w:t>万元，占16.18%。具体情况如下：</w:t>
      </w:r>
    </w:p>
    <w:p>
      <w:pPr>
        <w:spacing w:before="0" w:beforeAutospacing="1" w:after="0" w:afterAutospacing="1"/>
        <w:ind w:left="0" w:firstLine="643" w:firstLineChars="200"/>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1.因公出国（境）费</w:t>
      </w:r>
      <w:r>
        <w:rPr>
          <w:rFonts w:hint="default" w:ascii="仿宋_GB2312" w:hAnsi="ˎ̥" w:eastAsia="仿宋_GB2312" w:cs="仿宋_GB2312"/>
          <w:kern w:val="0"/>
          <w:sz w:val="32"/>
          <w:szCs w:val="32"/>
        </w:rPr>
        <w:t>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万元。全年安排因公出国（境）团组0个，因公出国（境）0人次。</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因公出国（境）费支出决算比预算数增加0万元。</w:t>
      </w:r>
    </w:p>
    <w:p>
      <w:pPr>
        <w:spacing w:before="0" w:beforeAutospacing="1" w:after="0" w:afterAutospacing="1"/>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 xml:space="preserve">    2.公务用车购置及运行维护费支出</w:t>
      </w:r>
      <w:r>
        <w:rPr>
          <w:rFonts w:hint="default" w:ascii="仿宋_GB2312" w:hAnsi="宋体" w:eastAsia="仿宋_GB2312" w:cs="仿宋_GB2312"/>
          <w:kern w:val="0"/>
          <w:sz w:val="32"/>
          <w:szCs w:val="32"/>
        </w:rPr>
        <w:t>3.42</w:t>
      </w:r>
      <w:r>
        <w:rPr>
          <w:rFonts w:hint="default" w:ascii="仿宋_GB2312" w:hAnsi="ˎ̥" w:eastAsia="仿宋_GB2312" w:cs="仿宋_GB2312"/>
          <w:kern w:val="0"/>
          <w:sz w:val="32"/>
          <w:szCs w:val="32"/>
        </w:rPr>
        <w:t>万元。其中：</w:t>
      </w:r>
    </w:p>
    <w:p>
      <w:pPr>
        <w:spacing w:before="0" w:beforeAutospacing="1" w:after="0" w:afterAutospacing="1"/>
        <w:ind w:left="0" w:firstLine="643" w:firstLineChars="200"/>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公务用车购置支出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万元，全年购置公务用车0辆，年末公务用车保有量1辆。</w:t>
      </w:r>
    </w:p>
    <w:p>
      <w:pPr>
        <w:spacing w:before="0" w:beforeAutospacing="1" w:after="0" w:afterAutospacing="1"/>
        <w:ind w:left="0" w:firstLine="643" w:firstLineChars="200"/>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公务用车运行维护费支出</w:t>
      </w:r>
      <w:r>
        <w:rPr>
          <w:rFonts w:hint="default" w:ascii="仿宋_GB2312" w:hAnsi="宋体" w:eastAsia="仿宋_GB2312" w:cs="仿宋_GB2312"/>
          <w:kern w:val="0"/>
          <w:sz w:val="32"/>
          <w:szCs w:val="32"/>
        </w:rPr>
        <w:t>3.42</w:t>
      </w:r>
      <w:r>
        <w:rPr>
          <w:rFonts w:hint="default" w:ascii="仿宋_GB2312" w:hAnsi="ˎ̥" w:eastAsia="仿宋_GB2312" w:cs="仿宋_GB2312"/>
          <w:kern w:val="0"/>
          <w:sz w:val="32"/>
          <w:szCs w:val="32"/>
        </w:rPr>
        <w:t>万元，主要用于</w:t>
      </w:r>
      <w:r>
        <w:rPr>
          <w:rFonts w:hint="default" w:ascii="仿宋_GB2312" w:hAnsi="宋体" w:eastAsia="仿宋_GB2312" w:cs="仿宋_GB2312"/>
          <w:kern w:val="0"/>
          <w:sz w:val="32"/>
          <w:szCs w:val="32"/>
        </w:rPr>
        <w:t>车辆维修、保险、年检、燃油费等费用支出</w:t>
      </w:r>
      <w:r>
        <w:rPr>
          <w:rFonts w:hint="default" w:ascii="仿宋_GB2312" w:hAnsi="ˎ̥" w:eastAsia="仿宋_GB2312" w:cs="仿宋_GB2312"/>
          <w:kern w:val="0"/>
          <w:sz w:val="32"/>
          <w:szCs w:val="32"/>
        </w:rPr>
        <w:t>。</w:t>
      </w:r>
    </w:p>
    <w:p>
      <w:pPr>
        <w:spacing w:before="0" w:beforeAutospacing="1" w:after="0" w:afterAutospacing="1"/>
        <w:ind w:left="0" w:firstLine="640" w:firstLineChars="200"/>
        <w:rPr>
          <w:rFonts w:hint="default" w:ascii="仿宋_GB2312" w:hAnsi="ˎ̥" w:eastAsia="仿宋_GB2312" w:cs="仿宋_GB2312"/>
          <w:bCs/>
          <w:kern w:val="0"/>
          <w:sz w:val="32"/>
          <w:szCs w:val="32"/>
        </w:rPr>
      </w:pPr>
      <w:r>
        <w:rPr>
          <w:rFonts w:hint="default" w:ascii="仿宋_GB2312" w:hAnsi="ˎ̥" w:eastAsia="仿宋_GB2312" w:cs="仿宋_GB2312"/>
          <w:bCs/>
          <w:kern w:val="0"/>
          <w:sz w:val="32"/>
          <w:szCs w:val="32"/>
        </w:rPr>
        <w:t>公务用车购置及运行费支出决算数</w:t>
      </w:r>
      <w:r>
        <w:rPr>
          <w:rFonts w:hint="default" w:ascii="仿宋_GB2312" w:hAnsi="ˎ̥" w:eastAsia="仿宋_GB2312" w:cs="仿宋_GB2312"/>
          <w:kern w:val="0"/>
          <w:sz w:val="32"/>
          <w:szCs w:val="32"/>
        </w:rPr>
        <w:t>比预算数减少1.58万元，增长（下降）31.6%。</w:t>
      </w:r>
      <w:r>
        <w:rPr>
          <w:rFonts w:hint="default" w:ascii="仿宋_GB2312" w:hAnsi="宋体" w:eastAsia="仿宋_GB2312" w:cs="仿宋_GB2312"/>
          <w:kern w:val="0"/>
          <w:sz w:val="32"/>
          <w:szCs w:val="32"/>
        </w:rPr>
        <w:t>主要原因是学校严格控制公务用车的使用。</w:t>
      </w:r>
    </w:p>
    <w:p>
      <w:pPr>
        <w:spacing w:before="0" w:beforeAutospacing="1" w:after="0" w:afterAutospacing="1"/>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 xml:space="preserve">    3.公务接待费支出</w:t>
      </w:r>
      <w:r>
        <w:rPr>
          <w:rFonts w:hint="default" w:ascii="仿宋_GB2312" w:hAnsi="宋体" w:eastAsia="仿宋_GB2312" w:cs="仿宋_GB2312"/>
          <w:kern w:val="0"/>
          <w:sz w:val="32"/>
          <w:szCs w:val="32"/>
        </w:rPr>
        <w:t>0.66</w:t>
      </w:r>
      <w:r>
        <w:rPr>
          <w:rFonts w:hint="default" w:ascii="仿宋_GB2312" w:hAnsi="ˎ̥" w:eastAsia="仿宋_GB2312" w:cs="仿宋_GB2312"/>
          <w:kern w:val="0"/>
          <w:sz w:val="32"/>
          <w:szCs w:val="32"/>
        </w:rPr>
        <w:t>万元，其中：</w:t>
      </w:r>
    </w:p>
    <w:p>
      <w:pPr>
        <w:spacing w:before="0" w:beforeAutospacing="1" w:after="0" w:afterAutospacing="1"/>
        <w:ind w:left="0" w:firstLine="643" w:firstLineChars="200"/>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国内接待费</w:t>
      </w:r>
      <w:r>
        <w:rPr>
          <w:rFonts w:hint="default" w:ascii="仿宋_GB2312" w:hAnsi="ˎ̥" w:eastAsia="仿宋_GB2312" w:cs="仿宋_GB2312"/>
          <w:kern w:val="0"/>
          <w:sz w:val="32"/>
          <w:szCs w:val="32"/>
        </w:rPr>
        <w:t>支出0.66万元，国内公务接待11批次，接待30人次；</w:t>
      </w:r>
      <w:r>
        <w:rPr>
          <w:rFonts w:hint="default" w:ascii="仿宋_GB2312" w:hAnsi="宋体" w:eastAsia="仿宋_GB2312" w:cs="仿宋_GB2312"/>
          <w:kern w:val="0"/>
          <w:sz w:val="32"/>
          <w:szCs w:val="32"/>
        </w:rPr>
        <w:t>主要用于来访人员交流学习、指导、督查接待费用。</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国（境）外接待费支出0万元，国（境）外公务接待0批次，接待0人次。</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公务接待费支出决算数比预算数增加（减少）4.34万元，下降86.8%。</w:t>
      </w:r>
      <w:r>
        <w:rPr>
          <w:rFonts w:hint="default" w:ascii="仿宋_GB2312" w:hAnsi="宋体" w:eastAsia="仿宋_GB2312" w:cs="仿宋_GB2312"/>
          <w:kern w:val="0"/>
          <w:sz w:val="32"/>
          <w:szCs w:val="32"/>
        </w:rPr>
        <w:t>主要原因是学校严格控制公务接待费的支出</w:t>
      </w:r>
      <w:r>
        <w:rPr>
          <w:rFonts w:hint="default" w:ascii="仿宋_GB2312" w:hAnsi="ˎ̥" w:eastAsia="仿宋_GB2312" w:cs="仿宋_GB2312"/>
          <w:kern w:val="0"/>
          <w:sz w:val="32"/>
          <w:szCs w:val="32"/>
        </w:rPr>
        <w:t>。</w:t>
      </w:r>
    </w:p>
    <w:p>
      <w:pPr>
        <w:spacing w:before="0" w:beforeAutospacing="1" w:after="0" w:afterAutospacing="1"/>
        <w:ind w:left="0" w:firstLine="640" w:firstLineChars="200"/>
        <w:rPr>
          <w:rFonts w:hint="eastAsia" w:ascii="黑体" w:hAnsi="宋体" w:eastAsia="黑体" w:cs="黑体"/>
          <w:bCs/>
          <w:kern w:val="0"/>
          <w:sz w:val="32"/>
          <w:szCs w:val="32"/>
        </w:rPr>
      </w:pPr>
      <w:r>
        <w:rPr>
          <w:rFonts w:hint="eastAsia" w:ascii="黑体" w:hAnsi="宋体" w:eastAsia="黑体" w:cs="黑体"/>
          <w:bCs/>
          <w:kern w:val="0"/>
          <w:sz w:val="32"/>
          <w:szCs w:val="32"/>
        </w:rPr>
        <w:t>十、预算绩效情况说明。</w:t>
      </w:r>
    </w:p>
    <w:p>
      <w:pPr>
        <w:spacing w:before="0" w:beforeAutospacing="1" w:after="0" w:afterAutospacing="1" w:line="578" w:lineRule="exact"/>
        <w:ind w:lef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（一）绩效管理工作开展情况。</w:t>
      </w:r>
    </w:p>
    <w:p>
      <w:pPr>
        <w:spacing w:before="0" w:beforeAutospacing="1" w:after="0" w:afterAutospacing="1"/>
        <w:ind w:left="0" w:firstLine="640" w:firstLineChars="200"/>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根据财政预算绩效管理要求，可按照如下格式说明：根据预算管理要求，我部门（单位）组织对2022年度一般公共预算项目支出全面开展绩效自评。其中，自评项目14个，共涉及资金1942.05万元，占一般公共预算项目支出总额的100%。组织对2022年度 0个政府性基金预算项目开展绩效自评，共涉及资金0万元，占政府性基金预算项目支出总额的0%。组织对2022年度0个国有资本经营预算项目开展绩效自评，共涉及资金 0万元，占国有资本经营预算项目支出总额的0%。</w:t>
      </w:r>
    </w:p>
    <w:p>
      <w:pPr>
        <w:spacing w:before="0" w:beforeAutospacing="1" w:after="0" w:afterAutospacing="1" w:line="578" w:lineRule="exact"/>
        <w:ind w:left="0" w:firstLine="640" w:firstLineChars="200"/>
        <w:rPr>
          <w:rFonts w:hint="default" w:ascii="仿宋_GB2312" w:hAnsi="宋体" w:eastAsia="仿宋_GB2312" w:cs="仿宋_GB2312"/>
          <w:color w:val="FF0000"/>
          <w:kern w:val="0"/>
          <w:sz w:val="32"/>
          <w:szCs w:val="32"/>
        </w:rPr>
      </w:pPr>
      <w:r>
        <w:rPr>
          <w:rFonts w:hint="default" w:ascii="仿宋_GB2312" w:hAnsi="宋体" w:eastAsia="仿宋_GB2312" w:cs="仿宋_GB2312"/>
          <w:kern w:val="0"/>
          <w:sz w:val="32"/>
          <w:szCs w:val="32"/>
        </w:rPr>
        <w:t>共组织对</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普及中小学生游泳教育项目</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义务教育残疾学生补助</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以前年度课桌椅采购</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食宿一体公寓2楼A食堂厨房设备采购</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社会化管理后勤服务</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学生事务补助</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设施维护与改造</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设备（装备）购置与运行维护</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城乡义务教育补助项目</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教学楼修缮及初中楼卫生间改造</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多功能实验综合教学楼设备采购</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卓越教师工作室项目经费</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学生资助补助项目</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校园基础设施维护与改造</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教师队伍建设资金项目</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事业运行</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中小学学生营养改善</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等个项目开展了部门评价，涉及一般公共预算支出1942.05万元，政府性基金预算支出0万元，国有资本经营预算支出0万元，单位资金105万元。本年无重大项目，从评价情况来看，都能按照学校内部控制管理制度，依法依规，高效、高质量推进项目，依法、依规、高效、高质量推进项目。项目资金使用合理、无占用挪用现象发生，达到预期的绩效目标。</w:t>
      </w:r>
    </w:p>
    <w:p>
      <w:pPr>
        <w:spacing w:before="0" w:beforeAutospacing="1" w:after="0" w:afterAutospacing="1"/>
        <w:ind w:left="0" w:firstLine="640" w:firstLineChars="200"/>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本年未展开整体支出绩效评价，只对部分项目进行绩效评价。</w:t>
      </w:r>
    </w:p>
    <w:p>
      <w:pPr>
        <w:spacing w:before="0" w:beforeAutospacing="1" w:after="0" w:afterAutospacing="1" w:line="578" w:lineRule="exact"/>
        <w:ind w:lef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（二）部门决算中项目绩效自评结果</w:t>
      </w:r>
    </w:p>
    <w:p>
      <w:pPr>
        <w:spacing w:before="0" w:beforeAutospacing="1" w:after="0" w:afterAutospacing="1"/>
        <w:ind w:left="0" w:firstLine="640" w:firstLineChars="200"/>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本单位2021年在省本级部门决算中无项目绩效自评结果。</w:t>
      </w:r>
    </w:p>
    <w:p>
      <w:pPr>
        <w:spacing w:before="0" w:beforeAutospacing="1" w:after="0" w:afterAutospacing="1" w:line="578" w:lineRule="exact"/>
        <w:ind w:lef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（三）部门评价结果</w:t>
      </w:r>
    </w:p>
    <w:p>
      <w:pPr>
        <w:spacing w:before="0" w:beforeAutospacing="1" w:after="0" w:afterAutospacing="1"/>
        <w:ind w:left="0" w:firstLine="640" w:firstLineChars="200"/>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本单位无部门评价项目绩效评价结果。</w:t>
      </w:r>
    </w:p>
    <w:p>
      <w:pPr>
        <w:spacing w:before="0" w:beforeAutospacing="1" w:after="0" w:afterAutospacing="1" w:line="578" w:lineRule="exact"/>
        <w:ind w:lef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（四）财政评价结果</w:t>
      </w:r>
    </w:p>
    <w:p>
      <w:pPr>
        <w:spacing w:before="0" w:beforeAutospacing="1" w:after="0" w:afterAutospacing="1"/>
        <w:ind w:left="0" w:firstLine="640" w:firstLineChars="200"/>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本单位无财政评价项目绩效评价结果。</w:t>
      </w:r>
    </w:p>
    <w:p>
      <w:pPr>
        <w:spacing w:before="0" w:beforeAutospacing="1" w:after="0" w:afterAutospacing="1"/>
        <w:ind w:left="0" w:firstLine="640" w:firstLineChars="200"/>
        <w:rPr>
          <w:rFonts w:hint="eastAsia" w:ascii="黑体" w:hAnsi="宋体" w:eastAsia="黑体" w:cs="黑体"/>
          <w:bCs/>
          <w:kern w:val="0"/>
          <w:sz w:val="32"/>
          <w:szCs w:val="32"/>
        </w:rPr>
      </w:pPr>
      <w:r>
        <w:rPr>
          <w:rFonts w:hint="eastAsia" w:ascii="黑体" w:hAnsi="宋体" w:eastAsia="黑体" w:cs="黑体"/>
          <w:bCs/>
          <w:kern w:val="0"/>
          <w:sz w:val="32"/>
          <w:szCs w:val="32"/>
        </w:rPr>
        <w:t>十一、其他重要事项情况说明。</w:t>
      </w:r>
    </w:p>
    <w:p>
      <w:pPr>
        <w:spacing w:before="0" w:beforeAutospacing="1" w:after="0" w:afterAutospacing="1"/>
        <w:ind w:lef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（一）机关运行经费支出情况。</w:t>
      </w:r>
    </w:p>
    <w:p>
      <w:pPr>
        <w:spacing w:before="0" w:beforeAutospacing="1" w:after="0" w:afterAutospacing="1"/>
        <w:ind w:left="0" w:firstLine="640" w:firstLineChars="200"/>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本单位是财政全额拨款的事业单位，没有机关运行经费支出。</w:t>
      </w:r>
    </w:p>
    <w:p>
      <w:pPr>
        <w:spacing w:before="0" w:beforeAutospacing="1" w:after="0" w:afterAutospacing="1"/>
        <w:ind w:lef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（二）政府采购支出情况。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海南热带海洋学院附属中学单位政府采购支出总额1019.17万元，其中：政府采购货物支出972.27万元、政府采购工程支出46.9万元、政府采购服务支出0万元。授予中小企业合同金额1019.17万元，占政府采购支出总额的100%，其中：授予小微企业合同金额0万元，占</w:t>
      </w:r>
      <w:r>
        <w:rPr>
          <w:rFonts w:hint="default" w:ascii="仿宋_GB2312" w:hAnsi="宋体" w:eastAsia="仿宋_GB2312" w:cs="仿宋_GB2312"/>
          <w:kern w:val="0"/>
          <w:sz w:val="32"/>
          <w:szCs w:val="32"/>
        </w:rPr>
        <w:t>授予中小企业合同金额的</w:t>
      </w:r>
      <w:r>
        <w:rPr>
          <w:rFonts w:hint="default" w:ascii="仿宋_GB2312" w:hAnsi="ˎ̥" w:eastAsia="仿宋_GB2312" w:cs="仿宋_GB2312"/>
          <w:kern w:val="0"/>
          <w:sz w:val="32"/>
          <w:szCs w:val="32"/>
        </w:rPr>
        <w:t>0%。</w:t>
      </w:r>
    </w:p>
    <w:p>
      <w:pPr>
        <w:spacing w:before="0" w:beforeAutospacing="1" w:after="0" w:afterAutospacing="1"/>
        <w:ind w:lef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（三）国有资产占用情况。</w:t>
      </w:r>
    </w:p>
    <w:p>
      <w:pPr>
        <w:spacing w:before="0" w:beforeAutospacing="1" w:after="0" w:afterAutospacing="1" w:line="578" w:lineRule="exact"/>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bCs/>
          <w:kern w:val="0"/>
          <w:sz w:val="32"/>
          <w:szCs w:val="32"/>
        </w:rPr>
        <w:t>截至2022年12月31日，本部门拥有</w:t>
      </w:r>
      <w:r>
        <w:rPr>
          <w:rFonts w:hint="default" w:ascii="仿宋_GB2312" w:hAnsi="ˎ̥" w:eastAsia="仿宋_GB2312" w:cs="仿宋_GB2312"/>
          <w:kern w:val="0"/>
          <w:sz w:val="32"/>
          <w:szCs w:val="32"/>
        </w:rPr>
        <w:t>房屋面积</w:t>
      </w:r>
      <w:r>
        <w:rPr>
          <w:rFonts w:hint="default" w:ascii="仿宋_GB2312" w:hAnsi="宋体" w:eastAsia="仿宋_GB2312" w:cs="仿宋_GB2312"/>
          <w:kern w:val="0"/>
          <w:sz w:val="32"/>
          <w:szCs w:val="32"/>
        </w:rPr>
        <w:t>47314.49</w:t>
      </w:r>
      <w:r>
        <w:rPr>
          <w:rFonts w:hint="default" w:ascii="仿宋_GB2312" w:hAnsi="ˎ̥" w:eastAsia="仿宋_GB2312" w:cs="仿宋_GB2312"/>
          <w:kern w:val="0"/>
          <w:sz w:val="32"/>
          <w:szCs w:val="32"/>
        </w:rPr>
        <w:t>平方米，其中：办公用房1915.7平方米，业务用房35970.46平方米，其他（不含构筑物）9428.31平方米。</w:t>
      </w:r>
    </w:p>
    <w:p>
      <w:pPr>
        <w:spacing w:before="0" w:beforeAutospacing="1" w:after="0" w:afterAutospacing="1" w:line="578" w:lineRule="exact"/>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本部门共有车辆4辆，其中，副部（省）级及以上领导用车0辆、主要领导干部用车0辆、机要通信用车0辆、应急保障用车1辆、执法执勤用车0辆、特种专业技术用车0辆、离退休干部用车0辆、其他用车3辆，其他用车主要是</w:t>
      </w:r>
      <w:r>
        <w:rPr>
          <w:rFonts w:hint="default" w:ascii="仿宋_GB2312" w:hAnsi="宋体" w:eastAsia="仿宋_GB2312" w:cs="仿宋_GB2312"/>
          <w:kern w:val="0"/>
          <w:sz w:val="32"/>
          <w:szCs w:val="32"/>
        </w:rPr>
        <w:t>大中型载客汽车、大中型拖拉机金鹿和皮卡车</w:t>
      </w:r>
      <w:r>
        <w:rPr>
          <w:rFonts w:hint="default" w:ascii="仿宋_GB2312" w:hAnsi="ˎ̥" w:eastAsia="仿宋_GB2312" w:cs="仿宋_GB2312"/>
          <w:kern w:val="0"/>
          <w:sz w:val="32"/>
          <w:szCs w:val="32"/>
        </w:rPr>
        <w:t>。单价100万元（含）以上设备（不含车辆）3台（套）。</w:t>
      </w:r>
    </w:p>
    <w:p>
      <w:pPr>
        <w:spacing w:before="0" w:beforeAutospacing="1" w:after="0" w:afterAutospacing="1" w:line="578" w:lineRule="exact"/>
        <w:ind w:left="0" w:firstLine="640" w:firstLineChars="200"/>
        <w:rPr>
          <w:rFonts w:hint="eastAsia" w:ascii="黑体" w:hAnsi="ˎ̥" w:eastAsia="黑体" w:cs="黑体"/>
          <w:kern w:val="0"/>
          <w:sz w:val="32"/>
          <w:szCs w:val="32"/>
        </w:rPr>
      </w:pPr>
      <w:r>
        <w:rPr>
          <w:rFonts w:hint="default" w:ascii="仿宋_GB2312" w:hAnsi="ˎ̥" w:eastAsia="仿宋_GB2312" w:cs="仿宋_GB2312"/>
          <w:kern w:val="0"/>
          <w:sz w:val="32"/>
          <w:szCs w:val="32"/>
        </w:rPr>
        <w:t>年末在建工程347.64万元。</w:t>
      </w:r>
    </w:p>
    <w:p>
      <w:pPr>
        <w:spacing w:before="0" w:beforeAutospacing="1" w:after="0" w:afterAutospacing="1"/>
        <w:jc w:val="center"/>
        <w:rPr>
          <w:rFonts w:hint="eastAsia" w:ascii="黑体" w:hAnsi="ˎ̥" w:eastAsia="黑体" w:cs="黑体"/>
          <w:kern w:val="0"/>
          <w:sz w:val="32"/>
          <w:szCs w:val="32"/>
        </w:rPr>
      </w:pPr>
      <w:r>
        <w:rPr>
          <w:rFonts w:hint="eastAsia" w:ascii="黑体" w:hAnsi="宋体" w:eastAsia="黑体" w:cs="黑体"/>
          <w:kern w:val="0"/>
          <w:sz w:val="32"/>
          <w:szCs w:val="32"/>
        </w:rPr>
        <w:t>第四部分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名词解释</w:t>
      </w:r>
    </w:p>
    <w:p>
      <w:pPr>
        <w:spacing w:before="0" w:beforeAutospacing="1" w:after="0" w:afterAutospacing="1"/>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pPr>
        <w:numPr>
          <w:ilvl w:val="0"/>
          <w:numId w:val="2"/>
        </w:num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财政拨款收入：指同级政府财政部门当年拨付的各类财政拨款。</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二、上级补助收入：指事业单位从主管部门和上级单位取得的非财政补助收入。</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三、事业收入：指事业单位开展专业业务活动及辅助活动取得的收入。</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四、经营收入：指事业单位在专业业务活动及其辅助活动之外开展非独立核算经营活动取得的收入。</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五、附属单位上缴收入：指事业单位取得附属独立核算单位根据有关规定上缴的收入。</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六、其他收入：指除上述</w:t>
      </w:r>
      <w:r>
        <w:rPr>
          <w:rFonts w:hint="default" w:ascii="ˎ̥" w:hAnsi="ˎ̥" w:eastAsia="ˎ̥" w:cs="ˎ̥"/>
          <w:kern w:val="0"/>
          <w:sz w:val="32"/>
          <w:szCs w:val="32"/>
        </w:rPr>
        <w:t>“</w:t>
      </w:r>
      <w:r>
        <w:rPr>
          <w:rFonts w:hint="default" w:ascii="仿宋_GB2312" w:hAnsi="ˎ̥" w:eastAsia="仿宋_GB2312" w:cs="仿宋_GB2312"/>
          <w:kern w:val="0"/>
          <w:sz w:val="32"/>
          <w:szCs w:val="32"/>
        </w:rPr>
        <w:t>财政拨款收入</w:t>
      </w:r>
      <w:r>
        <w:rPr>
          <w:rFonts w:hint="default" w:ascii="ˎ̥" w:hAnsi="ˎ̥" w:eastAsia="ˎ̥" w:cs="ˎ̥"/>
          <w:kern w:val="0"/>
          <w:sz w:val="32"/>
          <w:szCs w:val="32"/>
        </w:rPr>
        <w:t>”“</w:t>
      </w:r>
      <w:r>
        <w:rPr>
          <w:rFonts w:hint="default" w:ascii="仿宋_GB2312" w:hAnsi="ˎ̥" w:eastAsia="仿宋_GB2312" w:cs="仿宋_GB2312"/>
          <w:kern w:val="0"/>
          <w:sz w:val="32"/>
          <w:szCs w:val="32"/>
        </w:rPr>
        <w:t>事业收入</w:t>
      </w:r>
      <w:r>
        <w:rPr>
          <w:rFonts w:hint="default" w:ascii="ˎ̥" w:hAnsi="ˎ̥" w:eastAsia="ˎ̥" w:cs="ˎ̥"/>
          <w:kern w:val="0"/>
          <w:sz w:val="32"/>
          <w:szCs w:val="32"/>
        </w:rPr>
        <w:t>”“</w:t>
      </w:r>
      <w:r>
        <w:rPr>
          <w:rFonts w:hint="default" w:ascii="仿宋_GB2312" w:hAnsi="ˎ̥" w:eastAsia="仿宋_GB2312" w:cs="仿宋_GB2312"/>
          <w:kern w:val="0"/>
          <w:sz w:val="32"/>
          <w:szCs w:val="32"/>
        </w:rPr>
        <w:t>上级补助收入</w:t>
      </w:r>
      <w:r>
        <w:rPr>
          <w:rFonts w:hint="default" w:ascii="ˎ̥" w:hAnsi="ˎ̥" w:eastAsia="ˎ̥" w:cs="ˎ̥"/>
          <w:kern w:val="0"/>
          <w:sz w:val="32"/>
          <w:szCs w:val="32"/>
        </w:rPr>
        <w:t>”“</w:t>
      </w:r>
      <w:r>
        <w:rPr>
          <w:rFonts w:hint="default" w:ascii="仿宋_GB2312" w:hAnsi="ˎ̥" w:eastAsia="仿宋_GB2312" w:cs="仿宋_GB2312"/>
          <w:kern w:val="0"/>
          <w:sz w:val="32"/>
          <w:szCs w:val="32"/>
        </w:rPr>
        <w:t>经营收入</w:t>
      </w:r>
      <w:r>
        <w:rPr>
          <w:rFonts w:hint="default" w:ascii="ˎ̥" w:hAnsi="ˎ̥" w:eastAsia="ˎ̥" w:cs="ˎ̥"/>
          <w:kern w:val="0"/>
          <w:sz w:val="32"/>
          <w:szCs w:val="32"/>
        </w:rPr>
        <w:t>”“</w:t>
      </w:r>
      <w:r>
        <w:rPr>
          <w:rFonts w:hint="default" w:ascii="仿宋_GB2312" w:hAnsi="ˎ̥" w:eastAsia="仿宋_GB2312" w:cs="仿宋_GB2312"/>
          <w:kern w:val="0"/>
          <w:sz w:val="32"/>
          <w:szCs w:val="32"/>
        </w:rPr>
        <w:t>附属单位上缴收入</w:t>
      </w:r>
      <w:r>
        <w:rPr>
          <w:rFonts w:hint="default" w:ascii="ˎ̥" w:hAnsi="ˎ̥" w:eastAsia="ˎ̥" w:cs="ˎ̥"/>
          <w:kern w:val="0"/>
          <w:sz w:val="32"/>
          <w:szCs w:val="32"/>
        </w:rPr>
        <w:t>”</w:t>
      </w:r>
      <w:r>
        <w:rPr>
          <w:rFonts w:hint="default" w:ascii="仿宋_GB2312" w:hAnsi="ˎ̥" w:eastAsia="仿宋_GB2312" w:cs="仿宋_GB2312"/>
          <w:kern w:val="0"/>
          <w:sz w:val="32"/>
          <w:szCs w:val="32"/>
        </w:rPr>
        <w:t>等以外的收入。</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七、使用非财政拨款结余：指事业单位在当年的</w:t>
      </w:r>
      <w:r>
        <w:rPr>
          <w:rFonts w:hint="default" w:ascii="ˎ̥" w:hAnsi="ˎ̥" w:eastAsia="ˎ̥" w:cs="ˎ̥"/>
          <w:kern w:val="0"/>
          <w:sz w:val="32"/>
          <w:szCs w:val="32"/>
        </w:rPr>
        <w:t>“</w:t>
      </w:r>
      <w:r>
        <w:rPr>
          <w:rFonts w:hint="default" w:ascii="仿宋_GB2312" w:hAnsi="ˎ̥" w:eastAsia="仿宋_GB2312" w:cs="仿宋_GB2312"/>
          <w:kern w:val="0"/>
          <w:sz w:val="32"/>
          <w:szCs w:val="32"/>
        </w:rPr>
        <w:t>财政拨款收入</w:t>
      </w:r>
      <w:r>
        <w:rPr>
          <w:rFonts w:hint="default" w:ascii="ˎ̥" w:hAnsi="ˎ̥" w:eastAsia="ˎ̥" w:cs="ˎ̥"/>
          <w:kern w:val="0"/>
          <w:sz w:val="32"/>
          <w:szCs w:val="32"/>
        </w:rPr>
        <w:t>”“</w:t>
      </w:r>
      <w:r>
        <w:rPr>
          <w:rFonts w:hint="default" w:ascii="仿宋_GB2312" w:hAnsi="ˎ̥" w:eastAsia="仿宋_GB2312" w:cs="仿宋_GB2312"/>
          <w:kern w:val="0"/>
          <w:sz w:val="32"/>
          <w:szCs w:val="32"/>
        </w:rPr>
        <w:t>事业收入</w:t>
      </w:r>
      <w:r>
        <w:rPr>
          <w:rFonts w:hint="default" w:ascii="ˎ̥" w:hAnsi="ˎ̥" w:eastAsia="ˎ̥" w:cs="ˎ̥"/>
          <w:kern w:val="0"/>
          <w:sz w:val="32"/>
          <w:szCs w:val="32"/>
        </w:rPr>
        <w:t>”“</w:t>
      </w:r>
      <w:r>
        <w:rPr>
          <w:rFonts w:hint="default" w:ascii="仿宋_GB2312" w:hAnsi="ˎ̥" w:eastAsia="仿宋_GB2312" w:cs="仿宋_GB2312"/>
          <w:kern w:val="0"/>
          <w:sz w:val="32"/>
          <w:szCs w:val="32"/>
        </w:rPr>
        <w:t>经营收入</w:t>
      </w:r>
      <w:r>
        <w:rPr>
          <w:rFonts w:hint="default" w:ascii="ˎ̥" w:hAnsi="ˎ̥" w:eastAsia="ˎ̥" w:cs="ˎ̥"/>
          <w:kern w:val="0"/>
          <w:sz w:val="32"/>
          <w:szCs w:val="32"/>
        </w:rPr>
        <w:t>”“</w:t>
      </w:r>
      <w:r>
        <w:rPr>
          <w:rFonts w:hint="default" w:ascii="仿宋_GB2312" w:hAnsi="ˎ̥" w:eastAsia="仿宋_GB2312" w:cs="仿宋_GB2312"/>
          <w:kern w:val="0"/>
          <w:sz w:val="32"/>
          <w:szCs w:val="32"/>
        </w:rPr>
        <w:t>其他收入</w:t>
      </w:r>
      <w:r>
        <w:rPr>
          <w:rFonts w:hint="default" w:ascii="ˎ̥" w:hAnsi="ˎ̥" w:eastAsia="ˎ̥" w:cs="ˎ̥"/>
          <w:kern w:val="0"/>
          <w:sz w:val="32"/>
          <w:szCs w:val="32"/>
        </w:rPr>
        <w:t>”</w:t>
      </w:r>
      <w:r>
        <w:rPr>
          <w:rFonts w:hint="default" w:ascii="仿宋_GB2312" w:hAnsi="ˎ̥" w:eastAsia="仿宋_GB2312" w:cs="仿宋_GB2312"/>
          <w:kern w:val="0"/>
          <w:sz w:val="32"/>
          <w:szCs w:val="32"/>
        </w:rPr>
        <w:t>等不足以安排当年支出的情况下，使用非同级财政拨款结余资金弥补本年度收支缺口。</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八、年初结转和结余：指以前年度尚未完成、结转到本年按有关规定继续使用的资金，或项目已完成等产生的结余资金。</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九、结余分配：指事业单位缴纳企业所得税以及从非财政拨款结余或经营结余中提取各类结余的情况。</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十一、基本支出：指为保障机构正常运转、完成日常工作任务而发生的人员支出和公用支出。</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十二、项目支出：指在基本支出之外为完成特定行政任务和事业发展目标所发生的支出。</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十三、经营支出：指事业单位在专业业务活动及其辅助活动之外开展非独立核算经营活动发生的支出。</w:t>
      </w:r>
    </w:p>
    <w:p>
      <w:pPr>
        <w:spacing w:before="0" w:beforeAutospacing="1" w:after="0" w:afterAutospacing="1"/>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十四、</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经费：纳入本级财政预决算管理的</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spacing w:before="0" w:beforeAutospacing="1" w:after="0" w:afterAutospacing="1"/>
        <w:ind w:left="0" w:firstLine="645"/>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4D28BF"/>
    <w:multiLevelType w:val="multilevel"/>
    <w:tmpl w:val="1E4D28BF"/>
    <w:lvl w:ilvl="0" w:tentative="0">
      <w:start w:val="8"/>
      <w:numFmt w:val="japaneseCounting"/>
      <w:lvlText w:val="%1、"/>
      <w:lvlJc w:val="left"/>
      <w:pPr>
        <w:tabs>
          <w:tab w:val="left" w:pos="0"/>
        </w:tabs>
        <w:ind w:left="1080" w:hanging="72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
    <w:nsid w:val="1F3E19EA"/>
    <w:multiLevelType w:val="multilevel"/>
    <w:tmpl w:val="1F3E19EA"/>
    <w:lvl w:ilvl="0" w:tentative="0">
      <w:start w:val="1"/>
      <w:numFmt w:val="decimal"/>
      <w:lvlText w:val="%1."/>
      <w:lvlJc w:val="left"/>
      <w:pPr>
        <w:tabs>
          <w:tab w:val="left" w:pos="720"/>
        </w:tabs>
        <w:ind w:left="720" w:hanging="36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5ODFmNTk3MWE2NDgyOWU0ZjFjNWRmZWU1ZDNkNjgifQ=="/>
  </w:docVars>
  <w:rsids>
    <w:rsidRoot w:val="00000000"/>
    <w:rsid w:val="713B2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wpsoffice1"/>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5">
    <w:name w:val="wpsoffice2"/>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2023-09-12T08:55:27Z</dcterms:created>
  <dc:creator>HP-01235678</dc:creator>
  <cp:lastModifiedBy>HP-01235678</cp:lastModifiedBy>
  <dcterms:modified xsi:type="dcterms:W3CDTF">2023-09-12T08:55:55Z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DCA90A9D5A9E4717A1948D3161C1C9B1_12</vt:lpwstr>
  </property>
</Properties>
</file>