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bidi w:val="0"/>
        <w:rPr>
          <w:rFonts w:hint="eastAsia"/>
          <w:lang w:val="en-US" w:eastAsia="zh-CN"/>
        </w:rPr>
      </w:pPr>
      <w:bookmarkStart w:id="0" w:name="_GoBack"/>
      <w:bookmarkEnd w:id="0"/>
      <w:r>
        <w:rPr>
          <w:rFonts w:hint="eastAsia"/>
        </w:rPr>
        <w:t>附件</w:t>
      </w:r>
      <w:r>
        <w:rPr>
          <w:rFonts w:hint="eastAsia"/>
          <w:lang w:val="en-US" w:eastAsia="zh-CN"/>
        </w:rPr>
        <w:t>2</w:t>
      </w:r>
    </w:p>
    <w:p>
      <w:pPr>
        <w:rPr>
          <w:rFonts w:hint="eastAsia"/>
          <w:lang w:val="en-US" w:eastAsia="zh-CN"/>
        </w:rPr>
      </w:pPr>
    </w:p>
    <w:p>
      <w:pPr>
        <w:pStyle w:val="14"/>
        <w:bidi w:val="0"/>
      </w:pPr>
      <w:r>
        <w:rPr>
          <w:rFonts w:hint="eastAsia"/>
          <w:spacing w:val="1"/>
          <w:w w:val="97"/>
          <w:kern w:val="0"/>
          <w:fitText w:val="8140" w:id="2104707469"/>
        </w:rPr>
        <w:t>人工智能助推教师队伍建设试点绩效自评</w:t>
      </w:r>
      <w:r>
        <w:rPr>
          <w:rFonts w:hint="eastAsia"/>
          <w:spacing w:val="3"/>
          <w:w w:val="97"/>
          <w:kern w:val="0"/>
          <w:fitText w:val="8140" w:id="2104707469"/>
        </w:rPr>
        <w:t>表</w:t>
      </w:r>
    </w:p>
    <w:p>
      <w:pPr>
        <w:pStyle w:val="14"/>
        <w:bidi w:val="0"/>
        <w:rPr>
          <w:rFonts w:hint="eastAsia"/>
        </w:rPr>
      </w:pPr>
      <w:r>
        <w:rPr>
          <w:rFonts w:hint="eastAsia"/>
        </w:rPr>
        <w:t>（地区试点）</w:t>
      </w:r>
    </w:p>
    <w:p/>
    <w:p>
      <w:pPr>
        <w:spacing w:line="240" w:lineRule="auto"/>
        <w:ind w:firstLine="0" w:firstLineChars="0"/>
      </w:pPr>
      <w:r>
        <w:rPr>
          <w:rFonts w:ascii="Calibri" w:hAnsi="Calibri" w:eastAsia="宋体" w:cs="Times New Roman"/>
          <w:b/>
          <w:sz w:val="21"/>
          <w:szCs w:val="22"/>
        </w:rPr>
        <w:t>说明：总体情况和工作机制为必填项，其余应用重点及代表性观测点根据试点主攻方向的实际情况进行选填。</w:t>
      </w:r>
    </w:p>
    <w:tbl>
      <w:tblPr>
        <w:tblStyle w:val="10"/>
        <w:tblW w:w="55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1379"/>
        <w:gridCol w:w="4244"/>
        <w:gridCol w:w="3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spacing w:line="240" w:lineRule="auto"/>
              <w:ind w:firstLine="0" w:firstLineChars="0"/>
              <w:jc w:val="center"/>
              <w:rPr>
                <w:rFonts w:hint="eastAsia" w:ascii="黑体" w:hAnsi="黑体" w:eastAsia="黑体" w:cs="黑体"/>
                <w:color w:val="000000"/>
                <w:kern w:val="0"/>
                <w:sz w:val="21"/>
                <w:szCs w:val="21"/>
              </w:rPr>
            </w:pPr>
            <w:r>
              <w:rPr>
                <w:rFonts w:hint="eastAsia" w:ascii="黑体" w:hAnsi="黑体" w:eastAsia="黑体" w:cs="黑体"/>
                <w:b/>
                <w:bCs/>
                <w:color w:val="000000"/>
                <w:kern w:val="0"/>
                <w:sz w:val="21"/>
                <w:szCs w:val="21"/>
              </w:rPr>
              <w:t>序号</w:t>
            </w:r>
          </w:p>
        </w:tc>
        <w:tc>
          <w:tcPr>
            <w:tcW w:w="1379" w:type="dxa"/>
            <w:vAlign w:val="center"/>
          </w:tcPr>
          <w:p>
            <w:pPr>
              <w:spacing w:line="240" w:lineRule="auto"/>
              <w:ind w:firstLine="0" w:firstLineChars="0"/>
              <w:jc w:val="center"/>
              <w:rPr>
                <w:rFonts w:hint="eastAsia" w:ascii="黑体" w:hAnsi="黑体" w:eastAsia="黑体" w:cs="黑体"/>
                <w:color w:val="000000"/>
                <w:kern w:val="0"/>
                <w:sz w:val="21"/>
                <w:szCs w:val="21"/>
              </w:rPr>
            </w:pPr>
            <w:r>
              <w:rPr>
                <w:rFonts w:hint="eastAsia" w:ascii="黑体" w:hAnsi="黑体" w:eastAsia="黑体" w:cs="黑体"/>
                <w:b/>
                <w:bCs/>
                <w:color w:val="000000"/>
                <w:kern w:val="0"/>
                <w:sz w:val="21"/>
                <w:szCs w:val="21"/>
              </w:rPr>
              <w:t>应用重点</w:t>
            </w:r>
          </w:p>
        </w:tc>
        <w:tc>
          <w:tcPr>
            <w:tcW w:w="4245" w:type="dxa"/>
            <w:vAlign w:val="center"/>
          </w:tcPr>
          <w:p>
            <w:pPr>
              <w:spacing w:line="240" w:lineRule="auto"/>
              <w:ind w:firstLine="0" w:firstLineChars="0"/>
              <w:jc w:val="center"/>
              <w:rPr>
                <w:rFonts w:hint="eastAsia" w:ascii="黑体" w:hAnsi="黑体" w:eastAsia="黑体" w:cs="黑体"/>
                <w:color w:val="000000"/>
                <w:kern w:val="0"/>
                <w:sz w:val="21"/>
                <w:szCs w:val="21"/>
              </w:rPr>
            </w:pPr>
            <w:r>
              <w:rPr>
                <w:rFonts w:hint="eastAsia" w:ascii="黑体" w:hAnsi="黑体" w:eastAsia="黑体" w:cs="黑体"/>
                <w:b/>
                <w:bCs/>
                <w:color w:val="000000"/>
                <w:kern w:val="0"/>
                <w:sz w:val="21"/>
                <w:szCs w:val="21"/>
              </w:rPr>
              <w:t>代表性观测点</w:t>
            </w:r>
          </w:p>
        </w:tc>
        <w:tc>
          <w:tcPr>
            <w:tcW w:w="3053" w:type="dxa"/>
            <w:vAlign w:val="center"/>
          </w:tcPr>
          <w:p>
            <w:pPr>
              <w:spacing w:line="240" w:lineRule="auto"/>
              <w:ind w:firstLine="0" w:firstLineChars="0"/>
              <w:jc w:val="center"/>
              <w:rPr>
                <w:rFonts w:hint="eastAsia" w:ascii="黑体" w:hAnsi="黑体" w:eastAsia="黑体" w:cs="黑体"/>
                <w:color w:val="000000"/>
                <w:kern w:val="0"/>
                <w:sz w:val="21"/>
                <w:szCs w:val="21"/>
              </w:rPr>
            </w:pPr>
            <w:r>
              <w:rPr>
                <w:rFonts w:hint="eastAsia" w:ascii="黑体" w:hAnsi="黑体" w:eastAsia="黑体" w:cs="黑体"/>
                <w:b/>
                <w:bCs/>
                <w:color w:val="000000"/>
                <w:kern w:val="0"/>
                <w:sz w:val="21"/>
                <w:szCs w:val="21"/>
              </w:rPr>
              <w:t>自评备注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w:t>
            </w:r>
          </w:p>
        </w:tc>
        <w:tc>
          <w:tcPr>
            <w:tcW w:w="1379"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总体情况</w:t>
            </w:r>
          </w:p>
        </w:tc>
        <w:tc>
          <w:tcPr>
            <w:tcW w:w="4245" w:type="dxa"/>
            <w:vAlign w:val="center"/>
          </w:tcPr>
          <w:p>
            <w:pPr>
              <w:spacing w:line="240" w:lineRule="auto"/>
              <w:ind w:firstLine="0" w:firstLineChars="0"/>
              <w:rPr>
                <w:rFonts w:ascii="仿宋_GB2312" w:hAnsi="仿宋_GB2312" w:eastAsia="仿宋_GB2312" w:cs="仿宋_GB2312"/>
                <w:color w:val="000000"/>
                <w:kern w:val="0"/>
                <w:sz w:val="21"/>
                <w:szCs w:val="21"/>
              </w:rPr>
            </w:pPr>
            <w:r>
              <w:rPr>
                <w:rFonts w:hint="eastAsia" w:ascii="仿宋_GB2312" w:hAnsi="仿宋_GB2312" w:eastAsia="仿宋_GB2312" w:cs="仿宋_GB2312"/>
                <w:b w:val="0"/>
                <w:bCs/>
                <w:color w:val="000000"/>
                <w:kern w:val="0"/>
                <w:sz w:val="21"/>
                <w:szCs w:val="21"/>
              </w:rPr>
              <w:t>对试点工作进行整体规划</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整体规划概况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2</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jc w:val="left"/>
              <w:rPr>
                <w:rFonts w:ascii="Times New Roman" w:hAnsi="Times New Roman" w:eastAsia="宋体" w:cs="Times New Roman"/>
                <w:b w:val="0"/>
                <w:kern w:val="0"/>
                <w:sz w:val="21"/>
                <w:szCs w:val="21"/>
              </w:rPr>
            </w:pPr>
            <w:r>
              <w:rPr>
                <w:rFonts w:hint="eastAsia" w:ascii="仿宋_GB2312" w:hAnsi="仿宋_GB2312" w:eastAsia="仿宋_GB2312" w:cs="仿宋_GB2312"/>
                <w:b w:val="0"/>
                <w:bCs/>
                <w:color w:val="000000"/>
                <w:kern w:val="0"/>
                <w:sz w:val="21"/>
                <w:szCs w:val="21"/>
              </w:rPr>
              <w:t>主攻方向明确，并且围绕主攻方向及应用重点制定实施方案</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实施方案概况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3</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jc w:val="left"/>
              <w:rPr>
                <w:rFonts w:ascii="Times New Roman" w:hAnsi="Times New Roman" w:eastAsia="宋体" w:cs="Times New Roman"/>
                <w:b w:val="0"/>
                <w:kern w:val="0"/>
                <w:sz w:val="21"/>
                <w:szCs w:val="21"/>
              </w:rPr>
            </w:pPr>
            <w:r>
              <w:rPr>
                <w:rFonts w:hint="eastAsia" w:ascii="仿宋_GB2312" w:hAnsi="仿宋_GB2312" w:eastAsia="仿宋_GB2312" w:cs="仿宋_GB2312"/>
                <w:b w:val="0"/>
                <w:bCs/>
                <w:color w:val="000000"/>
                <w:kern w:val="0"/>
                <w:sz w:val="21"/>
                <w:szCs w:val="21"/>
              </w:rPr>
              <w:t>依据试点项目申报书，试点工作目标完成情况</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目标任务完成进度和总体成效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4</w:t>
            </w:r>
          </w:p>
        </w:tc>
        <w:tc>
          <w:tcPr>
            <w:tcW w:w="1379"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工作机制</w:t>
            </w: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加强组织领导，成立专班或专门机构</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组织领导及重视情况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5</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健全协同推进，建立行政、高校、企业、学校等协同推进机制</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机制建设及成效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6</w:t>
            </w:r>
          </w:p>
        </w:tc>
        <w:tc>
          <w:tcPr>
            <w:tcW w:w="1379" w:type="dxa"/>
            <w:vMerge w:val="continue"/>
            <w:vAlign w:val="center"/>
          </w:tcPr>
          <w:p>
            <w:pPr>
              <w:spacing w:line="240" w:lineRule="auto"/>
              <w:ind w:firstLine="0" w:firstLineChars="0"/>
              <w:jc w:val="center"/>
              <w:rPr>
                <w:rFonts w:ascii="仿宋_GB2312" w:hAnsi="仿宋_GB2312" w:eastAsia="仿宋_GB2312" w:cs="仿宋_GB2312"/>
                <w:bCs w:val="0"/>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落实“人工智能助推教师队伍建设试点”经费</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统筹项目经费、投入专项经费等情况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7</w:t>
            </w:r>
          </w:p>
        </w:tc>
        <w:tc>
          <w:tcPr>
            <w:tcW w:w="1379" w:type="dxa"/>
            <w:vMerge w:val="continue"/>
            <w:vAlign w:val="center"/>
          </w:tcPr>
          <w:p>
            <w:pPr>
              <w:spacing w:line="240" w:lineRule="auto"/>
              <w:ind w:firstLine="0" w:firstLineChars="0"/>
              <w:jc w:val="center"/>
              <w:rPr>
                <w:rFonts w:ascii="仿宋_GB2312" w:hAnsi="仿宋_GB2312" w:eastAsia="仿宋_GB2312" w:cs="仿宋_GB2312"/>
                <w:bCs w:val="0"/>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color w:val="000000"/>
                <w:kern w:val="0"/>
                <w:sz w:val="21"/>
                <w:szCs w:val="21"/>
              </w:rPr>
            </w:pPr>
            <w:r>
              <w:rPr>
                <w:rFonts w:hint="eastAsia" w:ascii="仿宋_GB2312" w:hAnsi="仿宋_GB2312" w:eastAsia="仿宋_GB2312" w:cs="仿宋_GB2312"/>
                <w:b w:val="0"/>
                <w:bCs/>
                <w:color w:val="000000"/>
                <w:kern w:val="0"/>
                <w:sz w:val="21"/>
                <w:szCs w:val="21"/>
              </w:rPr>
              <w:t>建立人工智能助推教师队伍建设实验区、实验校</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实验区或实验校数量情况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8</w:t>
            </w:r>
          </w:p>
        </w:tc>
        <w:tc>
          <w:tcPr>
            <w:tcW w:w="1379" w:type="dxa"/>
            <w:vMerge w:val="continue"/>
            <w:vAlign w:val="center"/>
          </w:tcPr>
          <w:p>
            <w:pPr>
              <w:spacing w:line="240" w:lineRule="auto"/>
              <w:ind w:firstLine="0" w:firstLineChars="0"/>
              <w:jc w:val="center"/>
              <w:rPr>
                <w:rFonts w:ascii="仿宋_GB2312" w:hAnsi="仿宋_GB2312" w:eastAsia="仿宋_GB2312" w:cs="仿宋_GB2312"/>
                <w:bCs w:val="0"/>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组建专家工作组并开展相关指导</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专家及指导情况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9</w:t>
            </w:r>
          </w:p>
        </w:tc>
        <w:tc>
          <w:tcPr>
            <w:tcW w:w="1379" w:type="dxa"/>
            <w:vMerge w:val="continue"/>
            <w:vAlign w:val="center"/>
          </w:tcPr>
          <w:p>
            <w:pPr>
              <w:spacing w:line="240" w:lineRule="auto"/>
              <w:ind w:firstLine="0" w:firstLineChars="0"/>
              <w:jc w:val="center"/>
              <w:rPr>
                <w:rFonts w:ascii="仿宋_GB2312" w:hAnsi="仿宋_GB2312" w:eastAsia="仿宋_GB2312" w:cs="仿宋_GB2312"/>
                <w:bCs w:val="0"/>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建立试点工作跟踪评价机制</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机制建设及成效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10</w:t>
            </w:r>
          </w:p>
        </w:tc>
        <w:tc>
          <w:tcPr>
            <w:tcW w:w="1379"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应用教师智能助手（平台、系统、资源、工具等）</w:t>
            </w: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建设使用教师智能助手，包括智慧教育平台、智能终端</w:t>
            </w:r>
            <w:r>
              <w:rPr>
                <w:rFonts w:hint="eastAsia" w:ascii="仿宋_GB2312" w:hAnsi="仿宋_GB2312" w:eastAsia="仿宋_GB2312" w:cs="仿宋_GB2312"/>
                <w:b w:val="0"/>
                <w:bCs w:val="0"/>
                <w:color w:val="000000"/>
                <w:kern w:val="0"/>
                <w:sz w:val="21"/>
                <w:szCs w:val="21"/>
              </w:rPr>
              <w:t>等</w:t>
            </w:r>
            <w:r>
              <w:rPr>
                <w:rFonts w:hint="eastAsia" w:ascii="仿宋_GB2312" w:hAnsi="仿宋_GB2312" w:eastAsia="仿宋_GB2312" w:cs="仿宋_GB2312"/>
                <w:b w:val="0"/>
                <w:bCs/>
                <w:color w:val="000000"/>
                <w:kern w:val="0"/>
                <w:sz w:val="21"/>
                <w:szCs w:val="21"/>
              </w:rPr>
              <w:t>，开发汇聚</w:t>
            </w:r>
            <w:r>
              <w:rPr>
                <w:rFonts w:hint="eastAsia" w:ascii="仿宋_GB2312" w:hAnsi="仿宋_GB2312" w:eastAsia="仿宋_GB2312" w:cs="仿宋_GB2312"/>
                <w:b w:val="0"/>
                <w:bCs w:val="0"/>
                <w:color w:val="000000"/>
                <w:kern w:val="0"/>
                <w:sz w:val="21"/>
                <w:szCs w:val="21"/>
              </w:rPr>
              <w:t>优质</w:t>
            </w:r>
            <w:r>
              <w:rPr>
                <w:rFonts w:hint="eastAsia" w:ascii="仿宋_GB2312" w:hAnsi="仿宋_GB2312" w:eastAsia="仿宋_GB2312" w:cs="仿宋_GB2312"/>
                <w:b w:val="0"/>
                <w:bCs/>
                <w:color w:val="000000"/>
                <w:kern w:val="0"/>
                <w:sz w:val="21"/>
                <w:szCs w:val="21"/>
              </w:rPr>
              <w:t>数字资源</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智慧教育平台、智能终端、数字资源等建设情况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11</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color w:val="000000"/>
                <w:kern w:val="0"/>
                <w:sz w:val="21"/>
                <w:szCs w:val="21"/>
              </w:rPr>
            </w:pPr>
            <w:r>
              <w:rPr>
                <w:rFonts w:hint="eastAsia" w:ascii="仿宋_GB2312" w:hAnsi="仿宋_GB2312" w:eastAsia="仿宋_GB2312" w:cs="仿宋_GB2312"/>
                <w:b w:val="0"/>
                <w:bCs/>
                <w:color w:val="000000"/>
                <w:kern w:val="0"/>
                <w:sz w:val="21"/>
                <w:szCs w:val="21"/>
              </w:rPr>
              <w:t>应用智能助手，促进教学方式和学习方式改革，为教师减负和赋能</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通过智能平台系统，创新教与学模式，为教师减负和赋能的情况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12</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color w:val="000000"/>
                <w:kern w:val="0"/>
                <w:sz w:val="21"/>
                <w:szCs w:val="21"/>
              </w:rPr>
            </w:pPr>
            <w:r>
              <w:rPr>
                <w:rFonts w:hint="eastAsia" w:ascii="仿宋_GB2312" w:hAnsi="仿宋_GB2312" w:eastAsia="仿宋_GB2312" w:cs="仿宋_GB2312"/>
                <w:b w:val="0"/>
                <w:bCs/>
                <w:color w:val="000000"/>
                <w:kern w:val="0"/>
                <w:sz w:val="21"/>
                <w:szCs w:val="21"/>
              </w:rPr>
              <w:t>应用智能助手，提升作业设计点评、命题能力，减轻学生作业负担</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通过智能平台系统，提高作业设计点评、命题能力的情况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13</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color w:val="000000"/>
                <w:kern w:val="0"/>
                <w:sz w:val="21"/>
                <w:szCs w:val="21"/>
              </w:rPr>
            </w:pPr>
            <w:r>
              <w:rPr>
                <w:rFonts w:ascii="仿宋_GB2312" w:hAnsi="仿宋_GB2312" w:eastAsia="仿宋_GB2312" w:cs="仿宋_GB2312"/>
                <w:b w:val="0"/>
                <w:bCs/>
                <w:color w:val="000000"/>
                <w:kern w:val="0"/>
                <w:sz w:val="21"/>
                <w:szCs w:val="21"/>
              </w:rPr>
              <w:t>应用智能助手，支撑学生评价改革，促进德智体美劳全面发展</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通过智能平台系统，改进德智体美劳过程评价办法，创新学生综合素质评价的情况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14</w:t>
            </w:r>
          </w:p>
        </w:tc>
        <w:tc>
          <w:tcPr>
            <w:tcW w:w="1379"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 xml:space="preserve">创新未来教师培养模式 </w:t>
            </w: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遴选高校建立教师教育创新基地，与企业、高校等联合建立实验室，创新教师培养环境</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协同创建教师教育基地、实验室以及新型教师培养环境建设情况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15</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开设人工智能教育应用课程，培养适应人工智能等新技术挑战的教师</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人工智能教育应用课程建设应用及成效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16</w:t>
            </w:r>
          </w:p>
        </w:tc>
        <w:tc>
          <w:tcPr>
            <w:tcW w:w="1379"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优化教师智能研修</w:t>
            </w:r>
          </w:p>
        </w:tc>
        <w:tc>
          <w:tcPr>
            <w:tcW w:w="4245" w:type="dxa"/>
            <w:vAlign w:val="center"/>
          </w:tcPr>
          <w:p>
            <w:pPr>
              <w:spacing w:line="240" w:lineRule="auto"/>
              <w:ind w:firstLine="0" w:firstLineChars="0"/>
              <w:rPr>
                <w:rFonts w:ascii="仿宋_GB2312" w:hAnsi="仿宋_GB2312" w:eastAsia="仿宋_GB2312" w:cs="仿宋_GB2312"/>
                <w:b w:val="0"/>
                <w:color w:val="000000"/>
                <w:kern w:val="0"/>
                <w:sz w:val="21"/>
                <w:szCs w:val="21"/>
              </w:rPr>
            </w:pPr>
            <w:r>
              <w:rPr>
                <w:rFonts w:hint="eastAsia" w:ascii="仿宋_GB2312" w:hAnsi="仿宋_GB2312" w:eastAsia="仿宋_GB2312" w:cs="仿宋_GB2312"/>
                <w:b w:val="0"/>
                <w:bCs/>
                <w:color w:val="000000"/>
                <w:kern w:val="0"/>
                <w:sz w:val="21"/>
                <w:szCs w:val="21"/>
              </w:rPr>
              <w:t>升级</w:t>
            </w:r>
            <w:r>
              <w:rPr>
                <w:rFonts w:ascii="仿宋_GB2312" w:hAnsi="仿宋_GB2312" w:eastAsia="仿宋_GB2312" w:cs="仿宋_GB2312"/>
                <w:b w:val="0"/>
                <w:bCs/>
                <w:color w:val="000000"/>
                <w:kern w:val="0"/>
                <w:sz w:val="21"/>
                <w:szCs w:val="21"/>
              </w:rPr>
              <w:t>建设</w:t>
            </w:r>
            <w:r>
              <w:rPr>
                <w:rFonts w:hint="eastAsia" w:ascii="仿宋_GB2312" w:hAnsi="仿宋_GB2312" w:eastAsia="仿宋_GB2312" w:cs="仿宋_GB2312"/>
                <w:b w:val="0"/>
                <w:bCs/>
                <w:color w:val="000000"/>
                <w:kern w:val="0"/>
                <w:sz w:val="21"/>
                <w:szCs w:val="21"/>
              </w:rPr>
              <w:t>区域教师智能研训中心，丰富教师研训体验</w:t>
            </w:r>
          </w:p>
        </w:tc>
        <w:tc>
          <w:tcPr>
            <w:tcW w:w="3053" w:type="dxa"/>
            <w:vAlign w:val="center"/>
          </w:tcPr>
          <w:p>
            <w:pPr>
              <w:spacing w:line="240" w:lineRule="auto"/>
              <w:ind w:firstLine="0" w:firstLineChars="0"/>
              <w:rPr>
                <w:rFonts w:ascii="仿宋_GB2312" w:hAnsi="仿宋_GB2312" w:eastAsia="仿宋_GB2312" w:cs="仿宋_GB2312"/>
                <w:b w:val="0"/>
                <w:color w:val="000000"/>
                <w:kern w:val="0"/>
                <w:sz w:val="21"/>
                <w:szCs w:val="21"/>
              </w:rPr>
            </w:pPr>
            <w:r>
              <w:rPr>
                <w:rFonts w:ascii="仿宋_GB2312" w:hAnsi="仿宋_GB2312" w:eastAsia="仿宋_GB2312" w:cs="仿宋_GB2312"/>
                <w:b w:val="0"/>
                <w:bCs/>
                <w:color w:val="000000"/>
                <w:kern w:val="0"/>
                <w:sz w:val="21"/>
                <w:szCs w:val="21"/>
              </w:rPr>
              <w:t>通用、专用数字化实训室、智能研修教室等功能、数量、用途等情况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17</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建设、升级教师智能研修平台</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平台功能及特色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18</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应用智能研修覆盖情况及应用模式</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ascii="仿宋_GB2312" w:hAnsi="仿宋_GB2312" w:eastAsia="仿宋_GB2312" w:cs="仿宋_GB2312"/>
                <w:b w:val="0"/>
                <w:bCs w:val="0"/>
                <w:color w:val="000000"/>
                <w:kern w:val="0"/>
                <w:sz w:val="21"/>
                <w:szCs w:val="21"/>
              </w:rPr>
              <w:t>参加智能研修的教师覆盖情况及形成的智能研修模式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19</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建立应用教师能力诊断测评系统，诊断教师学习发展需求，开展精准培训</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教师能力测评系统、应用模式及成效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20</w:t>
            </w:r>
          </w:p>
        </w:tc>
        <w:tc>
          <w:tcPr>
            <w:tcW w:w="1379"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提升教师智能教育素养</w:t>
            </w: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ascii="仿宋_GB2312" w:hAnsi="仿宋_GB2312" w:eastAsia="仿宋_GB2312" w:cs="仿宋_GB2312"/>
                <w:b w:val="0"/>
                <w:bCs/>
                <w:color w:val="000000"/>
                <w:kern w:val="0"/>
                <w:sz w:val="21"/>
                <w:szCs w:val="21"/>
              </w:rPr>
              <w:t>开展校长</w:t>
            </w:r>
            <w:r>
              <w:rPr>
                <w:rFonts w:hint="eastAsia" w:ascii="仿宋_GB2312" w:hAnsi="仿宋_GB2312" w:eastAsia="仿宋_GB2312" w:cs="仿宋_GB2312"/>
                <w:b w:val="0"/>
                <w:bCs/>
                <w:color w:val="000000"/>
                <w:kern w:val="0"/>
                <w:sz w:val="21"/>
                <w:szCs w:val="21"/>
              </w:rPr>
              <w:t>智能教育素养提升培训</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培训情况与成效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21</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开展教师智能教育素养提升培训</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培训情况与成效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22</w:t>
            </w:r>
          </w:p>
        </w:tc>
        <w:tc>
          <w:tcPr>
            <w:tcW w:w="1379"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建设与应用教师大数据</w:t>
            </w:r>
          </w:p>
        </w:tc>
        <w:tc>
          <w:tcPr>
            <w:tcW w:w="4245" w:type="dxa"/>
            <w:vAlign w:val="center"/>
          </w:tcPr>
          <w:p>
            <w:pPr>
              <w:spacing w:line="240" w:lineRule="auto"/>
              <w:ind w:firstLine="0" w:firstLineChars="0"/>
              <w:rPr>
                <w:rFonts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汇聚培训、教学、管理等数据信息，建立教师大数据</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教师大数据建设进展、主要功能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23</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color w:val="000000"/>
                <w:kern w:val="0"/>
                <w:sz w:val="21"/>
                <w:szCs w:val="21"/>
              </w:rPr>
            </w:pPr>
            <w:r>
              <w:rPr>
                <w:rFonts w:hint="eastAsia" w:ascii="仿宋_GB2312" w:hAnsi="仿宋_GB2312" w:eastAsia="仿宋_GB2312" w:cs="仿宋_GB2312"/>
                <w:b w:val="0"/>
                <w:bCs/>
                <w:color w:val="000000"/>
                <w:kern w:val="0"/>
                <w:sz w:val="21"/>
                <w:szCs w:val="21"/>
              </w:rPr>
              <w:t>应</w:t>
            </w:r>
            <w:r>
              <w:rPr>
                <w:rFonts w:hint="eastAsia" w:ascii="仿宋_GB2312" w:hAnsi="Times New Roman" w:eastAsia="仿宋_GB2312" w:cs="Times New Roman"/>
                <w:kern w:val="0"/>
                <w:sz w:val="21"/>
                <w:szCs w:val="21"/>
              </w:rPr>
              <w:t>用教师大数据支撑</w:t>
            </w:r>
            <w:r>
              <w:rPr>
                <w:rFonts w:hint="eastAsia" w:ascii="仿宋_GB2312" w:hAnsi="仿宋_GB2312" w:eastAsia="仿宋_GB2312" w:cs="仿宋_GB2312"/>
                <w:color w:val="000000"/>
                <w:kern w:val="0"/>
                <w:sz w:val="21"/>
                <w:szCs w:val="21"/>
              </w:rPr>
              <w:t>师德师风、教学实绩、学生工作、教研科研等业务工作，促进评价结果应用于职称评聘、资格认定、岗位晋升、评先评优等，支撑教师精准管理，支持教师评价改革</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应用教师大数据的业务类型数量、应用模式及成效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24</w:t>
            </w:r>
          </w:p>
        </w:tc>
        <w:tc>
          <w:tcPr>
            <w:tcW w:w="1379"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智能引领乡村学校与薄弱学校教师发展</w:t>
            </w: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建立基于智能技术的“三个课堂”应用系统</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平台功能及特色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Times New Roman" w:hAnsi="Times New Roman" w:cs="Times New Roman"/>
                <w:color w:val="000000"/>
                <w:kern w:val="0"/>
                <w:sz w:val="21"/>
                <w:szCs w:val="21"/>
                <w:lang w:val="en-US" w:eastAsia="zh-CN"/>
              </w:rPr>
              <w:t>25</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“三个课堂”应用覆盖乡村、薄弱学校比例</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ascii="仿宋_GB2312" w:hAnsi="仿宋_GB2312" w:eastAsia="仿宋_GB2312" w:cs="仿宋_GB2312"/>
                <w:b w:val="0"/>
                <w:bCs w:val="0"/>
                <w:color w:val="000000"/>
                <w:kern w:val="0"/>
                <w:sz w:val="21"/>
                <w:szCs w:val="21"/>
              </w:rPr>
              <w:t>乡村、薄弱学校覆盖情况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26</w:t>
            </w:r>
          </w:p>
        </w:tc>
        <w:tc>
          <w:tcPr>
            <w:tcW w:w="1379"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45" w:type="dxa"/>
            <w:vAlign w:val="center"/>
          </w:tcPr>
          <w:p>
            <w:pPr>
              <w:spacing w:line="240" w:lineRule="auto"/>
              <w:ind w:firstLine="0" w:firstLineChars="0"/>
              <w:rPr>
                <w:rFonts w:ascii="仿宋_GB2312" w:hAnsi="仿宋_GB2312" w:eastAsia="仿宋_GB2312" w:cs="仿宋_GB2312"/>
                <w:b w:val="0"/>
                <w:color w:val="000000"/>
                <w:kern w:val="0"/>
                <w:sz w:val="21"/>
                <w:szCs w:val="21"/>
              </w:rPr>
            </w:pPr>
            <w:r>
              <w:rPr>
                <w:rFonts w:hint="eastAsia" w:ascii="仿宋_GB2312" w:hAnsi="仿宋_GB2312" w:eastAsia="仿宋_GB2312" w:cs="仿宋_GB2312"/>
                <w:b w:val="0"/>
                <w:bCs/>
                <w:color w:val="000000"/>
                <w:kern w:val="0"/>
                <w:sz w:val="21"/>
                <w:szCs w:val="21"/>
              </w:rPr>
              <w:t>依托智能教育平台系统，推进人人协同、人机协同的“三个课堂”应用，解决区域、学校、城乡教育不均衡难题，探索缓解教师编制供给不足的新路径</w:t>
            </w:r>
          </w:p>
        </w:tc>
        <w:tc>
          <w:tcPr>
            <w:tcW w:w="3053" w:type="dxa"/>
            <w:vAlign w:val="center"/>
          </w:tcPr>
          <w:p>
            <w:pPr>
              <w:spacing w:line="240" w:lineRule="auto"/>
              <w:ind w:firstLine="0" w:firstLineChars="0"/>
              <w:rPr>
                <w:rFonts w:ascii="仿宋_GB2312" w:hAnsi="仿宋_GB2312" w:eastAsia="仿宋_GB2312" w:cs="仿宋_GB2312"/>
                <w:b w:val="0"/>
                <w:color w:val="000000"/>
                <w:kern w:val="0"/>
                <w:sz w:val="21"/>
                <w:szCs w:val="21"/>
              </w:rPr>
            </w:pPr>
            <w:r>
              <w:rPr>
                <w:rFonts w:hint="eastAsia" w:ascii="仿宋_GB2312" w:hAnsi="仿宋_GB2312" w:eastAsia="仿宋_GB2312" w:cs="仿宋_GB2312"/>
                <w:b w:val="0"/>
                <w:bCs/>
                <w:color w:val="000000"/>
                <w:kern w:val="0"/>
                <w:sz w:val="21"/>
                <w:szCs w:val="21"/>
              </w:rPr>
              <w:t>基于智能技术的“三个课堂”应用模式、机制创新及应用成效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27</w:t>
            </w:r>
          </w:p>
        </w:tc>
        <w:tc>
          <w:tcPr>
            <w:tcW w:w="1379" w:type="dxa"/>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特色创新</w:t>
            </w:r>
          </w:p>
        </w:tc>
        <w:tc>
          <w:tcPr>
            <w:tcW w:w="4245"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ascii="仿宋_GB2312" w:hAnsi="仿宋_GB2312" w:eastAsia="仿宋_GB2312" w:cs="仿宋_GB2312"/>
                <w:b w:val="0"/>
                <w:bCs/>
                <w:color w:val="000000"/>
                <w:kern w:val="2"/>
                <w:sz w:val="21"/>
                <w:szCs w:val="21"/>
              </w:rPr>
              <w:t>除了上述应用重点和机制创新，本地区其他</w:t>
            </w:r>
            <w:r>
              <w:rPr>
                <w:rFonts w:hint="eastAsia" w:ascii="仿宋_GB2312" w:hAnsi="仿宋_GB2312" w:eastAsia="仿宋_GB2312" w:cs="仿宋_GB2312"/>
                <w:b w:val="0"/>
                <w:bCs/>
                <w:color w:val="000000"/>
                <w:kern w:val="2"/>
                <w:sz w:val="21"/>
                <w:szCs w:val="21"/>
              </w:rPr>
              <w:t>与人工智能助推教师队伍建设密切相关的</w:t>
            </w:r>
            <w:r>
              <w:rPr>
                <w:rFonts w:ascii="仿宋_GB2312" w:hAnsi="仿宋_GB2312" w:eastAsia="仿宋_GB2312" w:cs="仿宋_GB2312"/>
                <w:b w:val="0"/>
                <w:bCs/>
                <w:color w:val="000000"/>
                <w:kern w:val="2"/>
                <w:sz w:val="21"/>
                <w:szCs w:val="21"/>
              </w:rPr>
              <w:t>特色创新可拓展</w:t>
            </w:r>
            <w:r>
              <w:rPr>
                <w:rFonts w:hint="eastAsia" w:ascii="仿宋_GB2312" w:hAnsi="仿宋_GB2312" w:eastAsia="仿宋_GB2312" w:cs="仿宋_GB2312"/>
                <w:b w:val="0"/>
                <w:bCs/>
                <w:color w:val="000000"/>
                <w:kern w:val="2"/>
                <w:sz w:val="21"/>
                <w:szCs w:val="21"/>
              </w:rPr>
              <w:t>说明</w:t>
            </w:r>
          </w:p>
        </w:tc>
        <w:tc>
          <w:tcPr>
            <w:tcW w:w="3053"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自定义</w:t>
            </w:r>
          </w:p>
        </w:tc>
      </w:tr>
    </w:tbl>
    <w:p/>
    <w:p>
      <w:pPr>
        <w:pStyle w:val="14"/>
        <w:keepNext w:val="0"/>
        <w:keepLines w:val="0"/>
        <w:pageBreakBefore/>
        <w:widowControl w:val="0"/>
        <w:kinsoku/>
        <w:wordWrap/>
        <w:overflowPunct/>
        <w:topLinePunct w:val="0"/>
        <w:autoSpaceDE/>
        <w:autoSpaceDN/>
        <w:bidi w:val="0"/>
        <w:adjustRightInd/>
        <w:snapToGrid/>
        <w:textAlignment w:val="auto"/>
      </w:pPr>
      <w:r>
        <w:rPr>
          <w:rFonts w:hint="eastAsia"/>
          <w:spacing w:val="1"/>
          <w:w w:val="97"/>
          <w:kern w:val="0"/>
          <w:fitText w:val="8140" w:id="1066170843"/>
        </w:rPr>
        <w:t>人工智能助推教师队伍建设试点绩效自评</w:t>
      </w:r>
      <w:r>
        <w:rPr>
          <w:rFonts w:hint="eastAsia"/>
          <w:spacing w:val="3"/>
          <w:w w:val="97"/>
          <w:kern w:val="0"/>
          <w:fitText w:val="8140" w:id="1066170843"/>
        </w:rPr>
        <w:t>表</w:t>
      </w:r>
    </w:p>
    <w:p>
      <w:pPr>
        <w:pStyle w:val="14"/>
        <w:bidi w:val="0"/>
        <w:rPr>
          <w:rFonts w:hint="eastAsia"/>
        </w:rPr>
      </w:pPr>
      <w:r>
        <w:rPr>
          <w:rFonts w:hint="eastAsia"/>
        </w:rPr>
        <w:t>（院校试点）</w:t>
      </w:r>
    </w:p>
    <w:p/>
    <w:p>
      <w:pPr>
        <w:spacing w:line="240" w:lineRule="auto"/>
        <w:ind w:firstLine="0" w:firstLineChars="0"/>
        <w:rPr>
          <w:rFonts w:ascii="Calibri" w:hAnsi="Calibri" w:eastAsia="宋体" w:cs="Times New Roman"/>
          <w:sz w:val="21"/>
          <w:szCs w:val="22"/>
        </w:rPr>
      </w:pPr>
      <w:r>
        <w:rPr>
          <w:rFonts w:ascii="Calibri" w:hAnsi="Calibri" w:eastAsia="宋体" w:cs="Times New Roman"/>
          <w:b/>
          <w:sz w:val="21"/>
          <w:szCs w:val="22"/>
        </w:rPr>
        <w:t>说明：总体情况和工作机制为必填项，其余应用重点及代表性观测点根据试点主攻方向的实际情况进行选填。</w:t>
      </w: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271"/>
        <w:gridCol w:w="4254"/>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spacing w:line="240" w:lineRule="auto"/>
              <w:ind w:firstLine="0" w:firstLineChars="0"/>
              <w:jc w:val="center"/>
              <w:rPr>
                <w:rFonts w:hint="eastAsia" w:ascii="黑体" w:hAnsi="黑体" w:eastAsia="黑体" w:cs="黑体"/>
                <w:color w:val="000000"/>
                <w:kern w:val="0"/>
                <w:sz w:val="21"/>
                <w:szCs w:val="21"/>
              </w:rPr>
            </w:pPr>
            <w:r>
              <w:rPr>
                <w:rFonts w:hint="eastAsia" w:ascii="黑体" w:hAnsi="黑体" w:eastAsia="黑体" w:cs="黑体"/>
                <w:b/>
                <w:bCs/>
                <w:color w:val="000000"/>
                <w:kern w:val="0"/>
                <w:sz w:val="21"/>
                <w:szCs w:val="21"/>
              </w:rPr>
              <w:t>序号</w:t>
            </w:r>
          </w:p>
        </w:tc>
        <w:tc>
          <w:tcPr>
            <w:tcW w:w="1271" w:type="dxa"/>
            <w:vAlign w:val="center"/>
          </w:tcPr>
          <w:p>
            <w:pPr>
              <w:spacing w:line="240" w:lineRule="auto"/>
              <w:ind w:firstLine="0" w:firstLineChars="0"/>
              <w:jc w:val="center"/>
              <w:rPr>
                <w:rFonts w:hint="eastAsia" w:ascii="黑体" w:hAnsi="黑体" w:eastAsia="黑体" w:cs="黑体"/>
                <w:color w:val="000000"/>
                <w:kern w:val="0"/>
                <w:sz w:val="21"/>
                <w:szCs w:val="21"/>
              </w:rPr>
            </w:pPr>
            <w:r>
              <w:rPr>
                <w:rFonts w:hint="eastAsia" w:ascii="黑体" w:hAnsi="黑体" w:eastAsia="黑体" w:cs="黑体"/>
                <w:b/>
                <w:bCs/>
                <w:color w:val="000000"/>
                <w:kern w:val="0"/>
                <w:sz w:val="21"/>
                <w:szCs w:val="21"/>
              </w:rPr>
              <w:t>应用重点</w:t>
            </w:r>
          </w:p>
        </w:tc>
        <w:tc>
          <w:tcPr>
            <w:tcW w:w="4254" w:type="dxa"/>
            <w:vAlign w:val="center"/>
          </w:tcPr>
          <w:p>
            <w:pPr>
              <w:spacing w:line="240" w:lineRule="auto"/>
              <w:ind w:firstLine="0" w:firstLineChars="0"/>
              <w:jc w:val="center"/>
              <w:rPr>
                <w:rFonts w:hint="eastAsia" w:ascii="黑体" w:hAnsi="黑体" w:eastAsia="黑体" w:cs="黑体"/>
                <w:color w:val="000000"/>
                <w:kern w:val="0"/>
                <w:sz w:val="21"/>
                <w:szCs w:val="21"/>
              </w:rPr>
            </w:pPr>
            <w:r>
              <w:rPr>
                <w:rFonts w:hint="eastAsia" w:ascii="黑体" w:hAnsi="黑体" w:eastAsia="黑体" w:cs="黑体"/>
                <w:b/>
                <w:bCs/>
                <w:color w:val="000000"/>
                <w:kern w:val="0"/>
                <w:sz w:val="21"/>
                <w:szCs w:val="21"/>
              </w:rPr>
              <w:t>代表性观测点</w:t>
            </w:r>
          </w:p>
        </w:tc>
        <w:tc>
          <w:tcPr>
            <w:tcW w:w="2268" w:type="dxa"/>
            <w:vAlign w:val="center"/>
          </w:tcPr>
          <w:p>
            <w:pPr>
              <w:spacing w:line="240" w:lineRule="auto"/>
              <w:ind w:firstLine="0" w:firstLineChars="0"/>
              <w:jc w:val="center"/>
              <w:rPr>
                <w:rFonts w:hint="eastAsia" w:ascii="黑体" w:hAnsi="黑体" w:eastAsia="黑体" w:cs="黑体"/>
                <w:color w:val="000000"/>
                <w:kern w:val="0"/>
                <w:sz w:val="21"/>
                <w:szCs w:val="21"/>
              </w:rPr>
            </w:pPr>
            <w:r>
              <w:rPr>
                <w:rFonts w:hint="eastAsia" w:ascii="黑体" w:hAnsi="黑体" w:eastAsia="黑体" w:cs="黑体"/>
                <w:b/>
                <w:bCs/>
                <w:color w:val="000000"/>
                <w:kern w:val="0"/>
                <w:sz w:val="21"/>
                <w:szCs w:val="21"/>
              </w:rPr>
              <w:t>自评备注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default" w:ascii="Times New Roman" w:hAnsi="Times New Roman" w:cs="Times New Roman"/>
                <w:color w:val="000000"/>
                <w:kern w:val="0"/>
                <w:sz w:val="21"/>
                <w:szCs w:val="21"/>
                <w:lang w:val="en-US" w:eastAsia="zh-CN"/>
              </w:rPr>
              <w:t>1</w:t>
            </w:r>
          </w:p>
        </w:tc>
        <w:tc>
          <w:tcPr>
            <w:tcW w:w="1271"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总体情况</w:t>
            </w:r>
          </w:p>
        </w:tc>
        <w:tc>
          <w:tcPr>
            <w:tcW w:w="4254" w:type="dxa"/>
            <w:vAlign w:val="center"/>
          </w:tcPr>
          <w:p>
            <w:pPr>
              <w:spacing w:line="240" w:lineRule="auto"/>
              <w:ind w:firstLine="0" w:firstLineChars="0"/>
              <w:rPr>
                <w:rFonts w:ascii="仿宋_GB2312" w:hAnsi="仿宋_GB2312" w:eastAsia="仿宋_GB2312" w:cs="仿宋_GB2312"/>
                <w:color w:val="000000"/>
                <w:kern w:val="0"/>
                <w:sz w:val="21"/>
                <w:szCs w:val="21"/>
              </w:rPr>
            </w:pPr>
            <w:r>
              <w:rPr>
                <w:rFonts w:hint="eastAsia" w:ascii="仿宋_GB2312" w:hAnsi="仿宋_GB2312" w:eastAsia="仿宋_GB2312" w:cs="仿宋_GB2312"/>
                <w:b w:val="0"/>
                <w:bCs w:val="0"/>
                <w:color w:val="000000"/>
                <w:kern w:val="0"/>
                <w:sz w:val="21"/>
                <w:szCs w:val="21"/>
              </w:rPr>
              <w:t>对试点工作进行整体规划</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整体规划概况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default" w:ascii="Times New Roman" w:hAnsi="Times New Roman" w:cs="Times New Roman"/>
                <w:color w:val="000000"/>
                <w:kern w:val="0"/>
                <w:sz w:val="21"/>
                <w:szCs w:val="21"/>
                <w:lang w:val="en-US" w:eastAsia="zh-CN"/>
              </w:rPr>
              <w:t>2</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jc w:val="left"/>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主攻方向明确，并且围绕主攻方向及应用重点制定实施方案</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实施方案概况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3</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jc w:val="left"/>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依据试点项目申报书，试点工作目标完成度</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目标任务完成进度和总体成效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4</w:t>
            </w:r>
          </w:p>
        </w:tc>
        <w:tc>
          <w:tcPr>
            <w:tcW w:w="1271"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工作机制</w:t>
            </w: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加强组织领导，成立专班或专门机构</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组织领导及重视情况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5</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健全协同推进，引入企业或专业机构参与技术创新、产品开发、资源建设</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机制建设及成效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6</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color w:val="000000"/>
                <w:kern w:val="0"/>
                <w:sz w:val="21"/>
                <w:szCs w:val="21"/>
              </w:rPr>
            </w:pPr>
            <w:r>
              <w:rPr>
                <w:rFonts w:hint="eastAsia" w:ascii="仿宋_GB2312" w:hAnsi="仿宋_GB2312" w:eastAsia="仿宋_GB2312" w:cs="仿宋_GB2312"/>
                <w:b w:val="0"/>
                <w:bCs w:val="0"/>
                <w:color w:val="000000"/>
                <w:kern w:val="0"/>
                <w:sz w:val="21"/>
                <w:szCs w:val="21"/>
              </w:rPr>
              <w:t>遴选院系建立实验基地</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遴选基地介绍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7</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落实“人工智能助推教师队伍建设试点”经费</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统筹项目经费、投入专项经费等情况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8</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组建专家工作组并开展相关指导</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专家及指导情况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9</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建立试点工作跟踪评价机制</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机制建设及成效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10</w:t>
            </w:r>
          </w:p>
        </w:tc>
        <w:tc>
          <w:tcPr>
            <w:tcW w:w="1271"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创建智能教育环境</w:t>
            </w: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升级建设智能教室</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智能教室数量、覆盖率、功能、用途等情况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11</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建设使用教师智能助手，包括智慧教育平台、智能终端、数字资源等</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智慧教育平台、智能终端、数字资源等建设情况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12</w:t>
            </w:r>
          </w:p>
        </w:tc>
        <w:tc>
          <w:tcPr>
            <w:tcW w:w="1271"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建设教师智能教育体系</w:t>
            </w: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高校教师参加智能教育素养培训</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培训情况与成效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13</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应用智能助手</w:t>
            </w:r>
            <w:r>
              <w:rPr>
                <w:rFonts w:ascii="仿宋_GB2312" w:hAnsi="仿宋_GB2312" w:eastAsia="仿宋_GB2312" w:cs="仿宋_GB2312"/>
                <w:b w:val="0"/>
                <w:bCs w:val="0"/>
                <w:color w:val="000000"/>
                <w:kern w:val="0"/>
                <w:sz w:val="21"/>
                <w:szCs w:val="21"/>
              </w:rPr>
              <w:t>（系统、平台、工具、资源）</w:t>
            </w:r>
            <w:r>
              <w:rPr>
                <w:rFonts w:hint="eastAsia" w:ascii="仿宋_GB2312" w:hAnsi="仿宋_GB2312" w:eastAsia="仿宋_GB2312" w:cs="仿宋_GB2312"/>
                <w:b w:val="0"/>
                <w:bCs w:val="0"/>
                <w:color w:val="000000"/>
                <w:kern w:val="0"/>
                <w:sz w:val="21"/>
                <w:szCs w:val="21"/>
              </w:rPr>
              <w:t>，</w:t>
            </w:r>
            <w:r>
              <w:rPr>
                <w:rFonts w:hint="eastAsia" w:ascii="仿宋_GB2312" w:hAnsi="仿宋_GB2312" w:eastAsia="仿宋_GB2312" w:cs="仿宋_GB2312"/>
                <w:b w:val="0"/>
                <w:bCs/>
                <w:color w:val="000000"/>
                <w:kern w:val="0"/>
                <w:sz w:val="21"/>
                <w:szCs w:val="21"/>
              </w:rPr>
              <w:t>促进教学方式和学习方式改革，为高校教师减负和赋能</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通过智能平台系统，创新教与学模式，为高校教师减负和赋能情况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14</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color w:val="000000"/>
                <w:kern w:val="0"/>
                <w:sz w:val="21"/>
                <w:szCs w:val="21"/>
              </w:rPr>
            </w:pPr>
            <w:r>
              <w:rPr>
                <w:rFonts w:ascii="仿宋_GB2312" w:hAnsi="仿宋_GB2312" w:eastAsia="仿宋_GB2312" w:cs="仿宋_GB2312"/>
                <w:b w:val="0"/>
                <w:bCs/>
                <w:color w:val="000000"/>
                <w:kern w:val="0"/>
                <w:sz w:val="21"/>
                <w:szCs w:val="21"/>
              </w:rPr>
              <w:t>应用智能助手</w:t>
            </w:r>
            <w:r>
              <w:rPr>
                <w:rFonts w:ascii="仿宋_GB2312" w:hAnsi="仿宋_GB2312" w:eastAsia="仿宋_GB2312" w:cs="仿宋_GB2312"/>
                <w:b w:val="0"/>
                <w:bCs w:val="0"/>
                <w:color w:val="000000"/>
                <w:kern w:val="0"/>
                <w:sz w:val="21"/>
                <w:szCs w:val="21"/>
              </w:rPr>
              <w:t>（系统、平台、工具、资源）</w:t>
            </w:r>
            <w:r>
              <w:rPr>
                <w:rFonts w:ascii="仿宋_GB2312" w:hAnsi="仿宋_GB2312" w:eastAsia="仿宋_GB2312" w:cs="仿宋_GB2312"/>
                <w:b w:val="0"/>
                <w:bCs/>
                <w:color w:val="000000"/>
                <w:kern w:val="0"/>
                <w:sz w:val="21"/>
                <w:szCs w:val="21"/>
              </w:rPr>
              <w:t>，支撑学生评价改革，促进大学生德智体美劳全面发展</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通过智能平台系统，改进德智体美劳过程评价办法，创新学生综合素质评价情况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15</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开设人工智能应用课程，提升师范生智能教学能力</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课程内容、教学情况及成效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16</w:t>
            </w:r>
          </w:p>
        </w:tc>
        <w:tc>
          <w:tcPr>
            <w:tcW w:w="1271" w:type="dxa"/>
            <w:vMerge w:val="restart"/>
            <w:vAlign w:val="center"/>
          </w:tcPr>
          <w:p>
            <w:pPr>
              <w:spacing w:line="240" w:lineRule="auto"/>
              <w:ind w:firstLine="0" w:firstLineChars="0"/>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b/>
                <w:bCs/>
                <w:color w:val="000000"/>
                <w:kern w:val="0"/>
                <w:sz w:val="21"/>
                <w:szCs w:val="21"/>
              </w:rPr>
              <w:t>加强教师大数据建设与</w:t>
            </w:r>
            <w:r>
              <w:rPr>
                <w:rFonts w:hint="eastAsia" w:ascii="仿宋_GB2312" w:hAnsi="仿宋_GB2312" w:eastAsia="仿宋_GB2312" w:cs="仿宋_GB2312"/>
                <w:b/>
                <w:bCs/>
                <w:color w:val="000000"/>
                <w:kern w:val="0"/>
                <w:sz w:val="21"/>
                <w:szCs w:val="21"/>
                <w:lang w:val="en-US" w:eastAsia="zh-CN"/>
              </w:rPr>
              <w:t>应用</w:t>
            </w: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汇聚教学、科研、社会服务等数据信息，建立教师工作大数据</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教师大数据建设进展、主要功能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17</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color w:val="000000"/>
                <w:kern w:val="0"/>
                <w:sz w:val="21"/>
                <w:szCs w:val="21"/>
              </w:rPr>
            </w:pPr>
            <w:r>
              <w:rPr>
                <w:rFonts w:hint="eastAsia" w:ascii="仿宋_GB2312" w:hAnsi="仿宋_GB2312" w:eastAsia="仿宋_GB2312" w:cs="仿宋_GB2312"/>
                <w:b w:val="0"/>
                <w:bCs/>
                <w:color w:val="000000"/>
                <w:kern w:val="0"/>
                <w:sz w:val="21"/>
                <w:szCs w:val="21"/>
              </w:rPr>
              <w:t>应</w:t>
            </w:r>
            <w:r>
              <w:rPr>
                <w:rFonts w:hint="eastAsia" w:ascii="仿宋_GB2312" w:hAnsi="Times New Roman" w:eastAsia="仿宋_GB2312" w:cs="Times New Roman"/>
                <w:kern w:val="0"/>
                <w:sz w:val="21"/>
                <w:szCs w:val="21"/>
              </w:rPr>
              <w:t>用教师大数据支撑</w:t>
            </w:r>
            <w:r>
              <w:rPr>
                <w:rFonts w:hint="eastAsia" w:ascii="仿宋_GB2312" w:hAnsi="仿宋_GB2312" w:eastAsia="仿宋_GB2312" w:cs="仿宋_GB2312"/>
                <w:color w:val="000000"/>
                <w:kern w:val="0"/>
                <w:sz w:val="21"/>
                <w:szCs w:val="21"/>
              </w:rPr>
              <w:t>师德师风、教学实绩、学生工作、教研科研等业务工作，促进评价结果应用于职称评聘、资格认定、岗位晋升、评先评优等，支撑教师精准管理，支持教师评价改革</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应用教师大数据的业务类型数量、应用模式及成效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18</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color w:val="000000"/>
                <w:kern w:val="0"/>
                <w:sz w:val="21"/>
                <w:szCs w:val="21"/>
              </w:rPr>
            </w:pPr>
            <w:r>
              <w:rPr>
                <w:rFonts w:hint="eastAsia" w:ascii="仿宋_GB2312" w:hAnsi="仿宋_GB2312" w:eastAsia="仿宋_GB2312" w:cs="仿宋_GB2312"/>
                <w:b w:val="0"/>
                <w:bCs w:val="0"/>
                <w:color w:val="000000"/>
                <w:kern w:val="0"/>
                <w:sz w:val="21"/>
                <w:szCs w:val="21"/>
              </w:rPr>
              <w:t>探索教师职前职后培养培训一体化管理，建立师范生大数据评价管理机制，汇聚师范生专业学习、思想品德等数据信息，形成师范生画像，为教师队伍准入提供科学数据支撑</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师范生大数据建设情况及应用成效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19</w:t>
            </w:r>
          </w:p>
        </w:tc>
        <w:tc>
          <w:tcPr>
            <w:tcW w:w="1271" w:type="dxa"/>
            <w:vMerge w:val="restart"/>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服务地方教育教学改革与创新</w:t>
            </w:r>
          </w:p>
        </w:tc>
        <w:tc>
          <w:tcPr>
            <w:tcW w:w="4254" w:type="dxa"/>
            <w:vMerge w:val="restart"/>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ascii="仿宋_GB2312" w:hAnsi="仿宋_GB2312" w:eastAsia="仿宋_GB2312" w:cs="仿宋_GB2312"/>
                <w:b w:val="0"/>
                <w:bCs w:val="0"/>
                <w:color w:val="000000"/>
                <w:kern w:val="0"/>
                <w:sz w:val="21"/>
                <w:szCs w:val="21"/>
              </w:rPr>
              <w:t>推广应用教师智能助手（系统、平台、工具、资源），</w:t>
            </w:r>
            <w:r>
              <w:rPr>
                <w:rFonts w:hint="eastAsia" w:ascii="仿宋_GB2312" w:hAnsi="仿宋_GB2312" w:eastAsia="仿宋_GB2312" w:cs="仿宋_GB2312"/>
                <w:b w:val="0"/>
                <w:bCs/>
                <w:color w:val="000000"/>
                <w:kern w:val="0"/>
                <w:sz w:val="21"/>
                <w:szCs w:val="21"/>
              </w:rPr>
              <w:t>促进教学方式和学习方式改革，为教师减负和赋能</w:t>
            </w:r>
          </w:p>
        </w:tc>
        <w:tc>
          <w:tcPr>
            <w:tcW w:w="2268" w:type="dxa"/>
            <w:vMerge w:val="restart"/>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服务地方通过智能平台系统，创新教与学模式，</w:t>
            </w:r>
            <w:r>
              <w:rPr>
                <w:rFonts w:ascii="仿宋_GB2312" w:hAnsi="仿宋_GB2312" w:eastAsia="仿宋_GB2312" w:cs="仿宋_GB2312"/>
                <w:b w:val="0"/>
                <w:bCs w:val="0"/>
                <w:color w:val="000000"/>
                <w:kern w:val="0"/>
                <w:sz w:val="21"/>
                <w:szCs w:val="21"/>
              </w:rPr>
              <w:t xml:space="preserve"> 为教师减负和赋能的情况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20</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Merge w:val="continue"/>
            <w:vAlign w:val="center"/>
          </w:tcPr>
          <w:p>
            <w:pPr>
              <w:spacing w:line="240" w:lineRule="auto"/>
              <w:ind w:firstLine="0" w:firstLineChars="0"/>
              <w:rPr>
                <w:rFonts w:ascii="仿宋_GB2312" w:hAnsi="仿宋_GB2312" w:eastAsia="仿宋_GB2312" w:cs="仿宋_GB2312"/>
                <w:b w:val="0"/>
                <w:bCs w:val="0"/>
                <w:color w:val="000000"/>
                <w:kern w:val="0"/>
                <w:sz w:val="21"/>
                <w:szCs w:val="21"/>
              </w:rPr>
            </w:pPr>
          </w:p>
        </w:tc>
        <w:tc>
          <w:tcPr>
            <w:tcW w:w="2268" w:type="dxa"/>
            <w:vMerge w:val="continue"/>
            <w:vAlign w:val="center"/>
          </w:tcPr>
          <w:p>
            <w:pPr>
              <w:spacing w:line="240" w:lineRule="auto"/>
              <w:ind w:firstLine="0" w:firstLineChars="0"/>
              <w:rPr>
                <w:rFonts w:ascii="仿宋_GB2312" w:hAnsi="仿宋_GB2312" w:eastAsia="仿宋_GB2312" w:cs="仿宋_GB2312"/>
                <w:b w:val="0"/>
                <w:bCs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21</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ascii="仿宋_GB2312" w:hAnsi="仿宋_GB2312" w:eastAsia="仿宋_GB2312" w:cs="仿宋_GB2312"/>
                <w:b w:val="0"/>
                <w:bCs w:val="0"/>
                <w:color w:val="000000"/>
                <w:kern w:val="0"/>
                <w:sz w:val="21"/>
                <w:szCs w:val="21"/>
              </w:rPr>
              <w:t>推广应用教师</w:t>
            </w:r>
            <w:r>
              <w:rPr>
                <w:rFonts w:hint="eastAsia" w:ascii="仿宋_GB2312" w:hAnsi="仿宋_GB2312" w:eastAsia="仿宋_GB2312" w:cs="仿宋_GB2312"/>
                <w:b w:val="0"/>
                <w:bCs/>
                <w:color w:val="000000"/>
                <w:kern w:val="0"/>
                <w:sz w:val="21"/>
                <w:szCs w:val="21"/>
              </w:rPr>
              <w:t>智能助手（平台、系统、资源、工具等），提升教师作业设计点评、命题能力，减轻学生作业负担</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服务地方通过智能平台系统，提高教师作业设计点评、命题能力的情况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22</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推广应用智能教师研修，包括智能研修平台建设、数字资源建设、研训一体化创新、智能诊断测评等</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服务地方推进人工智能+教师研修建设与应用情况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23</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依托智能教育平台系统，推进人人协同、人机协同的“三个课堂”应用，解决区域、学校、城乡教育不均衡难题，探索缓解教师编制供给不足的新路径</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color w:val="000000"/>
                <w:kern w:val="0"/>
                <w:sz w:val="21"/>
                <w:szCs w:val="21"/>
              </w:rPr>
              <w:t>服务地方基于智能技术的“三个课堂”应用模式及成效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24</w:t>
            </w:r>
          </w:p>
        </w:tc>
        <w:tc>
          <w:tcPr>
            <w:tcW w:w="1271" w:type="dxa"/>
            <w:vMerge w:val="continue"/>
            <w:vAlign w:val="center"/>
          </w:tcPr>
          <w:p>
            <w:pPr>
              <w:spacing w:line="240" w:lineRule="auto"/>
              <w:ind w:firstLine="0" w:firstLineChars="0"/>
              <w:jc w:val="center"/>
              <w:rPr>
                <w:rFonts w:ascii="仿宋_GB2312" w:hAnsi="仿宋_GB2312" w:eastAsia="仿宋_GB2312" w:cs="仿宋_GB2312"/>
                <w:color w:val="000000"/>
                <w:kern w:val="0"/>
                <w:sz w:val="21"/>
                <w:szCs w:val="21"/>
              </w:rPr>
            </w:pPr>
          </w:p>
        </w:tc>
        <w:tc>
          <w:tcPr>
            <w:tcW w:w="4254"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服务地方校长、教师智能教育素养提升培训</w:t>
            </w:r>
          </w:p>
        </w:tc>
        <w:tc>
          <w:tcPr>
            <w:tcW w:w="2268" w:type="dxa"/>
            <w:vAlign w:val="center"/>
          </w:tcPr>
          <w:p>
            <w:pPr>
              <w:spacing w:line="240" w:lineRule="auto"/>
              <w:ind w:firstLine="0" w:firstLineChars="0"/>
              <w:rPr>
                <w:rFonts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服务地方校长、教师智能教育素养提升培训情况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707" w:type="dxa"/>
            <w:vAlign w:val="center"/>
          </w:tcPr>
          <w:p>
            <w:pPr>
              <w:keepNext w:val="0"/>
              <w:keepLines w:val="0"/>
              <w:pageBreakBefore w:val="0"/>
              <w:widowControl w:val="0"/>
              <w:numPr>
                <w:ilvl w:val="0"/>
                <w:numId w:val="0"/>
              </w:numPr>
              <w:tabs>
                <w:tab w:val="left" w:pos="313"/>
              </w:tabs>
              <w:kinsoku/>
              <w:wordWrap/>
              <w:overflowPunct/>
              <w:topLinePunct w:val="0"/>
              <w:autoSpaceDE/>
              <w:autoSpaceDN/>
              <w:bidi w:val="0"/>
              <w:adjustRightInd/>
              <w:snapToGrid/>
              <w:spacing w:line="240" w:lineRule="auto"/>
              <w:ind w:left="0" w:leftChars="0" w:firstLine="0" w:firstLineChars="0"/>
              <w:jc w:val="center"/>
              <w:textAlignment w:val="auto"/>
              <w:rPr>
                <w:rFonts w:ascii="仿宋_GB2312" w:hAnsi="仿宋_GB2312" w:eastAsia="仿宋_GB2312" w:cs="仿宋_GB2312"/>
                <w:color w:val="000000"/>
                <w:kern w:val="0"/>
                <w:sz w:val="21"/>
                <w:szCs w:val="21"/>
              </w:rPr>
            </w:pPr>
            <w:r>
              <w:rPr>
                <w:rFonts w:hint="eastAsia" w:ascii="Times New Roman" w:hAnsi="Times New Roman" w:cs="Times New Roman"/>
                <w:color w:val="000000"/>
                <w:kern w:val="0"/>
                <w:sz w:val="21"/>
                <w:szCs w:val="21"/>
                <w:lang w:val="en-US" w:eastAsia="zh-CN"/>
              </w:rPr>
              <w:t>25</w:t>
            </w:r>
          </w:p>
        </w:tc>
        <w:tc>
          <w:tcPr>
            <w:tcW w:w="1271" w:type="dxa"/>
            <w:vAlign w:val="center"/>
          </w:tcPr>
          <w:p>
            <w:pPr>
              <w:spacing w:line="240" w:lineRule="auto"/>
              <w:ind w:firstLine="0" w:firstLineChars="0"/>
              <w:jc w:val="center"/>
              <w:rPr>
                <w:rFonts w:ascii="仿宋_GB2312" w:hAnsi="仿宋_GB2312" w:eastAsia="仿宋_GB2312" w:cs="仿宋_GB2312"/>
                <w:color w:val="000000"/>
                <w:kern w:val="0"/>
                <w:sz w:val="21"/>
                <w:szCs w:val="21"/>
              </w:rPr>
            </w:pPr>
            <w:r>
              <w:rPr>
                <w:rFonts w:hint="eastAsia" w:ascii="仿宋_GB2312" w:hAnsi="仿宋_GB2312" w:eastAsia="仿宋_GB2312" w:cs="仿宋_GB2312"/>
                <w:b/>
                <w:bCs/>
                <w:color w:val="000000"/>
                <w:kern w:val="0"/>
                <w:sz w:val="21"/>
                <w:szCs w:val="21"/>
              </w:rPr>
              <w:t>特色创新</w:t>
            </w:r>
          </w:p>
        </w:tc>
        <w:tc>
          <w:tcPr>
            <w:tcW w:w="4254" w:type="dxa"/>
            <w:vAlign w:val="center"/>
          </w:tcPr>
          <w:p>
            <w:pPr>
              <w:spacing w:line="240" w:lineRule="auto"/>
              <w:ind w:firstLine="0" w:firstLineChars="0"/>
              <w:rPr>
                <w:rFonts w:ascii="仿宋_GB2312" w:hAnsi="仿宋_GB2312" w:eastAsia="仿宋_GB2312" w:cs="仿宋_GB2312"/>
                <w:color w:val="000000"/>
                <w:kern w:val="0"/>
                <w:sz w:val="21"/>
                <w:szCs w:val="21"/>
              </w:rPr>
            </w:pPr>
            <w:r>
              <w:rPr>
                <w:rFonts w:ascii="仿宋_GB2312" w:hAnsi="仿宋_GB2312" w:eastAsia="仿宋_GB2312" w:cs="仿宋_GB2312"/>
                <w:b w:val="0"/>
                <w:bCs w:val="0"/>
                <w:color w:val="000000"/>
                <w:kern w:val="0"/>
                <w:sz w:val="21"/>
                <w:szCs w:val="21"/>
              </w:rPr>
              <w:t>除了上述应用重点和机制创新，本校其他</w:t>
            </w:r>
            <w:r>
              <w:rPr>
                <w:rFonts w:hint="eastAsia" w:ascii="仿宋_GB2312" w:hAnsi="仿宋_GB2312" w:eastAsia="仿宋_GB2312" w:cs="仿宋_GB2312"/>
                <w:b w:val="0"/>
                <w:bCs w:val="0"/>
                <w:color w:val="000000"/>
                <w:kern w:val="0"/>
                <w:sz w:val="21"/>
                <w:szCs w:val="21"/>
              </w:rPr>
              <w:t>与人工智能助推教师队伍建设密切相关的</w:t>
            </w:r>
            <w:r>
              <w:rPr>
                <w:rFonts w:ascii="仿宋_GB2312" w:hAnsi="仿宋_GB2312" w:eastAsia="仿宋_GB2312" w:cs="仿宋_GB2312"/>
                <w:b w:val="0"/>
                <w:bCs w:val="0"/>
                <w:color w:val="000000"/>
                <w:kern w:val="0"/>
                <w:sz w:val="21"/>
                <w:szCs w:val="21"/>
              </w:rPr>
              <w:t>特色创新可拓展</w:t>
            </w:r>
            <w:r>
              <w:rPr>
                <w:rFonts w:hint="eastAsia" w:ascii="仿宋_GB2312" w:hAnsi="仿宋_GB2312" w:eastAsia="仿宋_GB2312" w:cs="仿宋_GB2312"/>
                <w:b w:val="0"/>
                <w:bCs w:val="0"/>
                <w:color w:val="000000"/>
                <w:kern w:val="0"/>
                <w:sz w:val="21"/>
                <w:szCs w:val="21"/>
              </w:rPr>
              <w:t>说明</w:t>
            </w:r>
          </w:p>
        </w:tc>
        <w:tc>
          <w:tcPr>
            <w:tcW w:w="2268" w:type="dxa"/>
            <w:vAlign w:val="center"/>
          </w:tcPr>
          <w:p>
            <w:pPr>
              <w:spacing w:line="240" w:lineRule="auto"/>
              <w:ind w:firstLine="0" w:firstLineChars="0"/>
              <w:rPr>
                <w:rFonts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自定义</w:t>
            </w:r>
          </w:p>
        </w:tc>
      </w:tr>
    </w:tbl>
    <w:p>
      <w:pPr>
        <w:rPr>
          <w:rFonts w:hint="default"/>
          <w:lang w:val="en-US" w:eastAsia="zh-CN"/>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0" w:leftChars="0" w:firstLine="0" w:firstLineChars="0"/>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 w:hAnsi="仿宋" w:eastAsia="仿宋" w:cs="仿宋"/>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PAGE  \* MERGEFORMAT </w:instrText>
                          </w:r>
                          <w:r>
                            <w:rPr>
                              <w:rFonts w:hint="eastAsia" w:ascii="仿宋" w:hAnsi="仿宋" w:eastAsia="仿宋" w:cs="仿宋"/>
                              <w:sz w:val="21"/>
                              <w:szCs w:val="21"/>
                            </w:rPr>
                            <w:fldChar w:fldCharType="separate"/>
                          </w:r>
                          <w:r>
                            <w:rPr>
                              <w:rFonts w:hint="eastAsia" w:ascii="仿宋" w:hAnsi="仿宋" w:eastAsia="仿宋" w:cs="仿宋"/>
                              <w:sz w:val="21"/>
                              <w:szCs w:val="21"/>
                            </w:rPr>
                            <w:t>13</w:t>
                          </w:r>
                          <w:r>
                            <w:rPr>
                              <w:rFonts w:hint="eastAsia" w:ascii="仿宋" w:hAnsi="仿宋" w:eastAsia="仿宋" w:cs="仿宋"/>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6"/>
                      <w:rPr>
                        <w:rFonts w:hint="eastAsia" w:ascii="仿宋" w:hAnsi="仿宋" w:eastAsia="仿宋" w:cs="仿宋"/>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PAGE  \* MERGEFORMAT </w:instrText>
                    </w:r>
                    <w:r>
                      <w:rPr>
                        <w:rFonts w:hint="eastAsia" w:ascii="仿宋" w:hAnsi="仿宋" w:eastAsia="仿宋" w:cs="仿宋"/>
                        <w:sz w:val="21"/>
                        <w:szCs w:val="21"/>
                      </w:rPr>
                      <w:fldChar w:fldCharType="separate"/>
                    </w:r>
                    <w:r>
                      <w:rPr>
                        <w:rFonts w:hint="eastAsia" w:ascii="仿宋" w:hAnsi="仿宋" w:eastAsia="仿宋" w:cs="仿宋"/>
                        <w:sz w:val="21"/>
                        <w:szCs w:val="21"/>
                      </w:rPr>
                      <w:t>13</w:t>
                    </w:r>
                    <w:r>
                      <w:rPr>
                        <w:rFonts w:hint="eastAsia" w:ascii="仿宋" w:hAnsi="仿宋" w:eastAsia="仿宋" w:cs="仿宋"/>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CA5858"/>
    <w:multiLevelType w:val="multilevel"/>
    <w:tmpl w:val="29CA5858"/>
    <w:lvl w:ilvl="0" w:tentative="0">
      <w:start w:val="1"/>
      <w:numFmt w:val="japaneseCounting"/>
      <w:pStyle w:val="17"/>
      <w:suff w:val="nothing"/>
      <w:lvlText w:val="%1、"/>
      <w:lvlJc w:val="left"/>
      <w:pPr>
        <w:ind w:left="397" w:hanging="397"/>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2D145629"/>
    <w:rsid w:val="00D979B2"/>
    <w:rsid w:val="02523BCB"/>
    <w:rsid w:val="037E7992"/>
    <w:rsid w:val="04BD57B6"/>
    <w:rsid w:val="07982873"/>
    <w:rsid w:val="07B47CD1"/>
    <w:rsid w:val="08752E31"/>
    <w:rsid w:val="0C210853"/>
    <w:rsid w:val="0DF353DA"/>
    <w:rsid w:val="0F486821"/>
    <w:rsid w:val="0F543075"/>
    <w:rsid w:val="128F1539"/>
    <w:rsid w:val="12DE7825"/>
    <w:rsid w:val="130F6DFF"/>
    <w:rsid w:val="14117786"/>
    <w:rsid w:val="17C25C94"/>
    <w:rsid w:val="185F1720"/>
    <w:rsid w:val="18A21028"/>
    <w:rsid w:val="1BCA4DEA"/>
    <w:rsid w:val="1C8411D0"/>
    <w:rsid w:val="1DB16E11"/>
    <w:rsid w:val="1F346F72"/>
    <w:rsid w:val="20FF3AAE"/>
    <w:rsid w:val="227A1CCB"/>
    <w:rsid w:val="238A76AF"/>
    <w:rsid w:val="256A4E4D"/>
    <w:rsid w:val="25980075"/>
    <w:rsid w:val="27CE7A10"/>
    <w:rsid w:val="28100FEB"/>
    <w:rsid w:val="28B031D3"/>
    <w:rsid w:val="299A15EF"/>
    <w:rsid w:val="2A261D85"/>
    <w:rsid w:val="2A4103AF"/>
    <w:rsid w:val="2B076C85"/>
    <w:rsid w:val="2BC51433"/>
    <w:rsid w:val="2C9D6B5A"/>
    <w:rsid w:val="2D145629"/>
    <w:rsid w:val="2E246D9C"/>
    <w:rsid w:val="30B86643"/>
    <w:rsid w:val="318F1FBE"/>
    <w:rsid w:val="341F09A6"/>
    <w:rsid w:val="35F9034E"/>
    <w:rsid w:val="38926838"/>
    <w:rsid w:val="39705425"/>
    <w:rsid w:val="39AB528F"/>
    <w:rsid w:val="3AFF6F4C"/>
    <w:rsid w:val="3B5908DC"/>
    <w:rsid w:val="3B9E4985"/>
    <w:rsid w:val="3D404E3E"/>
    <w:rsid w:val="3F6777AD"/>
    <w:rsid w:val="404527D9"/>
    <w:rsid w:val="40662A84"/>
    <w:rsid w:val="40B90226"/>
    <w:rsid w:val="4140041C"/>
    <w:rsid w:val="416318D6"/>
    <w:rsid w:val="416C1A1D"/>
    <w:rsid w:val="444035EC"/>
    <w:rsid w:val="45C3390E"/>
    <w:rsid w:val="460B7968"/>
    <w:rsid w:val="467712F2"/>
    <w:rsid w:val="46DC3139"/>
    <w:rsid w:val="478B2A70"/>
    <w:rsid w:val="48E83A58"/>
    <w:rsid w:val="4B95046D"/>
    <w:rsid w:val="4C574FB7"/>
    <w:rsid w:val="4DD42370"/>
    <w:rsid w:val="4E4C3373"/>
    <w:rsid w:val="4F8C5C38"/>
    <w:rsid w:val="507D463B"/>
    <w:rsid w:val="52290BAC"/>
    <w:rsid w:val="531D4429"/>
    <w:rsid w:val="54FA6277"/>
    <w:rsid w:val="557E54D7"/>
    <w:rsid w:val="562514C4"/>
    <w:rsid w:val="5826332C"/>
    <w:rsid w:val="59060FBD"/>
    <w:rsid w:val="5ABA1AE9"/>
    <w:rsid w:val="5BFD0166"/>
    <w:rsid w:val="64415807"/>
    <w:rsid w:val="65DD16A8"/>
    <w:rsid w:val="66C21EB6"/>
    <w:rsid w:val="6E072901"/>
    <w:rsid w:val="72220C8F"/>
    <w:rsid w:val="73B60595"/>
    <w:rsid w:val="75C12BF5"/>
    <w:rsid w:val="769440E5"/>
    <w:rsid w:val="7DC96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keepNext w:val="0"/>
      <w:keepLines w:val="0"/>
      <w:spacing w:beforeLines="0" w:beforeAutospacing="0" w:afterLines="0" w:afterAutospacing="0" w:line="560" w:lineRule="exact"/>
      <w:outlineLvl w:val="0"/>
    </w:pPr>
    <w:rPr>
      <w:rFonts w:eastAsia="黑体"/>
      <w:kern w:val="44"/>
    </w:rPr>
  </w:style>
  <w:style w:type="paragraph" w:styleId="3">
    <w:name w:val="heading 2"/>
    <w:basedOn w:val="1"/>
    <w:next w:val="1"/>
    <w:semiHidden/>
    <w:unhideWhenUsed/>
    <w:qFormat/>
    <w:uiPriority w:val="0"/>
    <w:pPr>
      <w:keepNext w:val="0"/>
      <w:keepLines w:val="0"/>
      <w:spacing w:beforeLines="0" w:beforeAutospacing="0" w:afterLines="0" w:afterAutospacing="0" w:line="560" w:lineRule="exact"/>
      <w:outlineLvl w:val="1"/>
    </w:pPr>
    <w:rPr>
      <w:rFonts w:eastAsia="楷体_GB2312"/>
      <w:b/>
    </w:rPr>
  </w:style>
  <w:style w:type="paragraph" w:styleId="4">
    <w:name w:val="heading 3"/>
    <w:basedOn w:val="1"/>
    <w:next w:val="1"/>
    <w:semiHidden/>
    <w:unhideWhenUsed/>
    <w:qFormat/>
    <w:uiPriority w:val="0"/>
    <w:pPr>
      <w:keepNext w:val="0"/>
      <w:keepLines w:val="0"/>
      <w:spacing w:beforeLines="0" w:beforeAutospacing="0" w:afterLines="0" w:afterAutospacing="0" w:line="560" w:lineRule="exact"/>
      <w:outlineLvl w:val="2"/>
    </w:pPr>
    <w:rPr>
      <w:b/>
    </w:rPr>
  </w:style>
  <w:style w:type="paragraph" w:styleId="5">
    <w:name w:val="heading 4"/>
    <w:basedOn w:val="1"/>
    <w:next w:val="1"/>
    <w:semiHidden/>
    <w:unhideWhenUsed/>
    <w:qFormat/>
    <w:uiPriority w:val="0"/>
    <w:pPr>
      <w:keepNext w:val="0"/>
      <w:keepLines w:val="0"/>
      <w:spacing w:beforeLines="0" w:beforeAutospacing="0" w:afterLines="0" w:afterAutospacing="0" w:line="560" w:lineRule="exact"/>
      <w:outlineLvl w:val="3"/>
    </w:p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footer"/>
    <w:basedOn w:val="1"/>
    <w:unhideWhenUsed/>
    <w:qFormat/>
    <w:uiPriority w:val="99"/>
    <w:pPr>
      <w:widowControl/>
      <w:tabs>
        <w:tab w:val="center" w:pos="4153"/>
        <w:tab w:val="right" w:pos="8306"/>
      </w:tabs>
      <w:snapToGrid w:val="0"/>
      <w:spacing w:after="160"/>
      <w:jc w:val="left"/>
    </w:pPr>
    <w:rPr>
      <w:rFonts w:ascii="Calibri" w:hAnsi="Calibri" w:eastAsia="Calibri" w:cs="Calibri"/>
      <w:color w:val="000000"/>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Hyperlink"/>
    <w:basedOn w:val="11"/>
    <w:qFormat/>
    <w:uiPriority w:val="0"/>
    <w:rPr>
      <w:color w:val="0000FF"/>
      <w:u w:val="single"/>
    </w:rPr>
  </w:style>
  <w:style w:type="paragraph" w:customStyle="1" w:styleId="14">
    <w:name w:val="大标题"/>
    <w:basedOn w:val="1"/>
    <w:next w:val="1"/>
    <w:qFormat/>
    <w:uiPriority w:val="0"/>
    <w:pPr>
      <w:spacing w:line="560" w:lineRule="exact"/>
      <w:ind w:firstLine="0" w:firstLineChars="0"/>
      <w:jc w:val="center"/>
    </w:pPr>
    <w:rPr>
      <w:rFonts w:eastAsia="方正小标宋简体" w:cs="Times New Roman"/>
      <w:sz w:val="44"/>
    </w:rPr>
  </w:style>
  <w:style w:type="paragraph" w:customStyle="1" w:styleId="15">
    <w:name w:val="署名样式"/>
    <w:basedOn w:val="1"/>
    <w:next w:val="1"/>
    <w:qFormat/>
    <w:uiPriority w:val="0"/>
    <w:pPr>
      <w:ind w:firstLine="0" w:firstLineChars="0"/>
      <w:jc w:val="center"/>
    </w:pPr>
    <w:rPr>
      <w:rFonts w:eastAsia="楷体_GB2312"/>
    </w:rPr>
  </w:style>
  <w:style w:type="paragraph" w:customStyle="1" w:styleId="16">
    <w:name w:val="附件"/>
    <w:basedOn w:val="1"/>
    <w:next w:val="1"/>
    <w:qFormat/>
    <w:uiPriority w:val="0"/>
    <w:pPr>
      <w:pageBreakBefore/>
      <w:spacing w:line="560" w:lineRule="exact"/>
      <w:ind w:right="0" w:firstLine="0" w:firstLineChars="0"/>
      <w:jc w:val="left"/>
      <w:outlineLvl w:val="0"/>
    </w:pPr>
    <w:rPr>
      <w:rFonts w:ascii="Times New Roman" w:hAnsi="Times New Roman" w:eastAsia="黑体" w:cs="黑体"/>
      <w:bCs/>
      <w:szCs w:val="32"/>
    </w:rPr>
  </w:style>
  <w:style w:type="paragraph" w:customStyle="1" w:styleId="17">
    <w:name w:val="附件一级"/>
    <w:basedOn w:val="1"/>
    <w:qFormat/>
    <w:uiPriority w:val="0"/>
    <w:pPr>
      <w:keepNext/>
      <w:widowControl/>
      <w:numPr>
        <w:ilvl w:val="0"/>
        <w:numId w:val="1"/>
      </w:numPr>
      <w:spacing w:before="100" w:beforeLines="100" w:after="20" w:afterLines="20" w:line="560" w:lineRule="exact"/>
      <w:ind w:left="0" w:firstLine="0" w:firstLineChars="0"/>
      <w:jc w:val="left"/>
      <w:outlineLvl w:val="2"/>
    </w:pPr>
    <w:rPr>
      <w:rFonts w:ascii="Times New Roman" w:hAnsi="Times New Roman" w:eastAsia="黑体" w:cs="Times New Roman"/>
      <w:bCs/>
      <w:kern w:val="0"/>
      <w:sz w:val="30"/>
      <w:szCs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2023-09-25T00:28:00Z</dcterms:created>
  <dc:creator>raytheon</dc:creator>
  <cp:lastModifiedBy>raytheon</cp:lastModifiedBy>
  <cp:lastPrinted>2023-10-08T00:42:00Z</cp:lastPrinted>
  <dcterms:modified xsi:type="dcterms:W3CDTF">2023-10-08T01:07:14Z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16F1317DF4504BC2989514FC5EA24E53_13</vt:lpwstr>
  </property>
</Properties>
</file>