
<file path=[Content_Types].xml><?xml version="1.0" encoding="utf-8"?>
<Types xmlns="http://schemas.openxmlformats.org/package/2006/content-types">
  <Default Extension="png" ContentType="image/png"/>
  <Default Extension="wdp" ContentType="image/vnd.ms-photo"/>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ascii="方正黑体_GBK" w:hAnsi="方正黑体_GBK" w:eastAsia="方正黑体_GBK" w:cs="方正黑体_GBK"/>
          <w:sz w:val="32"/>
          <w:szCs w:val="32"/>
          <w:lang w:eastAsia="zh-CN"/>
        </w:rPr>
      </w:pPr>
      <w:bookmarkStart w:id="0" w:name="_Hlk136975542"/>
      <w:r>
        <w:rPr>
          <w:rFonts w:hint="eastAsia" w:ascii="方正黑体_GBK" w:hAnsi="方正黑体_GBK" w:eastAsia="方正黑体_GBK" w:cs="方正黑体_GBK"/>
          <w:sz w:val="32"/>
          <w:szCs w:val="32"/>
          <w:lang w:eastAsia="zh-CN"/>
        </w:rPr>
        <w:t>附件</w:t>
      </w:r>
    </w:p>
    <w:p>
      <w:pPr>
        <w:pStyle w:val="2"/>
      </w:pPr>
    </w:p>
    <w:p>
      <w:pPr>
        <w:pStyle w:val="2"/>
      </w:pPr>
    </w:p>
    <w:p>
      <w:pPr>
        <w:pStyle w:val="2"/>
      </w:pPr>
    </w:p>
    <w:p>
      <w:pPr>
        <w:pStyle w:val="2"/>
      </w:pPr>
    </w:p>
    <w:p/>
    <w:p>
      <w:pPr>
        <w:spacing w:line="240" w:lineRule="auto"/>
        <w:jc w:val="center"/>
        <w:rPr>
          <w:rFonts w:ascii="仿宋" w:hAnsi="仿宋" w:eastAsia="仿宋" w:cs="___WRD_EMBED_SUB_45"/>
          <w:b/>
          <w:sz w:val="52"/>
          <w:szCs w:val="52"/>
        </w:rPr>
      </w:pPr>
      <w:bookmarkStart w:id="1" w:name="_Toc40802867"/>
      <w:bookmarkStart w:id="2" w:name="_Toc29992791"/>
      <w:bookmarkStart w:id="3" w:name="_Toc29992599"/>
      <w:r>
        <w:rPr>
          <w:rFonts w:hint="eastAsia" w:ascii="仿宋" w:hAnsi="仿宋" w:eastAsia="仿宋" w:cs="方正小标宋_GBK"/>
          <w:b/>
          <w:sz w:val="52"/>
          <w:szCs w:val="52"/>
        </w:rPr>
        <w:t>海南省中小学</w:t>
      </w:r>
      <w:r>
        <w:rPr>
          <w:rFonts w:hint="eastAsia" w:ascii="仿宋" w:hAnsi="仿宋" w:eastAsia="仿宋" w:cs="宋体"/>
          <w:b/>
          <w:sz w:val="52"/>
          <w:szCs w:val="52"/>
        </w:rPr>
        <w:t>在线互动</w:t>
      </w:r>
      <w:r>
        <w:rPr>
          <w:rFonts w:hint="eastAsia" w:ascii="仿宋" w:hAnsi="仿宋" w:eastAsia="仿宋" w:cs="___WRD_EMBED_SUB_45"/>
          <w:b/>
          <w:sz w:val="52"/>
          <w:szCs w:val="52"/>
        </w:rPr>
        <w:t>教室</w:t>
      </w:r>
    </w:p>
    <w:p>
      <w:pPr>
        <w:spacing w:line="240" w:lineRule="auto"/>
        <w:jc w:val="center"/>
        <w:rPr>
          <w:rFonts w:ascii="仿宋" w:hAnsi="仿宋" w:eastAsia="仿宋" w:cs="___WRD_EMBED_SUB_45"/>
          <w:b/>
          <w:sz w:val="52"/>
          <w:szCs w:val="52"/>
        </w:rPr>
      </w:pPr>
      <w:r>
        <w:rPr>
          <w:rFonts w:hint="eastAsia" w:ascii="仿宋" w:hAnsi="仿宋" w:eastAsia="仿宋" w:cs="宋体"/>
          <w:b/>
          <w:sz w:val="52"/>
          <w:szCs w:val="52"/>
        </w:rPr>
        <w:t>建</w:t>
      </w:r>
      <w:r>
        <w:rPr>
          <w:rFonts w:hint="eastAsia" w:ascii="仿宋" w:hAnsi="仿宋" w:eastAsia="仿宋" w:cs="___WRD_EMBED_SUB_45"/>
          <w:b/>
          <w:sz w:val="52"/>
          <w:szCs w:val="52"/>
        </w:rPr>
        <w:t>设</w:t>
      </w:r>
      <w:r>
        <w:rPr>
          <w:rFonts w:hint="eastAsia" w:ascii="仿宋" w:hAnsi="仿宋" w:eastAsia="仿宋" w:cs="宋体"/>
          <w:b/>
          <w:sz w:val="52"/>
          <w:szCs w:val="52"/>
        </w:rPr>
        <w:t>与应用指南</w:t>
      </w:r>
    </w:p>
    <w:bookmarkEnd w:id="1"/>
    <w:bookmarkEnd w:id="2"/>
    <w:bookmarkEnd w:id="3"/>
    <w:p>
      <w:pPr>
        <w:jc w:val="center"/>
        <w:rPr>
          <w:rFonts w:hint="eastAsia" w:ascii="仿宋" w:hAnsi="仿宋" w:eastAsia="仿宋"/>
          <w:b/>
          <w:bCs/>
          <w:sz w:val="44"/>
          <w:szCs w:val="44"/>
          <w:lang w:eastAsia="zh-CN"/>
        </w:rPr>
      </w:pPr>
      <w:r>
        <w:rPr>
          <w:rFonts w:hint="eastAsia" w:ascii="仿宋" w:hAnsi="仿宋" w:eastAsia="仿宋"/>
          <w:b/>
          <w:bCs/>
          <w:sz w:val="44"/>
          <w:szCs w:val="44"/>
          <w:lang w:eastAsia="zh-CN"/>
        </w:rPr>
        <w:t>（试　行）</w:t>
      </w:r>
    </w:p>
    <w:p>
      <w:pPr>
        <w:jc w:val="center"/>
        <w:rPr>
          <w:rFonts w:ascii="仿宋" w:hAnsi="仿宋" w:eastAsia="仿宋"/>
          <w:sz w:val="44"/>
          <w:szCs w:val="44"/>
        </w:rPr>
      </w:pPr>
    </w:p>
    <w:p>
      <w:pPr>
        <w:rPr>
          <w:rFonts w:ascii="仿宋" w:hAnsi="仿宋" w:eastAsia="仿宋"/>
        </w:rPr>
      </w:pPr>
    </w:p>
    <w:p>
      <w:pPr>
        <w:jc w:val="center"/>
        <w:rPr>
          <w:rFonts w:ascii="仿宋" w:hAnsi="仿宋" w:eastAsia="仿宋"/>
          <w:b/>
          <w:bCs/>
          <w:sz w:val="28"/>
          <w:szCs w:val="28"/>
        </w:rPr>
      </w:pPr>
    </w:p>
    <w:p>
      <w:pPr>
        <w:pStyle w:val="2"/>
        <w:rPr>
          <w:rFonts w:ascii="仿宋" w:hAnsi="仿宋" w:eastAsia="仿宋"/>
          <w:b/>
          <w:bCs/>
          <w:sz w:val="28"/>
          <w:szCs w:val="28"/>
        </w:rPr>
      </w:pPr>
      <w:bookmarkStart w:id="278" w:name="_GoBack"/>
      <w:bookmarkEnd w:id="278"/>
    </w:p>
    <w:p>
      <w:pPr>
        <w:jc w:val="center"/>
        <w:rPr>
          <w:rFonts w:ascii="仿宋" w:hAnsi="仿宋" w:eastAsia="仿宋"/>
          <w:b/>
          <w:bCs/>
          <w:sz w:val="28"/>
          <w:szCs w:val="28"/>
        </w:rPr>
      </w:pPr>
    </w:p>
    <w:p>
      <w:pPr>
        <w:jc w:val="center"/>
        <w:rPr>
          <w:rFonts w:ascii="仿宋" w:hAnsi="仿宋" w:eastAsia="仿宋"/>
          <w:b/>
          <w:bCs/>
          <w:sz w:val="28"/>
          <w:szCs w:val="28"/>
        </w:rPr>
      </w:pPr>
    </w:p>
    <w:p>
      <w:pPr>
        <w:jc w:val="center"/>
        <w:rPr>
          <w:rFonts w:ascii="仿宋" w:hAnsi="仿宋" w:eastAsia="仿宋"/>
          <w:b/>
          <w:bCs/>
          <w:sz w:val="28"/>
          <w:szCs w:val="28"/>
        </w:rPr>
      </w:pPr>
    </w:p>
    <w:p>
      <w:pPr>
        <w:pStyle w:val="2"/>
        <w:jc w:val="center"/>
        <w:rPr>
          <w:sz w:val="28"/>
          <w:szCs w:val="28"/>
        </w:rPr>
      </w:pPr>
      <w:r>
        <w:rPr>
          <w:rFonts w:hint="eastAsia"/>
          <w:sz w:val="28"/>
          <w:szCs w:val="28"/>
        </w:rPr>
        <w:t>海南省教育厅</w:t>
      </w:r>
    </w:p>
    <w:p>
      <w:pPr>
        <w:jc w:val="center"/>
        <w:rPr>
          <w:rFonts w:ascii="Times New Roman" w:hAnsi="Times New Roman" w:eastAsia="仿宋"/>
          <w:b/>
          <w:bCs/>
          <w:sz w:val="28"/>
          <w:szCs w:val="28"/>
        </w:rPr>
      </w:pPr>
      <w:r>
        <w:rPr>
          <w:rFonts w:ascii="Times New Roman" w:hAnsi="Times New Roman" w:eastAsia="仿宋"/>
          <w:b/>
          <w:bCs/>
          <w:sz w:val="28"/>
          <w:szCs w:val="28"/>
        </w:rPr>
        <w:t>2023</w:t>
      </w:r>
      <w:r>
        <w:rPr>
          <w:rFonts w:hint="eastAsia" w:ascii="Times New Roman" w:hAnsi="Times New Roman" w:eastAsia="仿宋"/>
          <w:b/>
          <w:bCs/>
          <w:sz w:val="28"/>
          <w:szCs w:val="28"/>
        </w:rPr>
        <w:t>年12月</w:t>
      </w:r>
    </w:p>
    <w:p>
      <w:pPr>
        <w:spacing w:after="0" w:line="360" w:lineRule="auto"/>
        <w:jc w:val="center"/>
        <w:rPr>
          <w:lang w:val="zh-CN"/>
        </w:rPr>
      </w:pPr>
    </w:p>
    <w:sdt>
      <w:sdtPr>
        <w:rPr>
          <w:lang w:val="zh-CN"/>
        </w:rPr>
        <w:id w:val="485833909"/>
        <w:docPartObj>
          <w:docPartGallery w:val="Table of Contents"/>
          <w:docPartUnique/>
        </w:docPartObj>
      </w:sdtPr>
      <w:sdtEndPr>
        <w:rPr>
          <w:rFonts w:ascii="仿宋" w:hAnsi="仿宋" w:eastAsia="仿宋"/>
          <w:sz w:val="28"/>
          <w:szCs w:val="28"/>
          <w:lang w:val="en-US"/>
        </w:rPr>
      </w:sdtEndPr>
      <w:sdtContent>
        <w:p>
          <w:pPr>
            <w:spacing w:after="0" w:line="360" w:lineRule="auto"/>
            <w:jc w:val="center"/>
            <w:rPr>
              <w:rFonts w:ascii="Times New Roman" w:hAnsi="Times New Roman" w:eastAsia="黑体"/>
              <w:b/>
              <w:bCs/>
            </w:rPr>
          </w:pPr>
          <w:r>
            <w:rPr>
              <w:rFonts w:ascii="Times New Roman" w:hAnsi="Times New Roman" w:eastAsia="黑体"/>
              <w:b/>
              <w:bCs/>
              <w:sz w:val="32"/>
              <w:szCs w:val="32"/>
              <w:lang w:val="zh-CN"/>
            </w:rPr>
            <w:t>目  录</w:t>
          </w:r>
        </w:p>
        <w:p>
          <w:pPr>
            <w:pStyle w:val="14"/>
            <w:tabs>
              <w:tab w:val="right" w:leader="dot" w:pos="8306"/>
              <w:tab w:val="clear" w:pos="8296"/>
            </w:tabs>
            <w:spacing w:line="440" w:lineRule="exact"/>
            <w:rPr>
              <w:rFonts w:ascii="Times New Roman" w:hAnsi="Times New Roman"/>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r>
            <w:fldChar w:fldCharType="begin"/>
          </w:r>
          <w:r>
            <w:instrText xml:space="preserve"> HYPERLINK \l "_Toc6696" </w:instrText>
          </w:r>
          <w:r>
            <w:fldChar w:fldCharType="separate"/>
          </w:r>
          <w:r>
            <w:rPr>
              <w:rFonts w:hint="eastAsia" w:ascii="Times New Roman" w:hAnsi="Times New Roman" w:eastAsia="黑体"/>
              <w:szCs w:val="30"/>
            </w:rPr>
            <w:t>一、总体目标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_Toc6696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pPr>
            <w:pStyle w:val="14"/>
            <w:tabs>
              <w:tab w:val="right" w:leader="dot" w:pos="8306"/>
              <w:tab w:val="clear" w:pos="8296"/>
            </w:tabs>
            <w:spacing w:line="440" w:lineRule="exact"/>
            <w:rPr>
              <w:rFonts w:ascii="Times New Roman" w:hAnsi="Times New Roman"/>
            </w:rPr>
          </w:pPr>
          <w:r>
            <w:fldChar w:fldCharType="begin"/>
          </w:r>
          <w:r>
            <w:instrText xml:space="preserve"> HYPERLINK \l "_Toc19901" </w:instrText>
          </w:r>
          <w:r>
            <w:fldChar w:fldCharType="separate"/>
          </w:r>
          <w:r>
            <w:rPr>
              <w:rFonts w:hint="eastAsia" w:ascii="Times New Roman" w:hAnsi="Times New Roman" w:eastAsia="黑体"/>
              <w:szCs w:val="30"/>
            </w:rPr>
            <w:t>二、基本原则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_Toc19901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440"/>
            <w:rPr>
              <w:rFonts w:ascii="Times New Roman" w:hAnsi="Times New Roman"/>
            </w:rPr>
          </w:pPr>
          <w:r>
            <w:fldChar w:fldCharType="begin"/>
          </w:r>
          <w:r>
            <w:instrText xml:space="preserve"> HYPERLINK \l "_Toc15187" </w:instrText>
          </w:r>
          <w:r>
            <w:fldChar w:fldCharType="separate"/>
          </w:r>
          <w:r>
            <w:rPr>
              <w:rFonts w:hint="eastAsia" w:ascii="Times New Roman" w:hAnsi="Times New Roman" w:eastAsia="黑体"/>
              <w:szCs w:val="28"/>
            </w:rPr>
            <w:t>（一）问题导向、常态应用</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_Toc15187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440"/>
            <w:rPr>
              <w:rFonts w:ascii="Times New Roman" w:hAnsi="Times New Roman"/>
            </w:rPr>
          </w:pPr>
          <w:r>
            <w:fldChar w:fldCharType="begin"/>
          </w:r>
          <w:r>
            <w:instrText xml:space="preserve"> HYPERLINK \l "_Toc23362" </w:instrText>
          </w:r>
          <w:r>
            <w:fldChar w:fldCharType="separate"/>
          </w:r>
          <w:r>
            <w:rPr>
              <w:rFonts w:hint="eastAsia" w:ascii="Times New Roman" w:hAnsi="Times New Roman" w:eastAsia="黑体"/>
              <w:szCs w:val="28"/>
            </w:rPr>
            <w:t>（二）系统集成、融合创新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_Toc23362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pPr>
            <w:pStyle w:val="14"/>
            <w:tabs>
              <w:tab w:val="right" w:leader="dot" w:pos="8306"/>
              <w:tab w:val="clear" w:pos="8296"/>
            </w:tabs>
            <w:spacing w:line="440" w:lineRule="exact"/>
            <w:rPr>
              <w:rFonts w:ascii="Times New Roman" w:hAnsi="Times New Roman"/>
            </w:rPr>
          </w:pPr>
          <w:r>
            <w:fldChar w:fldCharType="begin"/>
          </w:r>
          <w:r>
            <w:instrText xml:space="preserve"> HYPERLINK \l "_Toc31822" </w:instrText>
          </w:r>
          <w:r>
            <w:fldChar w:fldCharType="separate"/>
          </w:r>
          <w:r>
            <w:rPr>
              <w:rFonts w:hint="eastAsia" w:ascii="Times New Roman" w:hAnsi="Times New Roman" w:eastAsia="黑体"/>
              <w:szCs w:val="30"/>
            </w:rPr>
            <w:t>三、在线互动教室建设方案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_Toc31822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440"/>
            <w:rPr>
              <w:rFonts w:ascii="Times New Roman" w:hAnsi="Times New Roman"/>
            </w:rPr>
          </w:pPr>
          <w:r>
            <w:fldChar w:fldCharType="begin"/>
          </w:r>
          <w:r>
            <w:instrText xml:space="preserve"> HYPERLINK \l "_Toc9677" </w:instrText>
          </w:r>
          <w:r>
            <w:fldChar w:fldCharType="separate"/>
          </w:r>
          <w:r>
            <w:rPr>
              <w:rFonts w:hint="eastAsia" w:ascii="Times New Roman" w:hAnsi="Times New Roman" w:eastAsia="黑体"/>
              <w:szCs w:val="28"/>
            </w:rPr>
            <w:t>（一）设备配备、布局及功能要求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_Toc9677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"_Toc5595" </w:instrText>
          </w:r>
          <w:r>
            <w:fldChar w:fldCharType="separate"/>
          </w:r>
          <w:r>
            <w:rPr>
              <w:rFonts w:ascii="Times New Roman" w:hAnsi="Times New Roman"/>
              <w:bCs/>
              <w:szCs w:val="28"/>
            </w:rPr>
            <w:t>1.</w:t>
          </w:r>
          <w:r>
            <w:rPr>
              <w:rFonts w:hint="eastAsia" w:ascii="Times New Roman" w:hAnsi="Times New Roman"/>
              <w:bCs/>
              <w:szCs w:val="28"/>
            </w:rPr>
            <w:t>简约直播型方案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_Toc5595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"_Toc2242" </w:instrText>
          </w:r>
          <w:r>
            <w:fldChar w:fldCharType="separate"/>
          </w:r>
          <w:r>
            <w:rPr>
              <w:rFonts w:ascii="Times New Roman" w:hAnsi="Times New Roman"/>
              <w:bCs/>
              <w:szCs w:val="28"/>
            </w:rPr>
            <w:t>2.</w:t>
          </w:r>
          <w:r>
            <w:rPr>
              <w:rFonts w:hint="eastAsia" w:ascii="Times New Roman" w:hAnsi="Times New Roman"/>
              <w:bCs/>
              <w:szCs w:val="28"/>
            </w:rPr>
            <w:t>常规录播型方案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_Toc2242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"_Toc3273" </w:instrText>
          </w:r>
          <w:r>
            <w:fldChar w:fldCharType="separate"/>
          </w:r>
          <w:r>
            <w:rPr>
              <w:rFonts w:ascii="Times New Roman" w:hAnsi="Times New Roman"/>
              <w:bCs/>
              <w:szCs w:val="28"/>
            </w:rPr>
            <w:t>3.</w:t>
          </w:r>
          <w:r>
            <w:rPr>
              <w:rFonts w:hint="eastAsia" w:ascii="Times New Roman" w:hAnsi="Times New Roman"/>
              <w:bCs/>
              <w:szCs w:val="28"/>
            </w:rPr>
            <w:t>移动录播型方案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_Toc3273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440"/>
            <w:rPr>
              <w:rFonts w:ascii="Times New Roman" w:hAnsi="Times New Roman"/>
            </w:rPr>
          </w:pPr>
          <w:r>
            <w:fldChar w:fldCharType="begin"/>
          </w:r>
          <w:r>
            <w:instrText xml:space="preserve"> HYPERLINK \l "_Toc14507" </w:instrText>
          </w:r>
          <w:r>
            <w:fldChar w:fldCharType="separate"/>
          </w:r>
          <w:r>
            <w:rPr>
              <w:rFonts w:hint="eastAsia" w:ascii="Times New Roman" w:hAnsi="Times New Roman" w:eastAsia="黑体"/>
              <w:szCs w:val="28"/>
            </w:rPr>
            <w:t>（二）环境听觉技术要求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_Toc14507 \h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"_Toc25234" </w:instrText>
          </w:r>
          <w:r>
            <w:fldChar w:fldCharType="separate"/>
          </w:r>
          <w:r>
            <w:rPr>
              <w:rFonts w:ascii="Times New Roman" w:hAnsi="Times New Roman"/>
              <w:bCs/>
              <w:szCs w:val="28"/>
            </w:rPr>
            <w:t>1.</w:t>
          </w:r>
          <w:r>
            <w:rPr>
              <w:rFonts w:hint="eastAsia" w:ascii="Times New Roman" w:hAnsi="Times New Roman"/>
              <w:bCs/>
              <w:szCs w:val="28"/>
            </w:rPr>
            <w:t>隔声要求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_Toc25234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"_Toc7145" </w:instrText>
          </w:r>
          <w:r>
            <w:fldChar w:fldCharType="separate"/>
          </w:r>
          <w:r>
            <w:rPr>
              <w:rFonts w:ascii="Times New Roman" w:hAnsi="Times New Roman"/>
              <w:bCs/>
              <w:szCs w:val="28"/>
            </w:rPr>
            <w:t>2.</w:t>
          </w:r>
          <w:r>
            <w:rPr>
              <w:rFonts w:hint="eastAsia" w:ascii="Times New Roman" w:hAnsi="Times New Roman"/>
              <w:bCs/>
              <w:szCs w:val="28"/>
            </w:rPr>
            <w:t>混响要求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_Toc7145 \h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440"/>
            <w:rPr>
              <w:rFonts w:ascii="Times New Roman" w:hAnsi="Times New Roman"/>
            </w:rPr>
          </w:pPr>
          <w:r>
            <w:fldChar w:fldCharType="begin"/>
          </w:r>
          <w:r>
            <w:instrText xml:space="preserve"> HYPERLINK \l "_Toc19378" </w:instrText>
          </w:r>
          <w:r>
            <w:fldChar w:fldCharType="separate"/>
          </w:r>
          <w:r>
            <w:rPr>
              <w:rFonts w:hint="eastAsia" w:ascii="Times New Roman" w:hAnsi="Times New Roman" w:eastAsia="黑体"/>
              <w:szCs w:val="28"/>
            </w:rPr>
            <w:t>（三）管理平台要求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_Toc19378 \h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440"/>
            <w:rPr>
              <w:rFonts w:ascii="Times New Roman" w:hAnsi="Times New Roman"/>
            </w:rPr>
          </w:pPr>
          <w:r>
            <w:fldChar w:fldCharType="begin"/>
          </w:r>
          <w:r>
            <w:instrText xml:space="preserve"> HYPERLINK \l "_Toc26141" </w:instrText>
          </w:r>
          <w:r>
            <w:fldChar w:fldCharType="separate"/>
          </w:r>
          <w:r>
            <w:rPr>
              <w:rFonts w:hint="eastAsia" w:ascii="Times New Roman" w:hAnsi="Times New Roman" w:eastAsia="黑体"/>
              <w:szCs w:val="28"/>
            </w:rPr>
            <w:t>（四）网络带宽要求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_Toc26141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fldChar w:fldCharType="end"/>
          </w:r>
        </w:p>
        <w:p>
          <w:pPr>
            <w:pStyle w:val="14"/>
            <w:tabs>
              <w:tab w:val="right" w:leader="dot" w:pos="8306"/>
              <w:tab w:val="clear" w:pos="8296"/>
            </w:tabs>
            <w:spacing w:line="440" w:lineRule="exact"/>
            <w:rPr>
              <w:rFonts w:ascii="Times New Roman" w:hAnsi="Times New Roman"/>
            </w:rPr>
          </w:pPr>
          <w:r>
            <w:fldChar w:fldCharType="begin"/>
          </w:r>
          <w:r>
            <w:instrText xml:space="preserve"> HYPERLINK \l "_Toc8696" </w:instrText>
          </w:r>
          <w:r>
            <w:fldChar w:fldCharType="separate"/>
          </w:r>
          <w:r>
            <w:rPr>
              <w:rFonts w:hint="eastAsia" w:ascii="Times New Roman" w:hAnsi="Times New Roman" w:eastAsia="黑体"/>
              <w:szCs w:val="28"/>
            </w:rPr>
            <w:t>四</w:t>
          </w:r>
          <w:r>
            <w:rPr>
              <w:rFonts w:hint="eastAsia" w:ascii="Times New Roman" w:hAnsi="Times New Roman" w:eastAsia="黑体"/>
              <w:szCs w:val="30"/>
            </w:rPr>
            <w:t>、应用场景</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_Toc8696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440"/>
            <w:rPr>
              <w:rFonts w:ascii="Times New Roman" w:hAnsi="Times New Roman"/>
            </w:rPr>
          </w:pPr>
          <w:r>
            <w:fldChar w:fldCharType="begin"/>
          </w:r>
          <w:r>
            <w:instrText xml:space="preserve"> HYPERLINK \l "_Toc29641" </w:instrText>
          </w:r>
          <w:r>
            <w:fldChar w:fldCharType="separate"/>
          </w:r>
          <w:r>
            <w:rPr>
              <w:rFonts w:hint="eastAsia" w:ascii="Times New Roman" w:hAnsi="Times New Roman" w:eastAsia="黑体"/>
              <w:szCs w:val="28"/>
            </w:rPr>
            <w:t>（一）学科教学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_Toc29641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"_Toc14879" </w:instrText>
          </w:r>
          <w:r>
            <w:fldChar w:fldCharType="separate"/>
          </w:r>
          <w:r>
            <w:rPr>
              <w:rFonts w:ascii="Times New Roman" w:hAnsi="Times New Roman"/>
              <w:bCs/>
              <w:szCs w:val="28"/>
            </w:rPr>
            <w:t>1.</w:t>
          </w:r>
          <w:r>
            <w:rPr>
              <w:rFonts w:hint="eastAsia" w:ascii="Times New Roman" w:hAnsi="Times New Roman"/>
              <w:bCs/>
              <w:szCs w:val="28"/>
            </w:rPr>
            <w:t>开齐开好小学科</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_Toc14879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"_Toc4080" </w:instrText>
          </w:r>
          <w:r>
            <w:fldChar w:fldCharType="separate"/>
          </w:r>
          <w:r>
            <w:rPr>
              <w:rFonts w:ascii="Times New Roman" w:hAnsi="Times New Roman"/>
              <w:bCs/>
              <w:szCs w:val="28"/>
            </w:rPr>
            <w:t>2.</w:t>
          </w:r>
          <w:r>
            <w:rPr>
              <w:rFonts w:hint="eastAsia" w:ascii="Times New Roman" w:hAnsi="Times New Roman"/>
              <w:bCs/>
              <w:szCs w:val="28"/>
            </w:rPr>
            <w:t>开齐开好基础课</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_Toc4080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"_Toc16242" </w:instrText>
          </w:r>
          <w:r>
            <w:fldChar w:fldCharType="separate"/>
          </w:r>
          <w:r>
            <w:rPr>
              <w:rFonts w:ascii="Times New Roman" w:hAnsi="Times New Roman"/>
              <w:bCs/>
              <w:szCs w:val="28"/>
            </w:rPr>
            <w:t>3.</w:t>
          </w:r>
          <w:r>
            <w:rPr>
              <w:rFonts w:hint="eastAsia" w:ascii="Times New Roman" w:hAnsi="Times New Roman"/>
              <w:bCs/>
              <w:szCs w:val="28"/>
            </w:rPr>
            <w:t>开齐开好劳动课</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_Toc16242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"_Toc23488" </w:instrText>
          </w:r>
          <w:r>
            <w:fldChar w:fldCharType="separate"/>
          </w:r>
          <w:r>
            <w:rPr>
              <w:rFonts w:ascii="Times New Roman" w:hAnsi="Times New Roman"/>
              <w:bCs/>
              <w:szCs w:val="28"/>
            </w:rPr>
            <w:t>4.</w:t>
          </w:r>
          <w:r>
            <w:rPr>
              <w:rFonts w:hint="eastAsia" w:ascii="Times New Roman" w:hAnsi="Times New Roman"/>
              <w:bCs/>
              <w:szCs w:val="28"/>
            </w:rPr>
            <w:t>在线居家学习</w:t>
          </w:r>
          <w:r>
            <w:rPr>
              <w:rFonts w:ascii="Times New Roman" w:hAnsi="Times New Roman"/>
              <w:bCs/>
              <w:szCs w:val="28"/>
            </w:rPr>
            <w:t>/</w:t>
          </w:r>
          <w:r>
            <w:rPr>
              <w:rFonts w:hint="eastAsia" w:ascii="Times New Roman" w:hAnsi="Times New Roman"/>
              <w:bCs/>
              <w:szCs w:val="28"/>
            </w:rPr>
            <w:t>非正式学习</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_Toc23488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440"/>
            <w:rPr>
              <w:rFonts w:ascii="Times New Roman" w:hAnsi="Times New Roman"/>
            </w:rPr>
          </w:pPr>
          <w:r>
            <w:fldChar w:fldCharType="begin"/>
          </w:r>
          <w:r>
            <w:instrText xml:space="preserve"> HYPERLINK \l "_Toc3399" </w:instrText>
          </w:r>
          <w:r>
            <w:fldChar w:fldCharType="separate"/>
          </w:r>
          <w:r>
            <w:rPr>
              <w:rFonts w:hint="eastAsia" w:ascii="Times New Roman" w:hAnsi="Times New Roman" w:eastAsia="黑体"/>
              <w:szCs w:val="28"/>
            </w:rPr>
            <w:t>（二）教师研修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_Toc3399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"_Toc4238" </w:instrText>
          </w:r>
          <w:r>
            <w:fldChar w:fldCharType="separate"/>
          </w:r>
          <w:r>
            <w:rPr>
              <w:rFonts w:ascii="Times New Roman" w:hAnsi="Times New Roman"/>
              <w:bCs/>
              <w:szCs w:val="28"/>
            </w:rPr>
            <w:t>1.</w:t>
          </w:r>
          <w:r>
            <w:rPr>
              <w:rFonts w:hint="eastAsia" w:ascii="Times New Roman" w:hAnsi="Times New Roman"/>
              <w:bCs/>
              <w:szCs w:val="28"/>
            </w:rPr>
            <w:t>校本层面</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_Toc4238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"_Toc32146" </w:instrText>
          </w:r>
          <w:r>
            <w:fldChar w:fldCharType="separate"/>
          </w:r>
          <w:r>
            <w:rPr>
              <w:rFonts w:ascii="Times New Roman" w:hAnsi="Times New Roman"/>
              <w:bCs/>
              <w:szCs w:val="28"/>
            </w:rPr>
            <w:t>2.</w:t>
          </w:r>
          <w:r>
            <w:rPr>
              <w:rFonts w:hint="eastAsia" w:ascii="Times New Roman" w:hAnsi="Times New Roman"/>
              <w:bCs/>
              <w:szCs w:val="28"/>
            </w:rPr>
            <w:t>校际层面</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_Toc32146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"_Toc22186" </w:instrText>
          </w:r>
          <w:r>
            <w:fldChar w:fldCharType="separate"/>
          </w:r>
          <w:r>
            <w:rPr>
              <w:rFonts w:ascii="Times New Roman" w:hAnsi="Times New Roman"/>
              <w:bCs/>
              <w:szCs w:val="28"/>
            </w:rPr>
            <w:t>3.</w:t>
          </w:r>
          <w:r>
            <w:rPr>
              <w:rFonts w:hint="eastAsia" w:ascii="Times New Roman" w:hAnsi="Times New Roman"/>
              <w:bCs/>
              <w:szCs w:val="28"/>
            </w:rPr>
            <w:t>区域层面</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_Toc22186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440"/>
            <w:rPr>
              <w:rFonts w:ascii="Times New Roman" w:hAnsi="Times New Roman"/>
            </w:rPr>
          </w:pPr>
          <w:r>
            <w:fldChar w:fldCharType="begin"/>
          </w:r>
          <w:r>
            <w:instrText xml:space="preserve"> HYPERLINK \l "_Toc7399" </w:instrText>
          </w:r>
          <w:r>
            <w:fldChar w:fldCharType="separate"/>
          </w:r>
          <w:r>
            <w:rPr>
              <w:rFonts w:hint="eastAsia" w:ascii="Times New Roman" w:hAnsi="Times New Roman" w:eastAsia="黑体"/>
              <w:szCs w:val="28"/>
            </w:rPr>
            <w:t>（三）学校管理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_Toc7399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"_Toc32723" </w:instrText>
          </w:r>
          <w:r>
            <w:fldChar w:fldCharType="separate"/>
          </w:r>
          <w:r>
            <w:rPr>
              <w:rFonts w:ascii="Times New Roman" w:hAnsi="Times New Roman"/>
              <w:bCs/>
              <w:szCs w:val="28"/>
            </w:rPr>
            <w:t>1.</w:t>
          </w:r>
          <w:r>
            <w:rPr>
              <w:rFonts w:hint="eastAsia" w:ascii="Times New Roman" w:hAnsi="Times New Roman"/>
              <w:bCs/>
              <w:szCs w:val="28"/>
            </w:rPr>
            <w:t>在线巡课</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_Toc32723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"_Toc30617" </w:instrText>
          </w:r>
          <w:r>
            <w:fldChar w:fldCharType="separate"/>
          </w:r>
          <w:r>
            <w:rPr>
              <w:rFonts w:ascii="Times New Roman" w:hAnsi="Times New Roman"/>
              <w:bCs/>
              <w:szCs w:val="28"/>
            </w:rPr>
            <w:t>2.</w:t>
          </w:r>
          <w:r>
            <w:rPr>
              <w:rFonts w:hint="eastAsia" w:ascii="Times New Roman" w:hAnsi="Times New Roman"/>
              <w:bCs/>
              <w:szCs w:val="28"/>
            </w:rPr>
            <w:t>家校共育</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_Toc30617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"_Toc10838" </w:instrText>
          </w:r>
          <w:r>
            <w:fldChar w:fldCharType="separate"/>
          </w:r>
          <w:r>
            <w:rPr>
              <w:rFonts w:ascii="Times New Roman" w:hAnsi="Times New Roman"/>
              <w:bCs/>
              <w:szCs w:val="28"/>
            </w:rPr>
            <w:t>3.</w:t>
          </w:r>
          <w:r>
            <w:rPr>
              <w:rFonts w:hint="eastAsia" w:ascii="Times New Roman" w:hAnsi="Times New Roman"/>
              <w:bCs/>
              <w:szCs w:val="28"/>
            </w:rPr>
            <w:t>质量监测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_Toc10838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pPr>
            <w:pStyle w:val="14"/>
            <w:tabs>
              <w:tab w:val="right" w:leader="dot" w:pos="8306"/>
              <w:tab w:val="clear" w:pos="8296"/>
            </w:tabs>
            <w:spacing w:line="440" w:lineRule="exact"/>
            <w:rPr>
              <w:rFonts w:ascii="Times New Roman" w:hAnsi="Times New Roman"/>
            </w:rPr>
          </w:pPr>
          <w:r>
            <w:fldChar w:fldCharType="begin"/>
          </w:r>
          <w:r>
            <w:instrText xml:space="preserve"> HYPERLINK \l "_Toc4324" </w:instrText>
          </w:r>
          <w:r>
            <w:fldChar w:fldCharType="separate"/>
          </w:r>
          <w:r>
            <w:rPr>
              <w:rFonts w:hint="eastAsia" w:ascii="Times New Roman" w:hAnsi="Times New Roman" w:eastAsia="黑体"/>
              <w:szCs w:val="30"/>
            </w:rPr>
            <w:t>五、应用模式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_Toc4324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440"/>
            <w:rPr>
              <w:rFonts w:ascii="Times New Roman" w:hAnsi="Times New Roman"/>
            </w:rPr>
          </w:pPr>
          <w:r>
            <w:fldChar w:fldCharType="begin"/>
          </w:r>
          <w:r>
            <w:instrText xml:space="preserve"> HYPERLINK \l "_Toc14877" </w:instrText>
          </w:r>
          <w:r>
            <w:fldChar w:fldCharType="separate"/>
          </w:r>
          <w:r>
            <w:rPr>
              <w:rFonts w:hint="eastAsia" w:ascii="Times New Roman" w:hAnsi="Times New Roman" w:eastAsia="黑体"/>
              <w:szCs w:val="28"/>
            </w:rPr>
            <w:t>（一）中心校带教学点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_Toc14877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"_Toc23610" </w:instrText>
          </w:r>
          <w:r>
            <w:fldChar w:fldCharType="separate"/>
          </w:r>
          <w:r>
            <w:rPr>
              <w:rFonts w:ascii="Times New Roman" w:hAnsi="Times New Roman"/>
              <w:bCs/>
              <w:szCs w:val="28"/>
            </w:rPr>
            <w:t>1.</w:t>
          </w:r>
          <w:r>
            <w:rPr>
              <w:rFonts w:hint="eastAsia" w:ascii="Times New Roman" w:hAnsi="Times New Roman"/>
              <w:bCs/>
              <w:szCs w:val="28"/>
            </w:rPr>
            <w:t>中心校集中教学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_Toc23610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"_Toc16183" </w:instrText>
          </w:r>
          <w:r>
            <w:fldChar w:fldCharType="separate"/>
          </w:r>
          <w:r>
            <w:rPr>
              <w:rFonts w:ascii="Times New Roman" w:hAnsi="Times New Roman"/>
              <w:bCs/>
              <w:szCs w:val="28"/>
            </w:rPr>
            <w:t>2.</w:t>
          </w:r>
          <w:r>
            <w:rPr>
              <w:rFonts w:hint="eastAsia" w:ascii="Times New Roman" w:hAnsi="Times New Roman"/>
              <w:bCs/>
              <w:szCs w:val="28"/>
            </w:rPr>
            <w:t>中心校统筹管理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_Toc16183 \h </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440"/>
            <w:rPr>
              <w:rFonts w:ascii="Times New Roman" w:hAnsi="Times New Roman"/>
            </w:rPr>
          </w:pPr>
          <w:r>
            <w:fldChar w:fldCharType="begin"/>
          </w:r>
          <w:r>
            <w:instrText xml:space="preserve"> HYPERLINK \l "_Toc4657" </w:instrText>
          </w:r>
          <w:r>
            <w:fldChar w:fldCharType="separate"/>
          </w:r>
          <w:r>
            <w:rPr>
              <w:rFonts w:hint="eastAsia" w:ascii="Times New Roman" w:hAnsi="Times New Roman" w:eastAsia="黑体"/>
              <w:szCs w:val="28"/>
            </w:rPr>
            <w:t>（二）优质校带薄弱校</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_Toc4657 \h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"_Toc23970" </w:instrText>
          </w:r>
          <w:r>
            <w:fldChar w:fldCharType="separate"/>
          </w:r>
          <w:r>
            <w:rPr>
              <w:rFonts w:ascii="Times New Roman" w:hAnsi="Times New Roman"/>
              <w:bCs/>
              <w:szCs w:val="28"/>
            </w:rPr>
            <w:t>1.</w:t>
          </w:r>
          <w:r>
            <w:rPr>
              <w:rFonts w:hint="eastAsia" w:ascii="Times New Roman" w:hAnsi="Times New Roman"/>
              <w:bCs/>
              <w:szCs w:val="28"/>
            </w:rPr>
            <w:t>区域扶智促进均衡发展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_Toc23970 \h </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r>
            <w:rPr>
              <w:rFonts w:ascii="Times New Roman" w:hAnsi="Times New Roman"/>
            </w:rPr>
            <w:fldChar w:fldCharType="end"/>
          </w:r>
        </w:p>
        <w:p>
          <w:pPr>
            <w:pStyle w:val="10"/>
            <w:tabs>
              <w:tab w:val="right" w:leader="dot" w:pos="8306"/>
            </w:tabs>
            <w:spacing w:line="440" w:lineRule="exact"/>
            <w:ind w:firstLine="1120" w:firstLineChars="400"/>
            <w:rPr>
              <w:rFonts w:ascii="Times New Roman" w:hAnsi="Times New Roman"/>
            </w:rPr>
          </w:pPr>
          <w:r>
            <w:fldChar w:fldCharType="begin"/>
          </w:r>
          <w:r>
            <w:instrText xml:space="preserve"> HYPERLINK \l "_Toc17825" </w:instrText>
          </w:r>
          <w:r>
            <w:fldChar w:fldCharType="separate"/>
          </w:r>
          <w:r>
            <w:rPr>
              <w:rFonts w:ascii="Times New Roman" w:hAnsi="Times New Roman"/>
              <w:bCs/>
              <w:szCs w:val="28"/>
            </w:rPr>
            <w:t>2.</w:t>
          </w:r>
          <w:r>
            <w:rPr>
              <w:rFonts w:hint="eastAsia" w:ascii="Times New Roman" w:hAnsi="Times New Roman"/>
              <w:bCs/>
              <w:szCs w:val="28"/>
            </w:rPr>
            <w:t>区域协同发展共同体</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_Toc17825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440"/>
            <w:rPr>
              <w:rFonts w:ascii="Times New Roman" w:hAnsi="Times New Roman"/>
            </w:rPr>
          </w:pPr>
          <w:r>
            <w:fldChar w:fldCharType="begin"/>
          </w:r>
          <w:r>
            <w:instrText xml:space="preserve"> HYPERLINK \l "_Toc10332" </w:instrText>
          </w:r>
          <w:r>
            <w:fldChar w:fldCharType="separate"/>
          </w:r>
          <w:r>
            <w:rPr>
              <w:rFonts w:hint="eastAsia" w:ascii="Times New Roman" w:hAnsi="Times New Roman" w:eastAsia="黑体"/>
              <w:szCs w:val="28"/>
            </w:rPr>
            <w:t>（三）集团化办学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_Toc10332 \h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440"/>
            <w:rPr>
              <w:rFonts w:ascii="Times New Roman" w:hAnsi="Times New Roman"/>
            </w:rPr>
          </w:pPr>
          <w:r>
            <w:fldChar w:fldCharType="begin"/>
          </w:r>
          <w:r>
            <w:instrText xml:space="preserve"> HYPERLINK \l "_Toc755" </w:instrText>
          </w:r>
          <w:r>
            <w:fldChar w:fldCharType="separate"/>
          </w:r>
          <w:r>
            <w:rPr>
              <w:rFonts w:hint="eastAsia" w:ascii="Times New Roman" w:hAnsi="Times New Roman" w:eastAsia="黑体"/>
              <w:szCs w:val="28"/>
            </w:rPr>
            <w:t>（四）县域整体推进</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_Toc755 \h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0" w:leftChars="0"/>
            <w:rPr>
              <w:rFonts w:ascii="Times New Roman" w:hAnsi="Times New Roman"/>
            </w:rPr>
          </w:pPr>
          <w:r>
            <w:fldChar w:fldCharType="begin"/>
          </w:r>
          <w:r>
            <w:instrText xml:space="preserve"> HYPERLINK \l "_Toc12807" </w:instrText>
          </w:r>
          <w:r>
            <w:fldChar w:fldCharType="separate"/>
          </w:r>
          <w:r>
            <w:rPr>
              <w:rFonts w:hint="eastAsia" w:ascii="Times New Roman" w:hAnsi="Times New Roman" w:eastAsia="黑体"/>
              <w:kern w:val="44"/>
              <w:szCs w:val="30"/>
            </w:rPr>
            <w:t>六、推进路线图</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_Toc12807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pPr>
            <w:pStyle w:val="14"/>
            <w:tabs>
              <w:tab w:val="right" w:leader="dot" w:pos="8306"/>
              <w:tab w:val="clear" w:pos="8296"/>
            </w:tabs>
            <w:spacing w:line="440" w:lineRule="exact"/>
            <w:rPr>
              <w:rFonts w:ascii="Times New Roman" w:hAnsi="Times New Roman"/>
            </w:rPr>
          </w:pPr>
          <w:r>
            <w:fldChar w:fldCharType="begin"/>
          </w:r>
          <w:r>
            <w:instrText xml:space="preserve"> HYPERLINK \l "_Toc21172" </w:instrText>
          </w:r>
          <w:r>
            <w:fldChar w:fldCharType="separate"/>
          </w:r>
          <w:r>
            <w:rPr>
              <w:rFonts w:hint="eastAsia" w:ascii="Times New Roman" w:hAnsi="Times New Roman" w:eastAsia="黑体"/>
              <w:szCs w:val="30"/>
            </w:rPr>
            <w:t>七、保障机制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_Toc21172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440"/>
            <w:rPr>
              <w:rFonts w:ascii="Times New Roman" w:hAnsi="Times New Roman"/>
            </w:rPr>
          </w:pPr>
          <w:r>
            <w:fldChar w:fldCharType="begin"/>
          </w:r>
          <w:r>
            <w:instrText xml:space="preserve"> HYPERLINK \l "_Toc26530" </w:instrText>
          </w:r>
          <w:r>
            <w:fldChar w:fldCharType="separate"/>
          </w:r>
          <w:r>
            <w:rPr>
              <w:rFonts w:hint="eastAsia" w:ascii="Times New Roman" w:hAnsi="Times New Roman" w:eastAsia="黑体"/>
              <w:szCs w:val="28"/>
            </w:rPr>
            <w:t>（一）省级统筹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_Toc26530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440"/>
            <w:rPr>
              <w:rFonts w:ascii="Times New Roman" w:hAnsi="Times New Roman"/>
            </w:rPr>
          </w:pPr>
          <w:r>
            <w:fldChar w:fldCharType="begin"/>
          </w:r>
          <w:r>
            <w:instrText xml:space="preserve"> HYPERLINK \l "_Toc483" </w:instrText>
          </w:r>
          <w:r>
            <w:fldChar w:fldCharType="separate"/>
          </w:r>
          <w:r>
            <w:rPr>
              <w:rFonts w:hint="eastAsia" w:ascii="Times New Roman" w:hAnsi="Times New Roman" w:eastAsia="黑体"/>
              <w:szCs w:val="28"/>
            </w:rPr>
            <w:t>（二）区域推进</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_Toc483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pPr>
            <w:pStyle w:val="16"/>
            <w:tabs>
              <w:tab w:val="right" w:leader="dot" w:pos="8306"/>
            </w:tabs>
            <w:spacing w:line="440" w:lineRule="exact"/>
            <w:ind w:left="440"/>
            <w:rPr>
              <w:rFonts w:ascii="Times New Roman" w:hAnsi="Times New Roman"/>
            </w:rPr>
          </w:pPr>
          <w:r>
            <w:fldChar w:fldCharType="begin"/>
          </w:r>
          <w:r>
            <w:instrText xml:space="preserve"> HYPERLINK \l "_Toc11822" </w:instrText>
          </w:r>
          <w:r>
            <w:fldChar w:fldCharType="separate"/>
          </w:r>
          <w:r>
            <w:rPr>
              <w:rFonts w:hint="eastAsia" w:ascii="Times New Roman" w:hAnsi="Times New Roman" w:eastAsia="黑体"/>
              <w:szCs w:val="28"/>
            </w:rPr>
            <w:t>（三）学校应用</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_Toc11822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fldChar w:fldCharType="end"/>
          </w:r>
        </w:p>
        <w:p>
          <w:pPr>
            <w:tabs>
              <w:tab w:val="left" w:pos="664"/>
            </w:tabs>
            <w:spacing w:line="240" w:lineRule="atLeast"/>
            <w:rPr>
              <w:b/>
              <w:bCs/>
              <w:lang w:val="zh-CN"/>
            </w:rPr>
            <w:sectPr>
              <w:footerReference r:id="rId5" w:type="default"/>
              <w:pgSz w:w="11906" w:h="16838"/>
              <w:pgMar w:top="1440" w:right="1800" w:bottom="1440" w:left="1800" w:header="851" w:footer="992" w:gutter="0"/>
              <w:cols w:space="720" w:num="1"/>
              <w:docGrid w:type="lines" w:linePitch="312" w:charSpace="0"/>
            </w:sectPr>
          </w:pPr>
          <w:r>
            <w:rPr>
              <w:rFonts w:ascii="Times New Roman" w:hAnsi="Times New Roman"/>
              <w:b/>
              <w:bCs/>
              <w:lang w:val="zh-CN"/>
            </w:rPr>
            <w:fldChar w:fldCharType="end"/>
          </w:r>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为深入贯彻党的二十大报告精神，全面推进教育数字化战略行动，落实《海南省“十四五”教育现代化规划》，加快建设教育强省，提升海南教育现代化水平，在前期建设与应用探索的基础上，制定《海南省中小学在线互动教室建设与应用指南》。</w:t>
          </w:r>
        </w:p>
      </w:sdtContent>
    </w:sdt>
    <w:p>
      <w:pPr>
        <w:pStyle w:val="3"/>
        <w:tabs>
          <w:tab w:val="left" w:pos="426"/>
        </w:tabs>
        <w:spacing w:before="0" w:after="0" w:line="360" w:lineRule="auto"/>
        <w:ind w:firstLine="600" w:firstLineChars="200"/>
        <w:jc w:val="both"/>
        <w:rPr>
          <w:rFonts w:ascii="黑体" w:hAnsi="黑体" w:eastAsia="黑体" w:cs="黑体"/>
          <w:b w:val="0"/>
          <w:bCs w:val="0"/>
          <w:sz w:val="30"/>
          <w:szCs w:val="30"/>
        </w:rPr>
      </w:pPr>
      <w:bookmarkStart w:id="4" w:name="_Toc141707765"/>
      <w:bookmarkStart w:id="5" w:name="_Toc229"/>
      <w:bookmarkStart w:id="6" w:name="_Toc8883"/>
      <w:bookmarkStart w:id="7" w:name="_Toc6696"/>
      <w:bookmarkStart w:id="8" w:name="_Toc28341"/>
      <w:bookmarkStart w:id="9" w:name="_Toc29675"/>
      <w:bookmarkStart w:id="10" w:name="_Toc2238"/>
      <w:r>
        <w:rPr>
          <w:rFonts w:hint="eastAsia" w:ascii="黑体" w:hAnsi="黑体" w:eastAsia="黑体" w:cs="黑体"/>
          <w:b w:val="0"/>
          <w:bCs w:val="0"/>
          <w:sz w:val="30"/>
          <w:szCs w:val="30"/>
        </w:rPr>
        <w:t>一、总体目标</w:t>
      </w:r>
      <w:bookmarkEnd w:id="4"/>
      <w:bookmarkEnd w:id="5"/>
      <w:bookmarkEnd w:id="6"/>
      <w:bookmarkEnd w:id="7"/>
      <w:bookmarkEnd w:id="8"/>
      <w:bookmarkEnd w:id="9"/>
      <w:bookmarkEnd w:id="10"/>
    </w:p>
    <w:p>
      <w:pPr>
        <w:spacing w:after="0" w:line="360" w:lineRule="auto"/>
        <w:ind w:firstLine="560" w:firstLineChars="200"/>
        <w:jc w:val="both"/>
        <w:rPr>
          <w:rFonts w:ascii="仿宋" w:hAnsi="仿宋" w:eastAsia="仿宋"/>
          <w:sz w:val="28"/>
          <w:szCs w:val="28"/>
        </w:rPr>
      </w:pPr>
      <w:bookmarkStart w:id="11" w:name="_Toc128477795"/>
      <w:r>
        <w:rPr>
          <w:rFonts w:hint="eastAsia" w:ascii="仿宋" w:hAnsi="仿宋" w:eastAsia="仿宋"/>
          <w:sz w:val="28"/>
          <w:szCs w:val="28"/>
        </w:rPr>
        <w:t>建成覆盖全省、技术先进、功能完备、安全可靠、经济适用的在线互动教室技术环境与应用服务体系，形成创新应用模式和有效推进机制，实现在线互动教室在广大中小学校的常态化按需应用，形成“时时可学、处处能学、人人皆学”的教育新生态，切实增强海南基础教育应对突发状况的应急能力，转变教学方式，提升学生学业水平，创新研修模式，增进教师教学能力，重塑治理体系，赋能学校改革创新，优化资源配置，助力区域教育优质均衡，促进海南基础教育数字化转型与高质量发展。</w:t>
      </w:r>
    </w:p>
    <w:bookmarkEnd w:id="11"/>
    <w:p>
      <w:pPr>
        <w:pStyle w:val="3"/>
        <w:tabs>
          <w:tab w:val="left" w:pos="426"/>
        </w:tabs>
        <w:spacing w:before="0" w:after="0" w:line="360" w:lineRule="auto"/>
        <w:ind w:firstLine="600" w:firstLineChars="200"/>
        <w:jc w:val="both"/>
        <w:rPr>
          <w:rFonts w:ascii="黑体" w:hAnsi="黑体" w:eastAsia="黑体" w:cs="黑体"/>
          <w:b w:val="0"/>
          <w:bCs w:val="0"/>
          <w:sz w:val="30"/>
          <w:szCs w:val="30"/>
        </w:rPr>
      </w:pPr>
      <w:bookmarkStart w:id="12" w:name="_Toc28935"/>
      <w:bookmarkStart w:id="13" w:name="_Toc7384"/>
      <w:bookmarkStart w:id="14" w:name="_Toc6816"/>
      <w:bookmarkStart w:id="15" w:name="_Toc18323"/>
      <w:bookmarkStart w:id="16" w:name="_Toc29992794"/>
      <w:bookmarkStart w:id="17" w:name="_Toc8360"/>
      <w:bookmarkStart w:id="18" w:name="_Toc10018"/>
      <w:bookmarkStart w:id="19" w:name="_Toc189"/>
      <w:bookmarkStart w:id="20" w:name="_Toc128477793"/>
      <w:bookmarkStart w:id="21" w:name="_Toc19901"/>
      <w:bookmarkStart w:id="22" w:name="_Toc6515"/>
      <w:bookmarkStart w:id="23" w:name="_Toc18335"/>
      <w:bookmarkStart w:id="24" w:name="_Toc26563"/>
      <w:bookmarkStart w:id="25" w:name="_Toc3415"/>
      <w:bookmarkStart w:id="26" w:name="_Toc141707766"/>
      <w:bookmarkStart w:id="27" w:name="_Toc28522"/>
      <w:r>
        <w:rPr>
          <w:rFonts w:hint="eastAsia" w:ascii="黑体" w:hAnsi="黑体" w:eastAsia="黑体" w:cs="黑体"/>
          <w:b w:val="0"/>
          <w:bCs w:val="0"/>
          <w:sz w:val="30"/>
          <w:szCs w:val="30"/>
        </w:rPr>
        <w:t>二、</w:t>
      </w:r>
      <w:bookmarkEnd w:id="12"/>
      <w:bookmarkEnd w:id="13"/>
      <w:bookmarkEnd w:id="14"/>
      <w:bookmarkEnd w:id="15"/>
      <w:bookmarkEnd w:id="16"/>
      <w:bookmarkEnd w:id="17"/>
      <w:bookmarkEnd w:id="18"/>
      <w:bookmarkEnd w:id="19"/>
      <w:bookmarkEnd w:id="20"/>
      <w:r>
        <w:rPr>
          <w:rFonts w:hint="eastAsia" w:ascii="黑体" w:hAnsi="黑体" w:eastAsia="黑体" w:cs="黑体"/>
          <w:b w:val="0"/>
          <w:bCs w:val="0"/>
          <w:sz w:val="30"/>
          <w:szCs w:val="30"/>
        </w:rPr>
        <w:t>基本原则</w:t>
      </w:r>
      <w:bookmarkEnd w:id="21"/>
      <w:bookmarkEnd w:id="22"/>
      <w:bookmarkEnd w:id="23"/>
      <w:bookmarkEnd w:id="24"/>
      <w:bookmarkEnd w:id="25"/>
      <w:bookmarkEnd w:id="26"/>
      <w:bookmarkEnd w:id="27"/>
    </w:p>
    <w:p>
      <w:pPr>
        <w:pStyle w:val="4"/>
        <w:spacing w:before="0" w:after="0" w:line="360" w:lineRule="auto"/>
        <w:ind w:firstLine="560" w:firstLineChars="200"/>
        <w:jc w:val="both"/>
        <w:rPr>
          <w:rFonts w:ascii="黑体" w:hAnsi="黑体" w:eastAsia="黑体" w:cs="黑体"/>
          <w:b w:val="0"/>
          <w:bCs w:val="0"/>
          <w:sz w:val="28"/>
          <w:szCs w:val="28"/>
        </w:rPr>
      </w:pPr>
      <w:bookmarkStart w:id="28" w:name="_Toc7917"/>
      <w:bookmarkStart w:id="29" w:name="_Toc3915"/>
      <w:bookmarkStart w:id="30" w:name="_Toc141707767"/>
      <w:bookmarkStart w:id="31" w:name="_Toc2256"/>
      <w:bookmarkStart w:id="32" w:name="_Toc32024"/>
      <w:bookmarkStart w:id="33" w:name="_Toc15187"/>
      <w:bookmarkStart w:id="34" w:name="_Toc759"/>
      <w:r>
        <w:rPr>
          <w:rFonts w:hint="eastAsia" w:ascii="黑体" w:hAnsi="黑体" w:eastAsia="黑体" w:cs="黑体"/>
          <w:b w:val="0"/>
          <w:bCs w:val="0"/>
          <w:sz w:val="28"/>
          <w:szCs w:val="28"/>
        </w:rPr>
        <w:t>（一）问题导向、常态应用</w:t>
      </w:r>
      <w:bookmarkEnd w:id="28"/>
      <w:bookmarkEnd w:id="29"/>
      <w:bookmarkEnd w:id="30"/>
      <w:bookmarkEnd w:id="31"/>
      <w:bookmarkEnd w:id="32"/>
      <w:bookmarkEnd w:id="33"/>
      <w:bookmarkEnd w:id="34"/>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针对薄弱学校和教学点开不出开不足开不好国家规定课程、</w:t>
      </w:r>
      <w:r>
        <w:rPr>
          <w:rFonts w:hint="eastAsia" w:ascii="仿宋" w:hAnsi="仿宋" w:eastAsia="仿宋"/>
          <w:color w:val="000000" w:themeColor="text1"/>
          <w:sz w:val="28"/>
          <w:szCs w:val="28"/>
          <w14:textFill>
            <w14:solidFill>
              <w14:schemeClr w14:val="tx1"/>
            </w14:solidFill>
          </w14:textFill>
        </w:rPr>
        <w:t>教师教学能力薄弱、学校可持续发展</w:t>
      </w:r>
      <w:r>
        <w:rPr>
          <w:rFonts w:hint="eastAsia" w:ascii="仿宋" w:hAnsi="仿宋" w:eastAsia="仿宋"/>
          <w:sz w:val="28"/>
          <w:szCs w:val="28"/>
        </w:rPr>
        <w:t>与创新能力不足、城乡和校际教育资源配置不均衡、因疫情或疾病等原因师生需居家学习等现实问题，明确在线互动教室建设和应用的具体需求，通过创新应用模式与推进机制，做到课堂用、经常用、普遍用，实现常态化按需应用。</w:t>
      </w:r>
    </w:p>
    <w:p>
      <w:pPr>
        <w:pStyle w:val="4"/>
        <w:spacing w:before="0" w:after="0" w:line="360" w:lineRule="auto"/>
        <w:ind w:firstLine="560" w:firstLineChars="200"/>
        <w:jc w:val="both"/>
        <w:rPr>
          <w:rFonts w:ascii="黑体" w:hAnsi="黑体" w:eastAsia="黑体" w:cs="黑体"/>
          <w:b w:val="0"/>
          <w:bCs w:val="0"/>
          <w:sz w:val="28"/>
          <w:szCs w:val="28"/>
        </w:rPr>
      </w:pPr>
      <w:bookmarkStart w:id="35" w:name="_Toc2164"/>
      <w:bookmarkStart w:id="36" w:name="_Toc16829"/>
      <w:bookmarkStart w:id="37" w:name="_Toc13201"/>
      <w:bookmarkStart w:id="38" w:name="_Toc23362"/>
      <w:bookmarkStart w:id="39" w:name="_Toc141707768"/>
      <w:bookmarkStart w:id="40" w:name="_Toc28778"/>
      <w:bookmarkStart w:id="41" w:name="_Toc14012"/>
      <w:r>
        <w:rPr>
          <w:rFonts w:hint="eastAsia" w:ascii="黑体" w:hAnsi="黑体" w:eastAsia="黑体" w:cs="黑体"/>
          <w:b w:val="0"/>
          <w:bCs w:val="0"/>
          <w:sz w:val="28"/>
          <w:szCs w:val="28"/>
        </w:rPr>
        <w:t>（二）系统集成、融合创新</w:t>
      </w:r>
      <w:bookmarkEnd w:id="35"/>
      <w:bookmarkEnd w:id="36"/>
      <w:bookmarkEnd w:id="37"/>
      <w:bookmarkEnd w:id="38"/>
      <w:bookmarkEnd w:id="39"/>
      <w:bookmarkEnd w:id="40"/>
      <w:bookmarkEnd w:id="41"/>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注重引入以人工智能为代表的新一代信息技术，构建高临场感与强交互性的在线互动教室。兼顾技术升级与设备利旧，加强新增设备与既有技术环境的兼容与协同，避免出现重复建设甚至相互掣肘的情况。鼓励在现有多媒体教室基础上进行低成本升级改造。加强与国家中小学智慧教育平台对接与融合。</w:t>
      </w:r>
    </w:p>
    <w:p>
      <w:pPr>
        <w:pStyle w:val="3"/>
        <w:tabs>
          <w:tab w:val="left" w:pos="426"/>
        </w:tabs>
        <w:spacing w:before="0" w:after="0" w:line="360" w:lineRule="auto"/>
        <w:ind w:firstLine="600" w:firstLineChars="200"/>
        <w:jc w:val="both"/>
        <w:rPr>
          <w:rFonts w:ascii="黑体" w:hAnsi="黑体" w:eastAsia="黑体" w:cs="黑体"/>
          <w:b w:val="0"/>
          <w:bCs w:val="0"/>
          <w:sz w:val="30"/>
          <w:szCs w:val="30"/>
        </w:rPr>
      </w:pPr>
      <w:bookmarkStart w:id="42" w:name="_Toc31822"/>
      <w:bookmarkStart w:id="43" w:name="_Toc22167"/>
      <w:bookmarkStart w:id="44" w:name="_Toc2424"/>
      <w:bookmarkStart w:id="45" w:name="_Toc141707769"/>
      <w:bookmarkStart w:id="46" w:name="_Toc5885"/>
      <w:bookmarkStart w:id="47" w:name="_Toc16544"/>
      <w:bookmarkStart w:id="48" w:name="_Toc5495"/>
      <w:r>
        <w:rPr>
          <w:rFonts w:hint="eastAsia" w:ascii="黑体" w:hAnsi="黑体" w:eastAsia="黑体" w:cs="黑体"/>
          <w:b w:val="0"/>
          <w:bCs w:val="0"/>
          <w:sz w:val="30"/>
          <w:szCs w:val="30"/>
        </w:rPr>
        <w:t>三、在线互动教室建设方案</w:t>
      </w:r>
      <w:bookmarkEnd w:id="42"/>
      <w:bookmarkEnd w:id="43"/>
      <w:bookmarkEnd w:id="44"/>
      <w:bookmarkEnd w:id="45"/>
      <w:bookmarkEnd w:id="46"/>
      <w:bookmarkEnd w:id="47"/>
      <w:bookmarkEnd w:id="48"/>
    </w:p>
    <w:p>
      <w:pPr>
        <w:pStyle w:val="4"/>
        <w:spacing w:before="0" w:after="0" w:line="360" w:lineRule="auto"/>
        <w:ind w:firstLine="560" w:firstLineChars="200"/>
        <w:jc w:val="both"/>
        <w:rPr>
          <w:rFonts w:ascii="黑体" w:hAnsi="黑体" w:eastAsia="黑体" w:cs="黑体"/>
          <w:b w:val="0"/>
          <w:bCs w:val="0"/>
          <w:sz w:val="28"/>
          <w:szCs w:val="28"/>
        </w:rPr>
      </w:pPr>
      <w:bookmarkStart w:id="49" w:name="_Toc141707770"/>
      <w:bookmarkStart w:id="50" w:name="_Toc999"/>
      <w:bookmarkStart w:id="51" w:name="_Toc27914"/>
      <w:bookmarkStart w:id="52" w:name="_Toc5886"/>
      <w:bookmarkStart w:id="53" w:name="_Toc9118"/>
      <w:bookmarkStart w:id="54" w:name="_Toc27088"/>
      <w:bookmarkStart w:id="55" w:name="_Toc9677"/>
      <w:r>
        <w:rPr>
          <w:rFonts w:hint="eastAsia" w:ascii="黑体" w:hAnsi="黑体" w:eastAsia="黑体" w:cs="黑体"/>
          <w:b w:val="0"/>
          <w:bCs w:val="0"/>
          <w:sz w:val="28"/>
          <w:szCs w:val="28"/>
        </w:rPr>
        <w:t>（一）</w:t>
      </w:r>
      <w:bookmarkEnd w:id="49"/>
      <w:r>
        <w:rPr>
          <w:rFonts w:hint="eastAsia" w:ascii="黑体" w:hAnsi="黑体" w:eastAsia="黑体" w:cs="黑体"/>
          <w:b w:val="0"/>
          <w:bCs w:val="0"/>
          <w:sz w:val="28"/>
          <w:szCs w:val="28"/>
        </w:rPr>
        <w:t>设备配备、布局及功能要求</w:t>
      </w:r>
      <w:bookmarkEnd w:id="50"/>
      <w:bookmarkEnd w:id="51"/>
      <w:bookmarkEnd w:id="52"/>
      <w:bookmarkEnd w:id="53"/>
      <w:bookmarkEnd w:id="54"/>
      <w:bookmarkEnd w:id="55"/>
    </w:p>
    <w:p>
      <w:pPr>
        <w:pStyle w:val="5"/>
        <w:spacing w:before="0" w:after="0" w:line="360" w:lineRule="auto"/>
        <w:ind w:firstLine="562" w:firstLineChars="200"/>
        <w:jc w:val="both"/>
        <w:rPr>
          <w:rFonts w:ascii="仿宋" w:hAnsi="仿宋" w:eastAsia="仿宋"/>
          <w:sz w:val="28"/>
          <w:szCs w:val="28"/>
        </w:rPr>
      </w:pPr>
      <w:bookmarkStart w:id="56" w:name="_Toc29265"/>
      <w:bookmarkStart w:id="57" w:name="_Toc881"/>
      <w:bookmarkStart w:id="58" w:name="_Toc14946"/>
      <w:bookmarkStart w:id="59" w:name="_Toc5595"/>
      <w:bookmarkStart w:id="60" w:name="_Toc2571"/>
      <w:bookmarkStart w:id="61" w:name="_Toc15859"/>
      <w:r>
        <w:rPr>
          <w:rFonts w:hint="eastAsia" w:ascii="仿宋" w:hAnsi="仿宋" w:eastAsia="仿宋"/>
          <w:sz w:val="28"/>
          <w:szCs w:val="28"/>
        </w:rPr>
        <w:t>1.简约直播型方案</w:t>
      </w:r>
      <w:bookmarkEnd w:id="56"/>
      <w:bookmarkEnd w:id="57"/>
      <w:bookmarkEnd w:id="58"/>
      <w:bookmarkEnd w:id="59"/>
      <w:bookmarkEnd w:id="60"/>
      <w:bookmarkEnd w:id="61"/>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通过</w:t>
      </w:r>
      <w:r>
        <w:rPr>
          <w:rFonts w:hint="eastAsia" w:ascii="仿宋" w:hAnsi="仿宋" w:eastAsia="仿宋"/>
          <w:sz w:val="28"/>
          <w:szCs w:val="28"/>
          <w:lang w:eastAsia="zh-Hans"/>
        </w:rPr>
        <w:t>音视频</w:t>
      </w:r>
      <w:r>
        <w:rPr>
          <w:rFonts w:hint="eastAsia" w:ascii="仿宋" w:hAnsi="仿宋" w:eastAsia="仿宋"/>
          <w:sz w:val="28"/>
          <w:szCs w:val="28"/>
        </w:rPr>
        <w:t>播放</w:t>
      </w:r>
      <w:r>
        <w:rPr>
          <w:rFonts w:hint="eastAsia" w:ascii="仿宋" w:hAnsi="仿宋" w:eastAsia="仿宋"/>
          <w:sz w:val="28"/>
          <w:szCs w:val="28"/>
          <w:lang w:eastAsia="zh-Hans"/>
        </w:rPr>
        <w:t>硬件终端搭配</w:t>
      </w:r>
      <w:r>
        <w:rPr>
          <w:rFonts w:hint="eastAsia" w:ascii="仿宋" w:hAnsi="仿宋" w:eastAsia="仿宋"/>
          <w:sz w:val="28"/>
          <w:szCs w:val="28"/>
        </w:rPr>
        <w:t>较低端的</w:t>
      </w:r>
      <w:r>
        <w:rPr>
          <w:rFonts w:hint="eastAsia" w:ascii="仿宋" w:hAnsi="仿宋" w:eastAsia="仿宋"/>
          <w:sz w:val="28"/>
          <w:szCs w:val="28"/>
          <w:lang w:eastAsia="zh-Hans"/>
        </w:rPr>
        <w:t>音视频采集</w:t>
      </w:r>
      <w:r>
        <w:rPr>
          <w:rFonts w:hint="eastAsia" w:ascii="仿宋" w:hAnsi="仿宋" w:eastAsia="仿宋"/>
          <w:sz w:val="28"/>
          <w:szCs w:val="28"/>
        </w:rPr>
        <w:t>设备</w:t>
      </w:r>
      <w:r>
        <w:rPr>
          <w:rFonts w:hint="eastAsia" w:ascii="仿宋" w:hAnsi="仿宋" w:eastAsia="仿宋"/>
          <w:sz w:val="28"/>
          <w:szCs w:val="28"/>
          <w:lang w:eastAsia="zh-Hans"/>
        </w:rPr>
        <w:t>（如教室多媒体设备</w:t>
      </w:r>
      <w:r>
        <w:rPr>
          <w:rFonts w:ascii="仿宋" w:hAnsi="仿宋" w:eastAsia="仿宋"/>
          <w:sz w:val="28"/>
          <w:szCs w:val="28"/>
          <w:lang w:eastAsia="zh-Hans"/>
        </w:rPr>
        <w:t>/</w:t>
      </w:r>
      <w:r>
        <w:rPr>
          <w:rFonts w:hint="eastAsia" w:ascii="仿宋" w:hAnsi="仿宋" w:eastAsia="仿宋"/>
          <w:sz w:val="28"/>
          <w:szCs w:val="28"/>
          <w:lang w:eastAsia="zh-Hans"/>
        </w:rPr>
        <w:t>电脑</w:t>
      </w:r>
      <w:r>
        <w:rPr>
          <w:rFonts w:ascii="仿宋" w:hAnsi="仿宋" w:eastAsia="仿宋"/>
          <w:sz w:val="28"/>
          <w:szCs w:val="28"/>
          <w:lang w:eastAsia="zh-Hans"/>
        </w:rPr>
        <w:t>+</w:t>
      </w:r>
      <w:r>
        <w:rPr>
          <w:rFonts w:hint="eastAsia" w:ascii="仿宋" w:hAnsi="仿宋" w:eastAsia="仿宋"/>
          <w:sz w:val="28"/>
          <w:szCs w:val="28"/>
          <w:lang w:eastAsia="zh-Hans"/>
        </w:rPr>
        <w:t>摄像头</w:t>
      </w:r>
      <w:r>
        <w:rPr>
          <w:rFonts w:ascii="仿宋" w:hAnsi="仿宋" w:eastAsia="仿宋"/>
          <w:sz w:val="28"/>
          <w:szCs w:val="28"/>
          <w:lang w:eastAsia="zh-Hans"/>
        </w:rPr>
        <w:t>+</w:t>
      </w:r>
      <w:r>
        <w:rPr>
          <w:rFonts w:hint="eastAsia" w:ascii="仿宋" w:hAnsi="仿宋" w:eastAsia="仿宋"/>
          <w:sz w:val="28"/>
          <w:szCs w:val="28"/>
          <w:lang w:eastAsia="zh-Hans"/>
        </w:rPr>
        <w:t>麦克风等），</w:t>
      </w:r>
      <w:r>
        <w:rPr>
          <w:rFonts w:hint="eastAsia" w:ascii="仿宋" w:hAnsi="仿宋" w:eastAsia="仿宋"/>
          <w:sz w:val="28"/>
          <w:szCs w:val="28"/>
        </w:rPr>
        <w:t>基于</w:t>
      </w:r>
      <w:r>
        <w:rPr>
          <w:rFonts w:hint="eastAsia" w:ascii="仿宋" w:hAnsi="仿宋" w:eastAsia="仿宋"/>
          <w:sz w:val="28"/>
          <w:szCs w:val="28"/>
          <w:lang w:eastAsia="zh-Hans"/>
        </w:rPr>
        <w:t>在线教学/会议等软件实现</w:t>
      </w:r>
      <w:r>
        <w:rPr>
          <w:rFonts w:hint="eastAsia" w:ascii="仿宋" w:hAnsi="仿宋" w:eastAsia="仿宋"/>
          <w:sz w:val="28"/>
          <w:szCs w:val="28"/>
        </w:rPr>
        <w:t>以线上直播为主的互动</w:t>
      </w:r>
      <w:r>
        <w:rPr>
          <w:rFonts w:hint="eastAsia" w:ascii="仿宋" w:hAnsi="仿宋" w:eastAsia="仿宋"/>
          <w:sz w:val="28"/>
          <w:szCs w:val="28"/>
          <w:lang w:eastAsia="zh-Hans"/>
        </w:rPr>
        <w:t>课堂</w:t>
      </w:r>
      <w:r>
        <w:rPr>
          <w:rFonts w:hint="eastAsia" w:ascii="仿宋" w:hAnsi="仿宋" w:eastAsia="仿宋"/>
          <w:sz w:val="28"/>
          <w:szCs w:val="28"/>
        </w:rPr>
        <w:t>教学</w:t>
      </w:r>
      <w:r>
        <w:rPr>
          <w:rFonts w:hint="eastAsia" w:ascii="仿宋" w:hAnsi="仿宋" w:eastAsia="仿宋"/>
          <w:sz w:val="28"/>
          <w:szCs w:val="28"/>
          <w:lang w:eastAsia="zh-Hans"/>
        </w:rPr>
        <w:t>。</w:t>
      </w:r>
      <w:r>
        <w:rPr>
          <w:rFonts w:hint="eastAsia" w:ascii="仿宋" w:hAnsi="仿宋" w:eastAsia="仿宋"/>
          <w:sz w:val="28"/>
          <w:szCs w:val="28"/>
        </w:rPr>
        <w:t>该方案建设成本低，布局灵活，主要适用于对音视频质量及视频录制要求不高的应用场景，如班额人数少的</w:t>
      </w:r>
      <w:r>
        <w:rPr>
          <w:rFonts w:hint="eastAsia" w:ascii="仿宋" w:hAnsi="仿宋" w:eastAsia="仿宋"/>
          <w:sz w:val="28"/>
          <w:szCs w:val="28"/>
          <w:lang w:eastAsia="zh-Hans"/>
        </w:rPr>
        <w:t>小规模</w:t>
      </w:r>
      <w:r>
        <w:rPr>
          <w:rFonts w:hint="eastAsia" w:ascii="仿宋" w:hAnsi="仿宋" w:eastAsia="仿宋"/>
          <w:sz w:val="28"/>
          <w:szCs w:val="28"/>
        </w:rPr>
        <w:t>学校教学，以及居家学习。</w:t>
      </w:r>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居家学习配备主要软硬件设备为电脑+摄像头+麦克风+在线教学/会议软件。</w:t>
      </w:r>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教室教学配备主要软硬件设备、关键技术参数及功能要求如下：</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455"/>
        <w:gridCol w:w="4638"/>
        <w:gridCol w:w="614"/>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32" w:type="pct"/>
            <w:gridSpan w:val="2"/>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设备/器材</w:t>
            </w:r>
          </w:p>
        </w:tc>
        <w:tc>
          <w:tcPr>
            <w:tcW w:w="2721" w:type="pct"/>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关键技术参数及功能</w:t>
            </w:r>
          </w:p>
        </w:tc>
        <w:tc>
          <w:tcPr>
            <w:tcW w:w="360" w:type="pct"/>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数量</w:t>
            </w:r>
          </w:p>
        </w:tc>
        <w:tc>
          <w:tcPr>
            <w:tcW w:w="387" w:type="pct"/>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000" w:type="pct"/>
            <w:gridSpan w:val="5"/>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b/>
                <w:bCs/>
                <w:sz w:val="24"/>
                <w:szCs w:val="24"/>
              </w:rPr>
              <w:t>多媒体教室通用设备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678" w:type="pct"/>
            <w:vMerge w:val="restar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大屏幕互动显示设备</w:t>
            </w:r>
          </w:p>
        </w:tc>
        <w:tc>
          <w:tcPr>
            <w:tcW w:w="854"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方案1:触控一体机</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显示尺寸：≥75英寸。</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亮度：≥300cd/㎡。</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分辨率：≥3840*2160。</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控制和操作：采用触摸技术，支持多人操作。</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7"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78" w:type="pct"/>
            <w:vMerge w:val="continue"/>
            <w:vAlign w:val="center"/>
          </w:tcPr>
          <w:p>
            <w:pPr>
              <w:pStyle w:val="2"/>
              <w:spacing w:after="0" w:line="240" w:lineRule="auto"/>
              <w:jc w:val="center"/>
              <w:rPr>
                <w:rFonts w:ascii="Times New Roman" w:hAnsi="Times New Roman" w:eastAsia="仿宋"/>
                <w:sz w:val="24"/>
                <w:szCs w:val="24"/>
              </w:rPr>
            </w:pPr>
          </w:p>
        </w:tc>
        <w:tc>
          <w:tcPr>
            <w:tcW w:w="854"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方案2:投影机、白板</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激光光源，镜头技术：超短焦镜头。</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显示尺寸：≥75英寸。</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亮度：≥3600流明。</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分辨率：≥3840*2160。</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控制和操作：采用触摸技术，支持多人操作。</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7"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78" w:type="pct"/>
            <w:vMerge w:val="continue"/>
            <w:vAlign w:val="center"/>
          </w:tcPr>
          <w:p>
            <w:pPr>
              <w:pStyle w:val="2"/>
              <w:spacing w:after="0" w:line="240" w:lineRule="auto"/>
              <w:jc w:val="center"/>
              <w:rPr>
                <w:rFonts w:ascii="Times New Roman" w:hAnsi="Times New Roman" w:eastAsia="仿宋"/>
                <w:sz w:val="24"/>
                <w:szCs w:val="24"/>
              </w:rPr>
            </w:pPr>
          </w:p>
        </w:tc>
        <w:tc>
          <w:tcPr>
            <w:tcW w:w="854"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电脑</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CPU：不低于4核8线程，主频≥2</w:t>
            </w:r>
            <w:r>
              <w:rPr>
                <w:rFonts w:ascii="Times New Roman" w:hAnsi="Times New Roman" w:eastAsia="仿宋"/>
                <w:sz w:val="24"/>
                <w:szCs w:val="24"/>
              </w:rPr>
              <w:t>.0GH</w:t>
            </w:r>
            <w:r>
              <w:rPr>
                <w:rFonts w:hint="eastAsia" w:ascii="Times New Roman" w:hAnsi="Times New Roman" w:eastAsia="仿宋"/>
                <w:sz w:val="24"/>
                <w:szCs w:val="24"/>
              </w:rPr>
              <w:t>z。</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内存：≥8G DDR3或DDR4。</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硬盘：≥256G SSD。</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7"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78" w:type="pct"/>
            <w:vMerge w:val="restar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周边设备</w:t>
            </w:r>
          </w:p>
        </w:tc>
        <w:tc>
          <w:tcPr>
            <w:tcW w:w="854"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书写黑板</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左右推拉结构，一次成型设计；两块固定两块移动组合设计。</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板面：采用先进技术优质烤漆板面，墨绿色、亚光。</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黑板需有磁吸功能，以满足教师不同教学需求。</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7"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78" w:type="pct"/>
            <w:vMerge w:val="continue"/>
            <w:vAlign w:val="center"/>
          </w:tcPr>
          <w:p>
            <w:pPr>
              <w:pStyle w:val="2"/>
              <w:spacing w:after="0" w:line="240" w:lineRule="auto"/>
              <w:jc w:val="center"/>
              <w:rPr>
                <w:rFonts w:ascii="Times New Roman" w:hAnsi="Times New Roman" w:eastAsia="仿宋"/>
                <w:sz w:val="24"/>
                <w:szCs w:val="24"/>
              </w:rPr>
            </w:pPr>
          </w:p>
        </w:tc>
        <w:tc>
          <w:tcPr>
            <w:tcW w:w="854"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多媒体讲台</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多媒体讲台，整体设计以人为本，边角圆弧过渡，表面平整，设有抽屉，内部可放教学终端等教学设备，有散热设计。</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7"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78" w:type="pct"/>
            <w:vMerge w:val="continue"/>
            <w:vAlign w:val="center"/>
          </w:tcPr>
          <w:p>
            <w:pPr>
              <w:pStyle w:val="2"/>
              <w:spacing w:after="0" w:line="240" w:lineRule="auto"/>
              <w:jc w:val="center"/>
              <w:rPr>
                <w:rFonts w:ascii="Times New Roman" w:hAnsi="Times New Roman" w:eastAsia="仿宋"/>
                <w:sz w:val="24"/>
                <w:szCs w:val="24"/>
              </w:rPr>
            </w:pPr>
          </w:p>
        </w:tc>
        <w:tc>
          <w:tcPr>
            <w:tcW w:w="854" w:type="pct"/>
            <w:vAlign w:val="center"/>
          </w:tcPr>
          <w:p>
            <w:pPr>
              <w:pStyle w:val="2"/>
              <w:spacing w:after="0" w:line="240" w:lineRule="auto"/>
              <w:jc w:val="center"/>
              <w:rPr>
                <w:rFonts w:ascii="Times New Roman" w:hAnsi="Times New Roman" w:eastAsia="仿宋"/>
                <w:sz w:val="24"/>
                <w:szCs w:val="24"/>
              </w:rPr>
            </w:pPr>
            <w:r>
              <w:rPr>
                <w:rFonts w:ascii="Times New Roman" w:hAnsi="Times New Roman" w:eastAsia="仿宋"/>
                <w:sz w:val="24"/>
                <w:szCs w:val="24"/>
              </w:rPr>
              <w:t>POE</w:t>
            </w:r>
            <w:r>
              <w:rPr>
                <w:rFonts w:hint="eastAsia" w:ascii="Times New Roman" w:hAnsi="Times New Roman" w:eastAsia="仿宋"/>
                <w:sz w:val="24"/>
                <w:szCs w:val="24"/>
              </w:rPr>
              <w:t>交换机</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根据学校实际需求配置。推荐5口POE交换机，62W。</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7"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000" w:type="pct"/>
            <w:gridSpan w:val="5"/>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lang w:eastAsia="zh-Hans"/>
              </w:rPr>
              <w:t>音视频采集</w:t>
            </w:r>
            <w:r>
              <w:rPr>
                <w:rFonts w:hint="eastAsia" w:ascii="Times New Roman" w:hAnsi="Times New Roman" w:eastAsia="仿宋"/>
                <w:b/>
                <w:bCs/>
                <w:sz w:val="24"/>
                <w:szCs w:val="24"/>
              </w:rPr>
              <w: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532" w:type="pct"/>
            <w:gridSpan w:val="2"/>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直播摄像设备</w:t>
            </w:r>
          </w:p>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（摄像头、麦克风一体化）</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自动聚焦，最高分辨率4K，支持多种视频输出，最高3840*2160@30/25fps</w:t>
            </w:r>
            <w:r>
              <w:rPr>
                <w:rFonts w:hint="eastAsia" w:ascii="Times New Roman" w:hAnsi="Times New Roman" w:eastAsia="仿宋"/>
                <w:sz w:val="24"/>
                <w:szCs w:val="24"/>
                <w:lang w:eastAsia="zh-Hans"/>
              </w:rPr>
              <w:t>。</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内置全向降噪高保真麦克风，拾音距离不低于5M。</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lang w:eastAsia="zh-Hans"/>
              </w:rPr>
              <w:t>支持USB摄像机或IP网络摄像机</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支持多样安装选择，可用三脚架固定、可桌面摆放、可LED显示屏挂放。</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7"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000" w:type="pct"/>
            <w:gridSpan w:val="5"/>
            <w:vAlign w:val="center"/>
          </w:tcPr>
          <w:p>
            <w:pPr>
              <w:pStyle w:val="2"/>
              <w:spacing w:after="0" w:line="240" w:lineRule="auto"/>
              <w:jc w:val="center"/>
              <w:rPr>
                <w:rFonts w:ascii="Times New Roman" w:hAnsi="Times New Roman" w:eastAsia="仿宋"/>
                <w:b/>
                <w:bCs/>
                <w:sz w:val="24"/>
                <w:szCs w:val="24"/>
                <w:lang w:eastAsia="zh-Hans"/>
              </w:rPr>
            </w:pPr>
            <w:r>
              <w:rPr>
                <w:rFonts w:hint="eastAsia" w:ascii="Times New Roman" w:hAnsi="Times New Roman" w:eastAsia="仿宋"/>
                <w:b/>
                <w:bCs/>
                <w:sz w:val="24"/>
                <w:szCs w:val="24"/>
                <w:lang w:eastAsia="zh-Hans"/>
              </w:rPr>
              <w:t>在线直播软件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532" w:type="pct"/>
            <w:gridSpan w:val="2"/>
            <w:vAlign w:val="center"/>
          </w:tcPr>
          <w:p>
            <w:pPr>
              <w:pStyle w:val="2"/>
              <w:spacing w:after="0" w:line="240" w:lineRule="auto"/>
              <w:jc w:val="center"/>
              <w:rPr>
                <w:rFonts w:ascii="Times New Roman" w:hAnsi="Times New Roman" w:eastAsia="仿宋"/>
                <w:sz w:val="24"/>
                <w:szCs w:val="24"/>
                <w:lang w:eastAsia="zh-Hans"/>
              </w:rPr>
            </w:pPr>
            <w:r>
              <w:rPr>
                <w:rFonts w:hint="eastAsia" w:ascii="Times New Roman" w:hAnsi="Times New Roman" w:eastAsia="仿宋"/>
                <w:sz w:val="24"/>
                <w:szCs w:val="24"/>
                <w:lang w:eastAsia="zh-Hans"/>
              </w:rPr>
              <w:t>软件平台</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lang w:eastAsia="zh-Hans"/>
              </w:rPr>
              <w:t>满足多媒体画面、音频同步输出</w:t>
            </w:r>
            <w:r>
              <w:rPr>
                <w:rFonts w:hint="eastAsia" w:ascii="Times New Roman" w:hAnsi="Times New Roman" w:eastAsia="仿宋"/>
                <w:sz w:val="24"/>
                <w:szCs w:val="24"/>
              </w:rPr>
              <w:t>。</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可</w:t>
            </w:r>
            <w:r>
              <w:rPr>
                <w:rFonts w:hint="eastAsia" w:ascii="Times New Roman" w:hAnsi="Times New Roman" w:eastAsia="仿宋"/>
                <w:sz w:val="24"/>
                <w:szCs w:val="24"/>
                <w:lang w:eastAsia="zh-Hans"/>
              </w:rPr>
              <w:t>支持听课端人员在线文字互动</w:t>
            </w:r>
            <w:r>
              <w:rPr>
                <w:rFonts w:hint="eastAsia" w:ascii="Times New Roman" w:hAnsi="Times New Roman" w:eastAsia="仿宋"/>
                <w:sz w:val="24"/>
                <w:szCs w:val="24"/>
              </w:rPr>
              <w:t>。</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lang w:eastAsia="zh-Hans"/>
              </w:rPr>
              <w:t>参考软件：包括但不限于腾讯会议、钉钉等。</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7" w:type="pct"/>
            <w:vAlign w:val="center"/>
          </w:tcPr>
          <w:p>
            <w:pPr>
              <w:pStyle w:val="2"/>
              <w:spacing w:after="0" w:line="240" w:lineRule="auto"/>
              <w:jc w:val="center"/>
              <w:rPr>
                <w:rFonts w:ascii="Times New Roman" w:hAnsi="Times New Roman" w:eastAsia="仿宋"/>
                <w:sz w:val="24"/>
                <w:szCs w:val="24"/>
                <w:lang w:eastAsia="zh-Hans"/>
              </w:rPr>
            </w:pPr>
            <w:r>
              <w:rPr>
                <w:rFonts w:hint="eastAsia" w:ascii="Times New Roman" w:hAnsi="Times New Roman" w:eastAsia="仿宋"/>
                <w:sz w:val="24"/>
                <w:szCs w:val="24"/>
                <w:lang w:eastAsia="zh-Hans"/>
              </w:rPr>
              <w:t>套</w:t>
            </w:r>
          </w:p>
        </w:tc>
      </w:tr>
    </w:tbl>
    <w:p>
      <w:pPr>
        <w:spacing w:after="0" w:line="360" w:lineRule="auto"/>
        <w:ind w:firstLine="562" w:firstLineChars="200"/>
        <w:jc w:val="both"/>
        <w:outlineLvl w:val="2"/>
        <w:rPr>
          <w:rFonts w:ascii="Times New Roman" w:hAnsi="Times New Roman" w:eastAsia="黑体"/>
          <w:sz w:val="28"/>
          <w:szCs w:val="28"/>
        </w:rPr>
      </w:pPr>
      <w:bookmarkStart w:id="62" w:name="_Toc5419"/>
      <w:bookmarkStart w:id="63" w:name="_Toc2242"/>
      <w:bookmarkStart w:id="64" w:name="_Toc19751"/>
      <w:bookmarkStart w:id="65" w:name="_Toc141707771"/>
      <w:bookmarkStart w:id="66" w:name="_Toc24041"/>
      <w:r>
        <w:rPr>
          <w:rFonts w:hint="eastAsia" w:ascii="仿宋" w:hAnsi="仿宋" w:eastAsia="仿宋"/>
          <w:b/>
          <w:bCs/>
          <w:sz w:val="28"/>
          <w:szCs w:val="28"/>
        </w:rPr>
        <w:t>2.常规录播型方案</w:t>
      </w:r>
      <w:bookmarkEnd w:id="62"/>
      <w:bookmarkEnd w:id="63"/>
      <w:bookmarkEnd w:id="64"/>
      <w:bookmarkEnd w:id="65"/>
      <w:bookmarkEnd w:id="66"/>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通过</w:t>
      </w:r>
      <w:r>
        <w:rPr>
          <w:rFonts w:hint="eastAsia" w:ascii="仿宋" w:hAnsi="仿宋" w:eastAsia="仿宋"/>
          <w:sz w:val="28"/>
          <w:szCs w:val="28"/>
          <w:lang w:eastAsia="zh-Hans"/>
        </w:rPr>
        <w:t>音视频</w:t>
      </w:r>
      <w:r>
        <w:rPr>
          <w:rFonts w:hint="eastAsia" w:ascii="仿宋" w:hAnsi="仿宋" w:eastAsia="仿宋"/>
          <w:sz w:val="28"/>
          <w:szCs w:val="28"/>
        </w:rPr>
        <w:t>播放</w:t>
      </w:r>
      <w:r>
        <w:rPr>
          <w:rFonts w:hint="eastAsia" w:ascii="仿宋" w:hAnsi="仿宋" w:eastAsia="仿宋"/>
          <w:sz w:val="28"/>
          <w:szCs w:val="28"/>
          <w:lang w:eastAsia="zh-Hans"/>
        </w:rPr>
        <w:t>硬件终端搭配音视频采集</w:t>
      </w:r>
      <w:r>
        <w:rPr>
          <w:rFonts w:hint="eastAsia" w:ascii="仿宋" w:hAnsi="仿宋" w:eastAsia="仿宋"/>
          <w:sz w:val="28"/>
          <w:szCs w:val="28"/>
        </w:rPr>
        <w:t>及录播软硬件设备</w:t>
      </w:r>
      <w:r>
        <w:rPr>
          <w:rFonts w:hint="eastAsia" w:ascii="仿宋" w:hAnsi="仿宋" w:eastAsia="仿宋"/>
          <w:sz w:val="28"/>
          <w:szCs w:val="28"/>
          <w:lang w:eastAsia="zh-Hans"/>
        </w:rPr>
        <w:t>，</w:t>
      </w:r>
      <w:r>
        <w:rPr>
          <w:rFonts w:hint="eastAsia" w:ascii="仿宋" w:hAnsi="仿宋" w:eastAsia="仿宋"/>
          <w:sz w:val="28"/>
          <w:szCs w:val="28"/>
        </w:rPr>
        <w:t>基于在线互动教室管理平台</w:t>
      </w:r>
      <w:r>
        <w:rPr>
          <w:rFonts w:hint="eastAsia" w:ascii="仿宋" w:hAnsi="仿宋" w:eastAsia="仿宋"/>
          <w:sz w:val="28"/>
          <w:szCs w:val="28"/>
          <w:lang w:eastAsia="zh-Hans"/>
        </w:rPr>
        <w:t>实现</w:t>
      </w:r>
      <w:r>
        <w:rPr>
          <w:rFonts w:hint="eastAsia" w:ascii="仿宋" w:hAnsi="仿宋" w:eastAsia="仿宋"/>
          <w:sz w:val="28"/>
          <w:szCs w:val="28"/>
        </w:rPr>
        <w:t>以线上互动</w:t>
      </w:r>
      <w:r>
        <w:rPr>
          <w:rFonts w:hint="eastAsia" w:ascii="仿宋" w:hAnsi="仿宋" w:eastAsia="仿宋"/>
          <w:sz w:val="28"/>
          <w:szCs w:val="28"/>
          <w:lang w:eastAsia="zh-Hans"/>
        </w:rPr>
        <w:t>课堂</w:t>
      </w:r>
      <w:r>
        <w:rPr>
          <w:rFonts w:hint="eastAsia" w:ascii="仿宋" w:hAnsi="仿宋" w:eastAsia="仿宋"/>
          <w:sz w:val="28"/>
          <w:szCs w:val="28"/>
        </w:rPr>
        <w:t>教学</w:t>
      </w:r>
      <w:r>
        <w:rPr>
          <w:rFonts w:hint="eastAsia" w:ascii="仿宋" w:hAnsi="仿宋" w:eastAsia="仿宋"/>
          <w:sz w:val="28"/>
          <w:szCs w:val="28"/>
          <w:lang w:eastAsia="zh-Hans"/>
        </w:rPr>
        <w:t>。</w:t>
      </w:r>
      <w:r>
        <w:rPr>
          <w:rFonts w:hint="eastAsia" w:ascii="仿宋" w:hAnsi="仿宋" w:eastAsia="仿宋"/>
          <w:sz w:val="28"/>
          <w:szCs w:val="28"/>
        </w:rPr>
        <w:t>该方案建设成本高于简约直播型方案，设备固定安装且布局需符合有关要求，主要适用于对音视频质量及视频录制有较高要求的应用场景。</w:t>
      </w:r>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按照实现</w:t>
      </w:r>
      <w:r>
        <w:rPr>
          <w:rFonts w:hint="eastAsia" w:ascii="仿宋" w:hAnsi="仿宋" w:eastAsia="仿宋"/>
          <w:sz w:val="28"/>
          <w:szCs w:val="28"/>
          <w:lang w:eastAsia="zh-Hans"/>
        </w:rPr>
        <w:t>音视频</w:t>
      </w:r>
      <w:r>
        <w:rPr>
          <w:rFonts w:hint="eastAsia" w:ascii="仿宋" w:hAnsi="仿宋" w:eastAsia="仿宋"/>
          <w:sz w:val="28"/>
          <w:szCs w:val="28"/>
        </w:rPr>
        <w:t>采集及录播方式的不同，该方案还可进一步分为软件型与硬件型。</w:t>
      </w:r>
    </w:p>
    <w:p>
      <w:pPr>
        <w:numPr>
          <w:ilvl w:val="0"/>
          <w:numId w:val="2"/>
        </w:num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软件型方案建设成本相对较低，主讲端教室与听讲端教室都可选用，无需录播主机，通过在大屏幕互动显示设备中安装远程互动软件，以远程互动软件控制教师/</w:t>
      </w:r>
      <w:r>
        <w:rPr>
          <w:rFonts w:ascii="仿宋" w:hAnsi="仿宋" w:eastAsia="仿宋"/>
          <w:sz w:val="28"/>
          <w:szCs w:val="28"/>
        </w:rPr>
        <w:t>学生</w:t>
      </w:r>
      <w:r>
        <w:rPr>
          <w:rFonts w:hint="eastAsia" w:ascii="仿宋" w:hAnsi="仿宋" w:eastAsia="仿宋"/>
          <w:sz w:val="28"/>
          <w:szCs w:val="28"/>
        </w:rPr>
        <w:t>摄像头、阵列麦克风等设备，在在线互动教室管理平台支持下可满足直播课堂、互动教学、网络教研、督导巡课、优质课程常态化本地录制与云端录制混合存储等需求。</w:t>
      </w:r>
    </w:p>
    <w:p>
      <w:pPr>
        <w:numPr>
          <w:ilvl w:val="0"/>
          <w:numId w:val="2"/>
        </w:numPr>
        <w:spacing w:after="0" w:line="360" w:lineRule="auto"/>
        <w:ind w:firstLine="560"/>
        <w:jc w:val="both"/>
        <w:rPr>
          <w:rFonts w:ascii="仿宋" w:hAnsi="仿宋" w:eastAsia="仿宋"/>
          <w:sz w:val="28"/>
          <w:szCs w:val="28"/>
        </w:rPr>
      </w:pPr>
      <w:r>
        <w:rPr>
          <w:rFonts w:hint="eastAsia" w:ascii="仿宋" w:hAnsi="仿宋" w:eastAsia="仿宋"/>
          <w:sz w:val="28"/>
          <w:szCs w:val="28"/>
        </w:rPr>
        <w:t>硬件型方案建设成本相对较高，主要用于主讲端教室，通过录播主机控制教师/</w:t>
      </w:r>
      <w:r>
        <w:rPr>
          <w:rFonts w:ascii="仿宋" w:hAnsi="仿宋" w:eastAsia="仿宋"/>
          <w:sz w:val="28"/>
          <w:szCs w:val="28"/>
        </w:rPr>
        <w:t>学生</w:t>
      </w:r>
      <w:r>
        <w:rPr>
          <w:rFonts w:hint="eastAsia" w:ascii="仿宋" w:hAnsi="仿宋" w:eastAsia="仿宋"/>
          <w:sz w:val="28"/>
          <w:szCs w:val="28"/>
        </w:rPr>
        <w:t>摄像头、阵列麦克风等设备，在在线互动教学管理平台支持下可满足直播课堂、互动教学、网络教研、督导巡课、优质课程常态化本地化录制存储等需求。本地化录制有利于实现AI课堂教学行为分析和数字化智能化网络教研。</w:t>
      </w:r>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具体设备布局示例如下：</w:t>
      </w:r>
    </w:p>
    <w:tbl>
      <w:tblPr>
        <w:tblStyle w:val="19"/>
        <w:tblW w:w="0" w:type="auto"/>
        <w:tblInd w:w="0" w:type="dxa"/>
        <w:tblLayout w:type="autofit"/>
        <w:tblCellMar>
          <w:top w:w="0" w:type="dxa"/>
          <w:left w:w="108" w:type="dxa"/>
          <w:bottom w:w="0" w:type="dxa"/>
          <w:right w:w="108" w:type="dxa"/>
        </w:tblCellMar>
      </w:tblPr>
      <w:tblGrid>
        <w:gridCol w:w="4196"/>
        <w:gridCol w:w="4110"/>
      </w:tblGrid>
      <w:tr>
        <w:tblPrEx>
          <w:tblCellMar>
            <w:top w:w="0" w:type="dxa"/>
            <w:left w:w="108" w:type="dxa"/>
            <w:bottom w:w="0" w:type="dxa"/>
            <w:right w:w="108" w:type="dxa"/>
          </w:tblCellMar>
        </w:tblPrEx>
        <w:trPr>
          <w:trHeight w:val="5025" w:hRule="atLeast"/>
        </w:trPr>
        <w:tc>
          <w:tcPr>
            <w:tcW w:w="4196" w:type="dxa"/>
            <w:shd w:val="clear" w:color="auto" w:fill="auto"/>
          </w:tcPr>
          <w:p>
            <w:pPr>
              <w:adjustRightInd w:val="0"/>
              <w:snapToGrid w:val="0"/>
              <w:spacing w:after="0" w:line="240" w:lineRule="auto"/>
              <w:jc w:val="center"/>
              <w:rPr>
                <w:rFonts w:ascii="仿宋" w:hAnsi="仿宋" w:eastAsia="仿宋"/>
                <w:sz w:val="28"/>
                <w:szCs w:val="28"/>
              </w:rPr>
            </w:pPr>
            <w:r>
              <w:rPr>
                <w:rFonts w:ascii="仿宋" w:hAnsi="仿宋" w:eastAsia="仿宋"/>
                <w:sz w:val="28"/>
                <w:szCs w:val="28"/>
              </w:rPr>
              <w:drawing>
                <wp:inline distT="0" distB="0" distL="0" distR="0">
                  <wp:extent cx="2505075" cy="3066415"/>
                  <wp:effectExtent l="0" t="0" r="9525" b="63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8"/>
                          <a:stretch>
                            <a:fillRect/>
                          </a:stretch>
                        </pic:blipFill>
                        <pic:spPr>
                          <a:xfrm>
                            <a:off x="0" y="0"/>
                            <a:ext cx="2505673" cy="3066554"/>
                          </a:xfrm>
                          <a:prstGeom prst="rect">
                            <a:avLst/>
                          </a:prstGeom>
                        </pic:spPr>
                      </pic:pic>
                    </a:graphicData>
                  </a:graphic>
                </wp:inline>
              </w:drawing>
            </w:r>
          </w:p>
          <w:p>
            <w:pPr>
              <w:pStyle w:val="2"/>
              <w:jc w:val="center"/>
              <w:rPr>
                <w:rFonts w:ascii="Times New Roman" w:hAnsi="Times New Roman" w:eastAsia="仿宋"/>
                <w:sz w:val="24"/>
                <w:szCs w:val="24"/>
              </w:rPr>
            </w:pPr>
            <w:r>
              <w:rPr>
                <w:rFonts w:ascii="Times New Roman" w:hAnsi="Times New Roman" w:eastAsia="仿宋"/>
                <w:sz w:val="24"/>
                <w:szCs w:val="24"/>
              </w:rPr>
              <w:t xml:space="preserve">图 </w:t>
            </w:r>
            <w:r>
              <w:rPr>
                <w:rFonts w:ascii="Times New Roman" w:hAnsi="Times New Roman" w:eastAsia="仿宋"/>
                <w:sz w:val="24"/>
                <w:szCs w:val="24"/>
              </w:rPr>
              <w:fldChar w:fldCharType="begin"/>
            </w:r>
            <w:r>
              <w:rPr>
                <w:rFonts w:ascii="Times New Roman" w:hAnsi="Times New Roman" w:eastAsia="仿宋"/>
                <w:sz w:val="24"/>
                <w:szCs w:val="24"/>
              </w:rPr>
              <w:instrText xml:space="preserve"> SEQ 图 \* ARABIC </w:instrText>
            </w:r>
            <w:r>
              <w:rPr>
                <w:rFonts w:ascii="Times New Roman" w:hAnsi="Times New Roman" w:eastAsia="仿宋"/>
                <w:sz w:val="24"/>
                <w:szCs w:val="24"/>
              </w:rPr>
              <w:fldChar w:fldCharType="separate"/>
            </w:r>
            <w:r>
              <w:rPr>
                <w:rFonts w:ascii="Times New Roman" w:hAnsi="Times New Roman" w:eastAsia="仿宋"/>
                <w:sz w:val="24"/>
                <w:szCs w:val="24"/>
              </w:rPr>
              <w:t>1</w:t>
            </w:r>
            <w:r>
              <w:rPr>
                <w:rFonts w:ascii="Times New Roman" w:hAnsi="Times New Roman" w:eastAsia="仿宋"/>
                <w:sz w:val="24"/>
                <w:szCs w:val="24"/>
              </w:rPr>
              <w:fldChar w:fldCharType="end"/>
            </w:r>
            <w:r>
              <w:rPr>
                <w:rFonts w:ascii="Times New Roman" w:hAnsi="Times New Roman" w:eastAsia="仿宋"/>
                <w:sz w:val="24"/>
                <w:szCs w:val="24"/>
              </w:rPr>
              <w:t xml:space="preserve"> </w:t>
            </w:r>
            <w:r>
              <w:rPr>
                <w:rFonts w:hint="eastAsia" w:ascii="Times New Roman" w:hAnsi="Times New Roman" w:eastAsia="仿宋"/>
                <w:sz w:val="24"/>
                <w:szCs w:val="24"/>
              </w:rPr>
              <w:t>常规录播型在线互动教室主讲端布局示意图</w:t>
            </w:r>
          </w:p>
        </w:tc>
        <w:tc>
          <w:tcPr>
            <w:tcW w:w="4110" w:type="dxa"/>
            <w:shd w:val="clear" w:color="auto" w:fill="auto"/>
          </w:tcPr>
          <w:p>
            <w:pPr>
              <w:adjustRightInd w:val="0"/>
              <w:snapToGrid w:val="0"/>
              <w:spacing w:after="0" w:line="240" w:lineRule="auto"/>
              <w:jc w:val="center"/>
              <w:rPr>
                <w:rFonts w:ascii="仿宋" w:hAnsi="仿宋" w:eastAsia="仿宋"/>
                <w:sz w:val="28"/>
                <w:szCs w:val="28"/>
              </w:rPr>
            </w:pPr>
            <w:r>
              <w:rPr>
                <w:rFonts w:ascii="仿宋" w:hAnsi="仿宋" w:eastAsia="仿宋"/>
                <w:sz w:val="28"/>
                <w:szCs w:val="28"/>
              </w:rPr>
              <w:drawing>
                <wp:inline distT="0" distB="0" distL="0" distR="0">
                  <wp:extent cx="2444115" cy="3048000"/>
                  <wp:effectExtent l="0" t="0" r="0" b="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9"/>
                          <a:stretch>
                            <a:fillRect/>
                          </a:stretch>
                        </pic:blipFill>
                        <pic:spPr>
                          <a:xfrm>
                            <a:off x="0" y="0"/>
                            <a:ext cx="2444708" cy="3048264"/>
                          </a:xfrm>
                          <a:prstGeom prst="rect">
                            <a:avLst/>
                          </a:prstGeom>
                        </pic:spPr>
                      </pic:pic>
                    </a:graphicData>
                  </a:graphic>
                </wp:inline>
              </w:drawing>
            </w:r>
          </w:p>
          <w:p>
            <w:pPr>
              <w:pStyle w:val="2"/>
              <w:jc w:val="center"/>
            </w:pPr>
            <w:r>
              <w:rPr>
                <w:rFonts w:ascii="Times New Roman" w:hAnsi="Times New Roman" w:eastAsia="仿宋"/>
                <w:sz w:val="24"/>
                <w:szCs w:val="24"/>
              </w:rPr>
              <w:t xml:space="preserve">图 </w:t>
            </w:r>
            <w:r>
              <w:rPr>
                <w:rFonts w:ascii="Times New Roman" w:hAnsi="Times New Roman" w:eastAsia="仿宋"/>
                <w:sz w:val="24"/>
                <w:szCs w:val="24"/>
              </w:rPr>
              <w:fldChar w:fldCharType="begin"/>
            </w:r>
            <w:r>
              <w:rPr>
                <w:rFonts w:ascii="Times New Roman" w:hAnsi="Times New Roman" w:eastAsia="仿宋"/>
                <w:sz w:val="24"/>
                <w:szCs w:val="24"/>
              </w:rPr>
              <w:instrText xml:space="preserve"> SEQ 图 \* ARABIC </w:instrText>
            </w:r>
            <w:r>
              <w:rPr>
                <w:rFonts w:ascii="Times New Roman" w:hAnsi="Times New Roman" w:eastAsia="仿宋"/>
                <w:sz w:val="24"/>
                <w:szCs w:val="24"/>
              </w:rPr>
              <w:fldChar w:fldCharType="separate"/>
            </w:r>
            <w:r>
              <w:rPr>
                <w:rFonts w:ascii="Times New Roman" w:hAnsi="Times New Roman" w:eastAsia="仿宋"/>
                <w:sz w:val="24"/>
                <w:szCs w:val="24"/>
              </w:rPr>
              <w:t>2</w:t>
            </w:r>
            <w:r>
              <w:rPr>
                <w:rFonts w:ascii="Times New Roman" w:hAnsi="Times New Roman" w:eastAsia="仿宋"/>
                <w:sz w:val="24"/>
                <w:szCs w:val="24"/>
              </w:rPr>
              <w:fldChar w:fldCharType="end"/>
            </w:r>
            <w:r>
              <w:rPr>
                <w:rFonts w:ascii="Times New Roman" w:hAnsi="Times New Roman" w:eastAsia="仿宋"/>
                <w:sz w:val="24"/>
                <w:szCs w:val="24"/>
              </w:rPr>
              <w:t xml:space="preserve"> </w:t>
            </w:r>
            <w:r>
              <w:rPr>
                <w:rFonts w:hint="eastAsia" w:ascii="Times New Roman" w:hAnsi="Times New Roman" w:eastAsia="仿宋"/>
                <w:sz w:val="24"/>
                <w:szCs w:val="24"/>
              </w:rPr>
              <w:t>常规录播型在线互动教室听课端布局示意图</w:t>
            </w:r>
          </w:p>
        </w:tc>
      </w:tr>
    </w:tbl>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主要软硬件设备、关键技术参数及功能要求如下：</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456"/>
        <w:gridCol w:w="4638"/>
        <w:gridCol w:w="614"/>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34" w:type="pct"/>
            <w:gridSpan w:val="2"/>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设备/器材</w:t>
            </w:r>
          </w:p>
        </w:tc>
        <w:tc>
          <w:tcPr>
            <w:tcW w:w="2721" w:type="pct"/>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关键技术参数及功能</w:t>
            </w:r>
          </w:p>
        </w:tc>
        <w:tc>
          <w:tcPr>
            <w:tcW w:w="360" w:type="pct"/>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数量</w:t>
            </w:r>
          </w:p>
        </w:tc>
        <w:tc>
          <w:tcPr>
            <w:tcW w:w="385" w:type="pct"/>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000" w:type="pct"/>
            <w:gridSpan w:val="5"/>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b/>
                <w:bCs/>
                <w:sz w:val="24"/>
                <w:szCs w:val="24"/>
              </w:rPr>
              <w:t>多媒体教室通用设备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680" w:type="pct"/>
            <w:vMerge w:val="restar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大屏幕互动显示设备</w:t>
            </w:r>
          </w:p>
        </w:tc>
        <w:tc>
          <w:tcPr>
            <w:tcW w:w="854"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方案1:触控一体机</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显示尺寸：≥75英寸。</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亮度：≥300cd/㎡。</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分辨率：≥3840*2160。</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控制和操作：采用触摸技术，支持多人操作。</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5"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80" w:type="pct"/>
            <w:vMerge w:val="continue"/>
            <w:vAlign w:val="center"/>
          </w:tcPr>
          <w:p>
            <w:pPr>
              <w:pStyle w:val="2"/>
              <w:spacing w:after="0" w:line="240" w:lineRule="auto"/>
              <w:jc w:val="center"/>
              <w:rPr>
                <w:rFonts w:ascii="Times New Roman" w:hAnsi="Times New Roman" w:eastAsia="仿宋"/>
                <w:sz w:val="24"/>
                <w:szCs w:val="24"/>
              </w:rPr>
            </w:pPr>
          </w:p>
        </w:tc>
        <w:tc>
          <w:tcPr>
            <w:tcW w:w="854"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方案2:投影机、白板</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激光光源，镜头技术：超短焦镜头。</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显示尺寸：≥75英寸。</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亮度：≥3600流明。</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分辨率：≥3840*2160。</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控制和操作：采用触摸技术，支持多人操作。</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5"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80" w:type="pct"/>
            <w:vMerge w:val="continue"/>
            <w:vAlign w:val="center"/>
          </w:tcPr>
          <w:p>
            <w:pPr>
              <w:pStyle w:val="2"/>
              <w:spacing w:after="0" w:line="240" w:lineRule="auto"/>
              <w:jc w:val="center"/>
              <w:rPr>
                <w:rFonts w:ascii="Times New Roman" w:hAnsi="Times New Roman" w:eastAsia="仿宋"/>
                <w:sz w:val="24"/>
                <w:szCs w:val="24"/>
              </w:rPr>
            </w:pPr>
          </w:p>
        </w:tc>
        <w:tc>
          <w:tcPr>
            <w:tcW w:w="854"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电脑</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CPU：不低于4核8线程，主频≥</w:t>
            </w:r>
            <w:r>
              <w:rPr>
                <w:rFonts w:ascii="Times New Roman" w:hAnsi="Times New Roman" w:eastAsia="仿宋"/>
                <w:sz w:val="24"/>
                <w:szCs w:val="24"/>
              </w:rPr>
              <w:t>2.0GH</w:t>
            </w:r>
            <w:r>
              <w:rPr>
                <w:rFonts w:hint="eastAsia" w:ascii="Times New Roman" w:hAnsi="Times New Roman" w:eastAsia="仿宋"/>
                <w:sz w:val="24"/>
                <w:szCs w:val="24"/>
              </w:rPr>
              <w:t>z。</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内存：≥8G DDR3或DDR4。</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硬盘：≥256G SSD。</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5"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80" w:type="pct"/>
            <w:vMerge w:val="restar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周边</w:t>
            </w:r>
          </w:p>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设备</w:t>
            </w:r>
          </w:p>
        </w:tc>
        <w:tc>
          <w:tcPr>
            <w:tcW w:w="854"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书写黑板</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左右推拉结构，一次成型设计；两块固定两块移动组合设计。</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板面：采用先进技术优质烤漆板面，墨绿色、亚光。</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黑板需有磁吸功能，以满足教师不同教学需求。</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5"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80" w:type="pct"/>
            <w:vMerge w:val="continue"/>
            <w:vAlign w:val="center"/>
          </w:tcPr>
          <w:p>
            <w:pPr>
              <w:pStyle w:val="2"/>
              <w:spacing w:after="0" w:line="240" w:lineRule="auto"/>
              <w:jc w:val="center"/>
              <w:rPr>
                <w:rFonts w:ascii="Times New Roman" w:hAnsi="Times New Roman" w:eastAsia="仿宋"/>
                <w:sz w:val="24"/>
                <w:szCs w:val="24"/>
              </w:rPr>
            </w:pPr>
          </w:p>
        </w:tc>
        <w:tc>
          <w:tcPr>
            <w:tcW w:w="854"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多媒体讲台</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多媒体讲台，整体设计以人为本，边角圆弧过渡，表面平整，设有抽屉，内部可放教学终端等教学设备，有散热设计。</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5"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80" w:type="pct"/>
            <w:vMerge w:val="continue"/>
            <w:vAlign w:val="center"/>
          </w:tcPr>
          <w:p>
            <w:pPr>
              <w:pStyle w:val="2"/>
              <w:spacing w:after="0" w:line="240" w:lineRule="auto"/>
              <w:jc w:val="center"/>
              <w:rPr>
                <w:rFonts w:ascii="Times New Roman" w:hAnsi="Times New Roman" w:eastAsia="仿宋"/>
                <w:sz w:val="24"/>
                <w:szCs w:val="24"/>
              </w:rPr>
            </w:pPr>
          </w:p>
        </w:tc>
        <w:tc>
          <w:tcPr>
            <w:tcW w:w="854" w:type="pct"/>
            <w:vAlign w:val="center"/>
          </w:tcPr>
          <w:p>
            <w:pPr>
              <w:pStyle w:val="2"/>
              <w:spacing w:after="0" w:line="240" w:lineRule="auto"/>
              <w:jc w:val="center"/>
              <w:rPr>
                <w:rFonts w:ascii="Times New Roman" w:hAnsi="Times New Roman" w:eastAsia="仿宋"/>
                <w:sz w:val="24"/>
                <w:szCs w:val="24"/>
              </w:rPr>
            </w:pPr>
            <w:r>
              <w:rPr>
                <w:rFonts w:ascii="Times New Roman" w:hAnsi="Times New Roman" w:eastAsia="仿宋"/>
                <w:sz w:val="24"/>
                <w:szCs w:val="24"/>
              </w:rPr>
              <w:t>POE</w:t>
            </w:r>
            <w:r>
              <w:rPr>
                <w:rFonts w:hint="eastAsia" w:ascii="Times New Roman" w:hAnsi="Times New Roman" w:eastAsia="仿宋"/>
                <w:sz w:val="24"/>
                <w:szCs w:val="24"/>
              </w:rPr>
              <w:t>交换机</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根据学校实际需求配置。推荐5口POE交换机，62W。</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5"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5000" w:type="pct"/>
            <w:gridSpan w:val="5"/>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音视频采集及录播软硬件设备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534" w:type="pct"/>
            <w:gridSpan w:val="2"/>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远程互动软件</w:t>
            </w:r>
          </w:p>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（软件型方案配备）</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支持快速开展直播、互动、教研等功能。</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支持SIP或H.323等国际标准，视频编码应支持H.264等视频标准，音频编解码算法应符合 ITU G.711、G.722等国际标准。</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各区县/中小学可根据需求，选择自建在线互动平台及资源管理平台，但需保证平台能够提供监测管理相关数据，或可以选择接入海南省中小学5G同步课堂公共服务平台。</w:t>
            </w:r>
          </w:p>
        </w:tc>
        <w:tc>
          <w:tcPr>
            <w:tcW w:w="360" w:type="pct"/>
            <w:vAlign w:val="center"/>
          </w:tcPr>
          <w:p>
            <w:pPr>
              <w:pStyle w:val="2"/>
              <w:spacing w:after="0" w:line="240" w:lineRule="auto"/>
              <w:jc w:val="center"/>
              <w:rPr>
                <w:rFonts w:ascii="Times New Roman" w:hAnsi="Times New Roman" w:eastAsia="仿宋"/>
                <w:sz w:val="24"/>
                <w:szCs w:val="24"/>
              </w:rPr>
            </w:pPr>
          </w:p>
        </w:tc>
        <w:tc>
          <w:tcPr>
            <w:tcW w:w="385" w:type="pct"/>
            <w:vAlign w:val="center"/>
          </w:tcPr>
          <w:p>
            <w:pPr>
              <w:pStyle w:val="2"/>
              <w:spacing w:after="0" w:line="240" w:lineRule="auto"/>
              <w:jc w:val="center"/>
              <w:rPr>
                <w:rFonts w:ascii="Times New Roman" w:hAnsi="Times New Roman"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534" w:type="pct"/>
            <w:gridSpan w:val="2"/>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录播主机</w:t>
            </w:r>
          </w:p>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（硬件型方案配备）</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为提高方案性价比，录播主机采用一体化设计，具备录制、导播、互动、管理、存储、音视频的编解码功能。</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可采用嵌入架构设计。若需采用PC架构设计，推荐采用软件型方案，既通过教室大屏PC控制录播系统，无需增加录播主机。</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主机存储容量不低于1TB，保障每天常态化录制6节课、录制码率2.5Mbps条件下，1学年的资源存储需求。</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为方便教师观看录制视频，录播主机建议自带屏幕与扬声器，设备平均无故障工作时间MTBF≥20万小时。</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支持SIP或H.323等国际标准，视频编码应支持H.264等视频标准，音频编解码算法应符合ITU G.711、G.722等国际标准。</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各区县/中小学可根据需求，选择自建在线互动平台及资源管理平台，但需保证平台能够提供监测管理相关数据，或可以选择接入海南省中小学5G同步课堂公共服务平台。</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5"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534" w:type="pct"/>
            <w:gridSpan w:val="2"/>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教师摄像机</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采用一机双镜设计，内置图像识别跟踪算法，搭配隐藏式微型云台，提高建设性价比，确保教师画面拍齐拍清。</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全影镜头水平视场角≥40°，特写镜头水平视场角≥20°。</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支持4K超高清，最大可提供4K图像编码输出。</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传感器尺寸 CMOS ≥ 1/2.8英寸。</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全景图像传感器有效像素≥400万，特写图像传感器有效像素≥800万。</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5"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534" w:type="pct"/>
            <w:gridSpan w:val="2"/>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学生摄像机</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采用一机双镜设计，内置图像识别跟踪算法，搭配隐藏式微型云台，提高建设性价比，确保学生画面拍齐拍清。</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全影镜头水平视场角≥110°，特写镜头水平视场角≥40°。</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支持4K超高清，最大可提供4K图像编码输出。</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传感器尺寸 CMOS ≥ 1/2.8英寸。</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全景图像传感器有效像素≥400万，特写图像传感器有效像素≥800万。</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5"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534" w:type="pct"/>
            <w:gridSpan w:val="2"/>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阵列麦克风</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教室面积≤80m</w:t>
            </w:r>
            <w:r>
              <w:rPr>
                <w:rFonts w:hint="eastAsia" w:eastAsia="仿宋" w:cs="Calibri"/>
                <w:sz w:val="24"/>
                <w:szCs w:val="24"/>
              </w:rPr>
              <w:t>²时，建议采用</w:t>
            </w:r>
            <w:r>
              <w:rPr>
                <w:rFonts w:hint="eastAsia" w:ascii="Times New Roman" w:hAnsi="Times New Roman" w:eastAsia="仿宋"/>
                <w:sz w:val="24"/>
                <w:szCs w:val="24"/>
              </w:rPr>
              <w:t>2个阵列麦克风。教室面积＞80m²时，阵列麦克风应结合实际适当增加。</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单个阵列麦克风内置8个传感器。</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结合AI降噪技术，满足教室有效区域噪声消除，确保教师人声清晰拾音</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2</w:t>
            </w:r>
          </w:p>
        </w:tc>
        <w:tc>
          <w:tcPr>
            <w:tcW w:w="385"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534" w:type="pct"/>
            <w:gridSpan w:val="2"/>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无线麦克风</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无线麦克风建议采用“一师一麦”或“一室一麦”方案。</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考虑续航需求，无线麦克风自带充电仓，内置双麦克风可供教师交替使用。</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麦克风电池容量≥180mAh，采用可充电式锂电池，非待机情况下续航时间≥7h。</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为保障拾音及扩声效果，无线麦克风内置音频处理算法，具备自动增益、自动混音、自动降噪、回声抑制、啸叫抑制等功能。</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5"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534" w:type="pct"/>
            <w:gridSpan w:val="2"/>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有源音箱</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为保障教室扩声效果和建设性价比，采用功放与互动音箱一体化设计，建议有源音箱单个功率为</w:t>
            </w:r>
            <w:r>
              <w:rPr>
                <w:rFonts w:ascii="Times New Roman" w:hAnsi="Times New Roman" w:eastAsia="仿宋"/>
                <w:sz w:val="24"/>
                <w:szCs w:val="24"/>
              </w:rPr>
              <w:t>10W~20W</w:t>
            </w:r>
            <w:r>
              <w:rPr>
                <w:rFonts w:hint="eastAsia" w:ascii="Times New Roman" w:hAnsi="Times New Roman" w:eastAsia="仿宋"/>
                <w:sz w:val="24"/>
                <w:szCs w:val="24"/>
              </w:rPr>
              <w:t>。</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教室面积≤</w:t>
            </w:r>
            <w:r>
              <w:rPr>
                <w:rFonts w:ascii="Times New Roman" w:hAnsi="Times New Roman" w:eastAsia="仿宋"/>
                <w:sz w:val="24"/>
                <w:szCs w:val="24"/>
              </w:rPr>
              <w:t>80m</w:t>
            </w:r>
            <w:r>
              <w:rPr>
                <w:rFonts w:hint="eastAsia" w:ascii="Times New Roman" w:hAnsi="Times New Roman" w:eastAsia="仿宋"/>
                <w:sz w:val="24"/>
                <w:szCs w:val="24"/>
              </w:rPr>
              <w:t>²采用</w:t>
            </w:r>
            <w:r>
              <w:rPr>
                <w:rFonts w:ascii="Times New Roman" w:hAnsi="Times New Roman" w:eastAsia="仿宋"/>
                <w:sz w:val="24"/>
                <w:szCs w:val="24"/>
              </w:rPr>
              <w:t>1</w:t>
            </w:r>
            <w:r>
              <w:rPr>
                <w:rFonts w:hint="eastAsia" w:ascii="Times New Roman" w:hAnsi="Times New Roman" w:eastAsia="仿宋"/>
                <w:sz w:val="24"/>
                <w:szCs w:val="24"/>
              </w:rPr>
              <w:t>对有源音箱，面向学生安装于教室前方。</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若教室面积＞</w:t>
            </w:r>
            <w:r>
              <w:rPr>
                <w:rFonts w:ascii="Times New Roman" w:hAnsi="Times New Roman" w:eastAsia="仿宋"/>
                <w:sz w:val="24"/>
                <w:szCs w:val="24"/>
              </w:rPr>
              <w:t>80m</w:t>
            </w:r>
            <w:r>
              <w:rPr>
                <w:rFonts w:hint="eastAsia" w:ascii="Times New Roman" w:hAnsi="Times New Roman" w:eastAsia="仿宋"/>
                <w:sz w:val="24"/>
                <w:szCs w:val="24"/>
              </w:rPr>
              <w:t>²，则增加</w:t>
            </w:r>
            <w:r>
              <w:rPr>
                <w:rFonts w:ascii="Times New Roman" w:hAnsi="Times New Roman" w:eastAsia="仿宋"/>
                <w:sz w:val="24"/>
                <w:szCs w:val="24"/>
              </w:rPr>
              <w:t>1</w:t>
            </w:r>
            <w:r>
              <w:rPr>
                <w:rFonts w:hint="eastAsia" w:ascii="Times New Roman" w:hAnsi="Times New Roman" w:eastAsia="仿宋"/>
                <w:sz w:val="24"/>
                <w:szCs w:val="24"/>
              </w:rPr>
              <w:t>对</w:t>
            </w:r>
            <w:r>
              <w:rPr>
                <w:rFonts w:hint="eastAsia" w:eastAsia="仿宋" w:cs="Calibri"/>
                <w:sz w:val="24"/>
                <w:szCs w:val="24"/>
              </w:rPr>
              <w:t>有源音箱，面向学生安装于教室后方。</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1或2</w:t>
            </w:r>
          </w:p>
        </w:tc>
        <w:tc>
          <w:tcPr>
            <w:tcW w:w="385"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534" w:type="pct"/>
            <w:gridSpan w:val="2"/>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辅助显示屏幕</w:t>
            </w:r>
          </w:p>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（主讲端配备）</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辅助显示屏幕配置于互动课堂中主讲端教室，用于互动课堂中观看听课端教室学生情况。</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为确保显示屏不阻挡教室视线，建议采用55寸显示屏，教师可选择云课件与直播关联教师可选择云课件与直播关联且屏幕离教师直线距离不超过3m。</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建议采用可遥控旋转支架，满足不同视角的辅助显示。</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5"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台</w:t>
            </w:r>
          </w:p>
        </w:tc>
      </w:tr>
    </w:tbl>
    <w:p>
      <w:pPr>
        <w:pStyle w:val="5"/>
        <w:spacing w:before="0" w:after="0" w:line="360" w:lineRule="auto"/>
        <w:ind w:firstLine="562" w:firstLineChars="200"/>
        <w:jc w:val="both"/>
        <w:rPr>
          <w:rFonts w:ascii="Times New Roman" w:hAnsi="Times New Roman" w:eastAsia="黑体"/>
          <w:b w:val="0"/>
          <w:bCs w:val="0"/>
          <w:sz w:val="28"/>
          <w:szCs w:val="28"/>
        </w:rPr>
      </w:pPr>
      <w:bookmarkStart w:id="67" w:name="_Toc27062"/>
      <w:bookmarkStart w:id="68" w:name="_Toc16238"/>
      <w:bookmarkStart w:id="69" w:name="_Toc2698"/>
      <w:bookmarkStart w:id="70" w:name="_Toc141707773"/>
      <w:bookmarkStart w:id="71" w:name="_Toc23946"/>
      <w:bookmarkStart w:id="72" w:name="_Toc25408"/>
      <w:bookmarkStart w:id="73" w:name="_Toc3273"/>
      <w:r>
        <w:rPr>
          <w:rFonts w:hint="eastAsia" w:ascii="仿宋" w:hAnsi="仿宋" w:eastAsia="仿宋"/>
          <w:sz w:val="28"/>
          <w:szCs w:val="28"/>
        </w:rPr>
        <w:t>3.移动录播型方案</w:t>
      </w:r>
      <w:bookmarkEnd w:id="67"/>
      <w:bookmarkEnd w:id="68"/>
      <w:bookmarkEnd w:id="69"/>
      <w:bookmarkEnd w:id="70"/>
      <w:bookmarkEnd w:id="71"/>
      <w:bookmarkEnd w:id="72"/>
      <w:bookmarkEnd w:id="73"/>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该方案主要用于主讲端教室，配套的听讲端教室建设可参考常规录播软件型方案，可实现课堂直播、互动教学与优质教学资源录制。该方案与常规录播型方案主要区别在于主讲端教室设备可移动，安装位置不固定，可结合现场需要灵活布局。该方案主要适用于线上互动教学主讲端场所不固定，可根据需要随时布置于教室、会议室、操场等不同场所的应用场景。</w:t>
      </w:r>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具体设备布局要求如下：</w:t>
      </w:r>
    </w:p>
    <w:p>
      <w:pPr>
        <w:pStyle w:val="2"/>
        <w:adjustRightInd w:val="0"/>
        <w:snapToGrid w:val="0"/>
        <w:spacing w:after="0" w:line="240" w:lineRule="auto"/>
        <w:jc w:val="center"/>
      </w:pPr>
      <w:r>
        <w:drawing>
          <wp:inline distT="0" distB="0" distL="0" distR="0">
            <wp:extent cx="5273040" cy="2966085"/>
            <wp:effectExtent l="0" t="0" r="3810" b="571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3601" cy="2966400"/>
                    </a:xfrm>
                    <a:prstGeom prst="rect">
                      <a:avLst/>
                    </a:prstGeom>
                    <a:ln>
                      <a:noFill/>
                    </a:ln>
                  </pic:spPr>
                </pic:pic>
              </a:graphicData>
            </a:graphic>
          </wp:inline>
        </w:drawing>
      </w:r>
    </w:p>
    <w:p>
      <w:pPr>
        <w:pStyle w:val="8"/>
        <w:adjustRightInd/>
        <w:snapToGrid/>
        <w:spacing w:after="156" w:afterLines="50" w:line="240" w:lineRule="auto"/>
        <w:ind w:firstLine="0" w:firstLineChars="0"/>
        <w:jc w:val="center"/>
        <w:rPr>
          <w:rFonts w:ascii="Times New Roman" w:hAnsi="Times New Roman" w:eastAsia="仿宋"/>
          <w:sz w:val="24"/>
          <w:szCs w:val="24"/>
        </w:rPr>
      </w:pPr>
      <w:r>
        <w:rPr>
          <w:rFonts w:ascii="Times New Roman" w:hAnsi="Times New Roman" w:eastAsia="仿宋"/>
          <w:sz w:val="24"/>
          <w:szCs w:val="24"/>
        </w:rPr>
        <w:t xml:space="preserve">图 </w:t>
      </w:r>
      <w:r>
        <w:rPr>
          <w:rFonts w:hint="eastAsia" w:ascii="Times New Roman" w:hAnsi="Times New Roman" w:eastAsia="仿宋"/>
          <w:sz w:val="24"/>
          <w:szCs w:val="24"/>
        </w:rPr>
        <w:t>3</w:t>
      </w:r>
      <w:r>
        <w:rPr>
          <w:rFonts w:ascii="Times New Roman" w:hAnsi="Times New Roman" w:eastAsia="仿宋"/>
          <w:sz w:val="24"/>
          <w:szCs w:val="24"/>
        </w:rPr>
        <w:t xml:space="preserve"> </w:t>
      </w:r>
      <w:r>
        <w:rPr>
          <w:rFonts w:hint="eastAsia" w:ascii="Times New Roman" w:hAnsi="Times New Roman" w:eastAsia="仿宋"/>
          <w:sz w:val="24"/>
          <w:szCs w:val="24"/>
        </w:rPr>
        <w:t>移动录播型方案主讲端布局示例</w:t>
      </w:r>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主要软硬件设备、关键技术参数及功能要求如下：</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5"/>
        <w:gridCol w:w="4639"/>
        <w:gridCol w:w="614"/>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534" w:type="pct"/>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设备/器材</w:t>
            </w:r>
          </w:p>
        </w:tc>
        <w:tc>
          <w:tcPr>
            <w:tcW w:w="2721" w:type="pct"/>
            <w:vAlign w:val="center"/>
          </w:tcPr>
          <w:p>
            <w:pPr>
              <w:pStyle w:val="2"/>
              <w:numPr>
                <w:ilvl w:val="255"/>
                <w:numId w:val="0"/>
              </w:numPr>
              <w:spacing w:after="0"/>
              <w:jc w:val="center"/>
              <w:rPr>
                <w:rFonts w:ascii="Times New Roman" w:hAnsi="Times New Roman" w:eastAsia="仿宋"/>
                <w:b/>
                <w:bCs/>
                <w:sz w:val="24"/>
                <w:szCs w:val="24"/>
              </w:rPr>
            </w:pPr>
            <w:r>
              <w:rPr>
                <w:rFonts w:hint="eastAsia" w:ascii="Times New Roman" w:hAnsi="Times New Roman" w:eastAsia="仿宋"/>
                <w:b/>
                <w:bCs/>
                <w:sz w:val="24"/>
                <w:szCs w:val="24"/>
              </w:rPr>
              <w:t>关键技术参数及功能</w:t>
            </w:r>
          </w:p>
        </w:tc>
        <w:tc>
          <w:tcPr>
            <w:tcW w:w="360" w:type="pct"/>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数量</w:t>
            </w:r>
          </w:p>
        </w:tc>
        <w:tc>
          <w:tcPr>
            <w:tcW w:w="383" w:type="pct"/>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534"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移动录播主机</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为满足便捷操控导播，主机配置≥15英寸液晶触控屏，内置大容量电池，具备录制、导播、互动、管理、存储、音视频的编解码功能。</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主机内置电池模组，电池容量≥16000mAH，可支持≥6小时续航。</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主机内置5G或WIFI6模组，无需外接无线网卡即可连接WIFI网络实现直播。</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支持≥4路无线视频信号输入，支持≥100m无线图像传输。</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拾音应支持无线云台摄像头拾音、无线麦克风拾音等多种方式。</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支持SIP或H.323等国际标准，视频编码应支持H.264等视频标准，音频编解码算法应符合 ITU G.711、G.722等国际标准。</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各区县/中小学可根据需求，选择自建在线互动平台及资源管理平台，但需保证平台能够提供监测管理相关数据，或可以选择接入海南省中小学5G同步课堂公共服务平台。</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3"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534"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无线云台摄像机</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为保障正常使用，无线云台摄像机再不外接电源或移动电源时，电池续航时间≥5h。</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传感器尺寸≥CMOS 1/1.8英寸。</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传感器有效像素≥800万。</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视频分辨率≥</w:t>
            </w:r>
            <w:r>
              <w:rPr>
                <w:rFonts w:ascii="Times New Roman" w:hAnsi="Times New Roman" w:eastAsia="仿宋"/>
                <w:sz w:val="24"/>
                <w:szCs w:val="24"/>
              </w:rPr>
              <w:t>1080P</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支持不少于40倍变焦。</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建议至少配备3台无线云台摄像机，可实现3景位拍摄（教师特写、教师全景、学生全景），现场实际使用时可根据需要增减景位摄像头。</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3</w:t>
            </w:r>
          </w:p>
        </w:tc>
        <w:tc>
          <w:tcPr>
            <w:tcW w:w="383"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534"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无线麦克风</w:t>
            </w:r>
          </w:p>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或现有扩声设备</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音频采集可采用无线麦克风，也可通过现有扩声设备将音频输入到移动录播主机。</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考虑续航需求，无线麦克风内置双麦克风可供主讲人交替使用。</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麦克风电池容量≥180mAh，采用可充电式锂电池，非待机情况下续航时间≥7h。</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为保障拾音效果，无线麦克风内置音频处理算法，具备自动增益、自动混音、自动降噪、回声抑制、啸叫抑制等功能。</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3"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534"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辅助显示屏幕</w:t>
            </w:r>
          </w:p>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（如需远程互动）</w:t>
            </w:r>
          </w:p>
        </w:tc>
        <w:tc>
          <w:tcPr>
            <w:tcW w:w="2721" w:type="pct"/>
            <w:vAlign w:val="center"/>
          </w:tcPr>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辅助显示屏幕配置于互动课堂中主讲端教室，用于互动课堂中观看听课端教室情况。</w:t>
            </w:r>
          </w:p>
          <w:p>
            <w:pPr>
              <w:pStyle w:val="2"/>
              <w:numPr>
                <w:ilvl w:val="0"/>
                <w:numId w:val="1"/>
              </w:numPr>
              <w:spacing w:after="0"/>
              <w:ind w:left="442" w:hanging="442"/>
              <w:jc w:val="both"/>
              <w:rPr>
                <w:rFonts w:ascii="Times New Roman" w:hAnsi="Times New Roman" w:eastAsia="仿宋"/>
                <w:sz w:val="24"/>
                <w:szCs w:val="24"/>
              </w:rPr>
            </w:pPr>
            <w:r>
              <w:rPr>
                <w:rFonts w:hint="eastAsia" w:ascii="Times New Roman" w:hAnsi="Times New Roman" w:eastAsia="仿宋"/>
                <w:sz w:val="24"/>
                <w:szCs w:val="24"/>
              </w:rPr>
              <w:t>为确保显示屏不阻挡视线，建议采用带可移动支架辅助显示屏，屏幕尺寸根据教室大小选择，建议且屏幕离演讲嘉宾直线距离不超过3m。</w:t>
            </w:r>
          </w:p>
        </w:tc>
        <w:tc>
          <w:tcPr>
            <w:tcW w:w="360"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w:t>
            </w:r>
          </w:p>
        </w:tc>
        <w:tc>
          <w:tcPr>
            <w:tcW w:w="383" w:type="pct"/>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台</w:t>
            </w:r>
          </w:p>
        </w:tc>
      </w:tr>
    </w:tbl>
    <w:p>
      <w:pPr>
        <w:pStyle w:val="4"/>
        <w:spacing w:before="0" w:after="0" w:line="360" w:lineRule="auto"/>
        <w:ind w:firstLine="560" w:firstLineChars="200"/>
        <w:jc w:val="both"/>
        <w:rPr>
          <w:rFonts w:ascii="黑体" w:hAnsi="黑体" w:eastAsia="黑体" w:cs="黑体"/>
          <w:b w:val="0"/>
          <w:bCs w:val="0"/>
          <w:sz w:val="28"/>
          <w:szCs w:val="28"/>
        </w:rPr>
      </w:pPr>
      <w:bookmarkStart w:id="74" w:name="_Toc5710"/>
      <w:bookmarkStart w:id="75" w:name="_Toc14507"/>
      <w:bookmarkStart w:id="76" w:name="_Toc28388"/>
      <w:bookmarkStart w:id="77" w:name="_Toc6217"/>
      <w:bookmarkStart w:id="78" w:name="_Toc28900"/>
      <w:bookmarkStart w:id="79" w:name="_Toc20826"/>
      <w:bookmarkStart w:id="80" w:name="_Toc141707774"/>
      <w:r>
        <w:rPr>
          <w:rFonts w:hint="eastAsia" w:ascii="黑体" w:hAnsi="黑体" w:eastAsia="黑体" w:cs="黑体"/>
          <w:b w:val="0"/>
          <w:bCs w:val="0"/>
          <w:sz w:val="28"/>
          <w:szCs w:val="28"/>
        </w:rPr>
        <w:t>（二）环境听觉技术要求</w:t>
      </w:r>
      <w:r>
        <w:rPr>
          <w:rFonts w:ascii="黑体" w:hAnsi="黑体" w:cs="黑体"/>
          <w:vertAlign w:val="superscript"/>
        </w:rPr>
        <w:footnoteReference w:id="0"/>
      </w:r>
      <w:bookmarkEnd w:id="74"/>
      <w:bookmarkEnd w:id="75"/>
      <w:bookmarkEnd w:id="76"/>
      <w:bookmarkEnd w:id="77"/>
      <w:bookmarkEnd w:id="78"/>
      <w:bookmarkEnd w:id="79"/>
      <w:bookmarkEnd w:id="80"/>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为保障在线互动过程中音频采集传输效果，现对在线互动教室中环境听觉各指标维度进行规范，具体要求如下：</w:t>
      </w:r>
    </w:p>
    <w:p>
      <w:pPr>
        <w:pStyle w:val="5"/>
        <w:spacing w:before="0" w:after="0" w:line="360" w:lineRule="auto"/>
        <w:ind w:firstLine="562" w:firstLineChars="200"/>
        <w:jc w:val="both"/>
        <w:rPr>
          <w:rFonts w:ascii="仿宋" w:hAnsi="仿宋" w:eastAsia="仿宋"/>
          <w:sz w:val="28"/>
          <w:szCs w:val="28"/>
        </w:rPr>
      </w:pPr>
      <w:bookmarkStart w:id="81" w:name="_Toc141707775"/>
      <w:bookmarkStart w:id="82" w:name="_Toc25234"/>
      <w:bookmarkStart w:id="83" w:name="_Toc1539"/>
      <w:bookmarkStart w:id="84" w:name="_Toc1170"/>
      <w:bookmarkStart w:id="85" w:name="_Toc29352"/>
      <w:bookmarkStart w:id="86" w:name="_Toc26469"/>
      <w:bookmarkStart w:id="87" w:name="_Toc14070"/>
      <w:r>
        <w:rPr>
          <w:rFonts w:hint="eastAsia" w:ascii="仿宋" w:hAnsi="仿宋" w:eastAsia="仿宋"/>
          <w:sz w:val="28"/>
          <w:szCs w:val="28"/>
        </w:rPr>
        <w:t>1.隔声要求</w:t>
      </w:r>
      <w:bookmarkEnd w:id="81"/>
      <w:bookmarkEnd w:id="82"/>
      <w:bookmarkEnd w:id="83"/>
      <w:bookmarkEnd w:id="84"/>
      <w:bookmarkEnd w:id="85"/>
      <w:bookmarkEnd w:id="86"/>
      <w:bookmarkEnd w:id="87"/>
    </w:p>
    <w:p>
      <w:pPr>
        <w:pStyle w:val="42"/>
        <w:numPr>
          <w:ilvl w:val="0"/>
          <w:numId w:val="3"/>
        </w:numPr>
        <w:spacing w:after="0" w:line="360" w:lineRule="auto"/>
        <w:ind w:firstLineChars="0"/>
        <w:jc w:val="both"/>
        <w:rPr>
          <w:rFonts w:ascii="仿宋" w:hAnsi="仿宋" w:eastAsia="仿宋"/>
          <w:sz w:val="28"/>
          <w:szCs w:val="28"/>
        </w:rPr>
      </w:pPr>
      <w:r>
        <w:rPr>
          <w:rFonts w:hint="eastAsia" w:ascii="仿宋" w:hAnsi="仿宋" w:eastAsia="仿宋"/>
          <w:sz w:val="28"/>
          <w:szCs w:val="28"/>
        </w:rPr>
        <w:t>外墙的空气声隔声要求</w:t>
      </w:r>
    </w:p>
    <w:tbl>
      <w:tblPr>
        <w:tblStyle w:val="19"/>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6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47" w:type="dxa"/>
            <w:shd w:val="clear" w:color="auto" w:fill="auto"/>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构件名称</w:t>
            </w:r>
          </w:p>
        </w:tc>
        <w:tc>
          <w:tcPr>
            <w:tcW w:w="6466" w:type="dxa"/>
            <w:shd w:val="clear" w:color="auto" w:fill="auto"/>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计权标准化声压级差</w:t>
            </w:r>
            <w:r>
              <w:rPr>
                <w:rFonts w:ascii="Times New Roman" w:hAnsi="Times New Roman" w:eastAsia="仿宋"/>
                <w:b/>
                <w:bCs/>
                <w:sz w:val="24"/>
                <w:szCs w:val="24"/>
              </w:rPr>
              <w:t>+</w:t>
            </w:r>
            <w:r>
              <w:rPr>
                <w:rFonts w:hint="eastAsia" w:ascii="Times New Roman" w:hAnsi="Times New Roman" w:eastAsia="仿宋"/>
                <w:b/>
                <w:bCs/>
                <w:sz w:val="24"/>
                <w:szCs w:val="24"/>
              </w:rPr>
              <w:t>交通噪声频谱修正量</w:t>
            </w:r>
            <w:r>
              <w:rPr>
                <w:rFonts w:ascii="Times New Roman" w:hAnsi="Times New Roman" w:eastAsia="仿宋"/>
                <w:b/>
                <w:bCs/>
                <w:sz w:val="24"/>
                <w:szCs w:val="24"/>
              </w:rPr>
              <w:t>DnT,w+Ctr</w:t>
            </w:r>
            <w:r>
              <w:rPr>
                <w:rFonts w:hint="eastAsia" w:ascii="Times New Roman" w:hAnsi="Times New Roman" w:eastAsia="仿宋"/>
                <w:b/>
                <w:bCs/>
                <w:sz w:val="24"/>
                <w:szCs w:val="24"/>
              </w:rPr>
              <w:t>（</w:t>
            </w:r>
            <w:r>
              <w:rPr>
                <w:rFonts w:ascii="Times New Roman" w:hAnsi="Times New Roman" w:eastAsia="仿宋"/>
                <w:b/>
                <w:bCs/>
                <w:sz w:val="24"/>
                <w:szCs w:val="24"/>
              </w:rPr>
              <w:t>dB</w:t>
            </w:r>
            <w:r>
              <w:rPr>
                <w:rFonts w:hint="eastAsia" w:ascii="Times New Roman" w:hAnsi="Times New Roman" w:eastAsia="仿宋"/>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47" w:type="dxa"/>
            <w:shd w:val="clear" w:color="auto" w:fill="auto"/>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外墙</w:t>
            </w:r>
          </w:p>
        </w:tc>
        <w:tc>
          <w:tcPr>
            <w:tcW w:w="6466" w:type="dxa"/>
            <w:shd w:val="clear" w:color="auto" w:fill="auto"/>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w:t>
            </w:r>
            <w:r>
              <w:rPr>
                <w:rFonts w:ascii="Times New Roman" w:hAnsi="Times New Roman" w:eastAsia="仿宋"/>
                <w:sz w:val="24"/>
                <w:szCs w:val="24"/>
              </w:rPr>
              <w:t>45</w:t>
            </w:r>
          </w:p>
        </w:tc>
      </w:tr>
    </w:tbl>
    <w:p>
      <w:pPr>
        <w:pStyle w:val="42"/>
        <w:numPr>
          <w:ilvl w:val="0"/>
          <w:numId w:val="3"/>
        </w:numPr>
        <w:spacing w:after="0" w:line="360" w:lineRule="auto"/>
        <w:ind w:firstLineChars="0"/>
        <w:jc w:val="both"/>
        <w:rPr>
          <w:rFonts w:ascii="仿宋" w:hAnsi="仿宋" w:eastAsia="仿宋"/>
          <w:sz w:val="28"/>
          <w:szCs w:val="28"/>
        </w:rPr>
      </w:pPr>
      <w:r>
        <w:rPr>
          <w:rFonts w:hint="eastAsia" w:ascii="仿宋" w:hAnsi="仿宋" w:eastAsia="仿宋"/>
          <w:sz w:val="28"/>
          <w:szCs w:val="28"/>
        </w:rPr>
        <w:t>隔墙的空气声隔声要求</w:t>
      </w:r>
    </w:p>
    <w:tbl>
      <w:tblPr>
        <w:tblStyle w:val="19"/>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6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shd w:val="clear" w:color="auto" w:fill="auto"/>
            <w:vAlign w:val="center"/>
          </w:tcPr>
          <w:p>
            <w:pPr>
              <w:pStyle w:val="2"/>
              <w:spacing w:after="0"/>
              <w:jc w:val="center"/>
              <w:rPr>
                <w:rFonts w:ascii="Times New Roman" w:hAnsi="Times New Roman" w:eastAsia="仿宋"/>
                <w:b/>
                <w:bCs/>
                <w:sz w:val="24"/>
                <w:szCs w:val="24"/>
              </w:rPr>
            </w:pPr>
            <w:r>
              <w:rPr>
                <w:rFonts w:hint="eastAsia" w:ascii="Times New Roman" w:hAnsi="Times New Roman" w:eastAsia="仿宋"/>
                <w:b/>
                <w:bCs/>
                <w:sz w:val="24"/>
                <w:szCs w:val="24"/>
              </w:rPr>
              <w:t>教学环境名称</w:t>
            </w:r>
          </w:p>
        </w:tc>
        <w:tc>
          <w:tcPr>
            <w:tcW w:w="6517" w:type="dxa"/>
            <w:shd w:val="clear" w:color="auto" w:fill="auto"/>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计权标准化声压级差</w:t>
            </w:r>
            <w:r>
              <w:rPr>
                <w:rFonts w:ascii="Times New Roman" w:hAnsi="Times New Roman" w:eastAsia="仿宋"/>
                <w:b/>
                <w:bCs/>
                <w:sz w:val="24"/>
                <w:szCs w:val="24"/>
              </w:rPr>
              <w:t>+</w:t>
            </w:r>
            <w:r>
              <w:rPr>
                <w:rFonts w:hint="eastAsia" w:ascii="Times New Roman" w:hAnsi="Times New Roman" w:eastAsia="仿宋"/>
                <w:b/>
                <w:bCs/>
                <w:sz w:val="24"/>
                <w:szCs w:val="24"/>
              </w:rPr>
              <w:t>粉红噪声频谱修正量</w:t>
            </w:r>
            <w:r>
              <w:rPr>
                <w:rFonts w:ascii="Times New Roman" w:hAnsi="Times New Roman" w:eastAsia="仿宋"/>
                <w:b/>
                <w:bCs/>
                <w:sz w:val="24"/>
                <w:szCs w:val="24"/>
              </w:rPr>
              <w:t xml:space="preserve"> DnT,w+C</w:t>
            </w:r>
            <w:r>
              <w:rPr>
                <w:rFonts w:hint="eastAsia" w:ascii="Times New Roman" w:hAnsi="Times New Roman" w:eastAsia="仿宋"/>
                <w:b/>
                <w:bCs/>
                <w:sz w:val="24"/>
                <w:szCs w:val="24"/>
              </w:rPr>
              <w:t>（</w:t>
            </w:r>
            <w:r>
              <w:rPr>
                <w:rFonts w:ascii="Times New Roman" w:hAnsi="Times New Roman" w:eastAsia="仿宋"/>
                <w:b/>
                <w:bCs/>
                <w:sz w:val="24"/>
                <w:szCs w:val="24"/>
              </w:rPr>
              <w:t>dB</w:t>
            </w:r>
            <w:r>
              <w:rPr>
                <w:rFonts w:hint="eastAsia" w:ascii="Times New Roman" w:hAnsi="Times New Roman" w:eastAsia="仿宋"/>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696" w:type="dxa"/>
            <w:shd w:val="clear" w:color="auto" w:fill="auto"/>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sz w:val="24"/>
                <w:szCs w:val="24"/>
              </w:rPr>
              <w:t>简约直播型在线互动教室</w:t>
            </w:r>
          </w:p>
        </w:tc>
        <w:tc>
          <w:tcPr>
            <w:tcW w:w="6517" w:type="dxa"/>
            <w:shd w:val="clear" w:color="auto" w:fill="auto"/>
            <w:vAlign w:val="center"/>
          </w:tcPr>
          <w:p>
            <w:pPr>
              <w:pStyle w:val="48"/>
              <w:jc w:val="center"/>
              <w:rPr>
                <w:rFonts w:ascii="Times New Roman" w:hAnsi="Times New Roman" w:eastAsia="仿宋"/>
                <w:b/>
                <w:bCs/>
              </w:rPr>
            </w:pPr>
            <w:r>
              <w:rPr>
                <w:rFonts w:hint="eastAsia" w:ascii="Times New Roman" w:hAnsi="Times New Roman" w:eastAsia="仿宋" w:cs="Times New Roman"/>
                <w:color w:val="auto"/>
                <w:kern w:val="2"/>
              </w:rPr>
              <w:t>≥</w:t>
            </w:r>
            <w:r>
              <w:rPr>
                <w:rFonts w:ascii="Times New Roman" w:hAnsi="Times New Roman" w:eastAsia="仿宋" w:cs="Times New Roman"/>
                <w:color w:val="auto"/>
                <w:kern w:val="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shd w:val="clear" w:color="auto" w:fill="auto"/>
            <w:vAlign w:val="center"/>
          </w:tcPr>
          <w:p>
            <w:pPr>
              <w:pStyle w:val="2"/>
              <w:spacing w:after="0" w:line="240" w:lineRule="auto"/>
              <w:jc w:val="center"/>
              <w:rPr>
                <w:rFonts w:ascii="Times New Roman" w:hAnsi="Times New Roman" w:eastAsia="仿宋"/>
                <w:color w:val="FF0000"/>
                <w:sz w:val="24"/>
                <w:szCs w:val="24"/>
                <w:highlight w:val="yellow"/>
              </w:rPr>
            </w:pPr>
            <w:r>
              <w:rPr>
                <w:rFonts w:hint="eastAsia" w:ascii="Times New Roman" w:hAnsi="Times New Roman" w:eastAsia="仿宋"/>
                <w:sz w:val="24"/>
                <w:szCs w:val="24"/>
              </w:rPr>
              <w:t>常规录播型在线互动教室</w:t>
            </w:r>
          </w:p>
        </w:tc>
        <w:tc>
          <w:tcPr>
            <w:tcW w:w="6517" w:type="dxa"/>
            <w:shd w:val="clear" w:color="auto" w:fill="auto"/>
            <w:vAlign w:val="center"/>
          </w:tcPr>
          <w:p>
            <w:pPr>
              <w:pStyle w:val="48"/>
              <w:jc w:val="center"/>
              <w:rPr>
                <w:rFonts w:ascii="Times New Roman" w:hAnsi="Times New Roman" w:eastAsia="仿宋" w:cs="Times New Roman"/>
                <w:color w:val="auto"/>
                <w:kern w:val="2"/>
              </w:rPr>
            </w:pPr>
            <w:r>
              <w:rPr>
                <w:rFonts w:hint="eastAsia" w:ascii="Times New Roman" w:hAnsi="Times New Roman" w:eastAsia="仿宋" w:cs="Times New Roman"/>
                <w:color w:val="auto"/>
                <w:kern w:val="2"/>
              </w:rPr>
              <w:t>≥</w:t>
            </w:r>
            <w:r>
              <w:rPr>
                <w:rFonts w:ascii="Times New Roman" w:hAnsi="Times New Roman" w:eastAsia="仿宋" w:cs="Times New Roman"/>
                <w:color w:val="auto"/>
                <w:kern w:val="2"/>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shd w:val="clear" w:color="auto" w:fill="auto"/>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移动录播型在线互动教室</w:t>
            </w:r>
          </w:p>
        </w:tc>
        <w:tc>
          <w:tcPr>
            <w:tcW w:w="6517" w:type="dxa"/>
            <w:shd w:val="clear" w:color="auto" w:fill="auto"/>
            <w:vAlign w:val="center"/>
          </w:tcPr>
          <w:p>
            <w:pPr>
              <w:pStyle w:val="48"/>
              <w:jc w:val="center"/>
              <w:rPr>
                <w:rFonts w:ascii="Times New Roman" w:hAnsi="Times New Roman" w:eastAsia="仿宋" w:cs="Times New Roman"/>
                <w:color w:val="auto"/>
                <w:kern w:val="2"/>
              </w:rPr>
            </w:pPr>
            <w:r>
              <w:rPr>
                <w:rFonts w:hint="eastAsia" w:ascii="Times New Roman" w:hAnsi="Times New Roman" w:eastAsia="仿宋" w:cs="Times New Roman"/>
                <w:color w:val="auto"/>
                <w:kern w:val="2"/>
              </w:rPr>
              <w:t>≥</w:t>
            </w:r>
            <w:r>
              <w:rPr>
                <w:rFonts w:ascii="Times New Roman" w:hAnsi="Times New Roman" w:eastAsia="仿宋" w:cs="Times New Roman"/>
                <w:color w:val="auto"/>
                <w:kern w:val="2"/>
              </w:rPr>
              <w:t>55</w:t>
            </w:r>
          </w:p>
        </w:tc>
      </w:tr>
    </w:tbl>
    <w:p>
      <w:pPr>
        <w:pStyle w:val="42"/>
        <w:numPr>
          <w:ilvl w:val="0"/>
          <w:numId w:val="3"/>
        </w:numPr>
        <w:spacing w:after="0" w:line="360" w:lineRule="auto"/>
        <w:ind w:firstLineChars="0"/>
        <w:jc w:val="both"/>
        <w:rPr>
          <w:rFonts w:ascii="仿宋" w:hAnsi="仿宋" w:eastAsia="仿宋"/>
          <w:sz w:val="28"/>
          <w:szCs w:val="28"/>
        </w:rPr>
      </w:pPr>
      <w:r>
        <w:rPr>
          <w:rFonts w:hint="eastAsia" w:ascii="仿宋" w:hAnsi="仿宋" w:eastAsia="仿宋"/>
          <w:sz w:val="28"/>
          <w:szCs w:val="28"/>
        </w:rPr>
        <w:t>楼板的空气声隔声要求</w:t>
      </w:r>
    </w:p>
    <w:tbl>
      <w:tblPr>
        <w:tblStyle w:val="19"/>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6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shd w:val="clear" w:color="auto" w:fill="auto"/>
            <w:vAlign w:val="center"/>
          </w:tcPr>
          <w:p>
            <w:pPr>
              <w:pStyle w:val="2"/>
              <w:spacing w:after="0"/>
              <w:jc w:val="center"/>
              <w:rPr>
                <w:rFonts w:ascii="Times New Roman" w:hAnsi="Times New Roman" w:eastAsia="仿宋"/>
                <w:b/>
                <w:bCs/>
                <w:sz w:val="24"/>
                <w:szCs w:val="24"/>
              </w:rPr>
            </w:pPr>
            <w:r>
              <w:rPr>
                <w:rFonts w:hint="eastAsia" w:ascii="Times New Roman" w:hAnsi="Times New Roman" w:eastAsia="仿宋"/>
                <w:b/>
                <w:bCs/>
                <w:sz w:val="24"/>
                <w:szCs w:val="24"/>
              </w:rPr>
              <w:t>教学环境名称</w:t>
            </w:r>
          </w:p>
        </w:tc>
        <w:tc>
          <w:tcPr>
            <w:tcW w:w="6517" w:type="dxa"/>
            <w:shd w:val="clear" w:color="auto" w:fill="auto"/>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计权标准化声压级差</w:t>
            </w:r>
            <w:r>
              <w:rPr>
                <w:rFonts w:ascii="Times New Roman" w:hAnsi="Times New Roman" w:eastAsia="仿宋"/>
                <w:b/>
                <w:bCs/>
                <w:sz w:val="24"/>
                <w:szCs w:val="24"/>
              </w:rPr>
              <w:t>+</w:t>
            </w:r>
            <w:r>
              <w:rPr>
                <w:rFonts w:hint="eastAsia" w:ascii="Times New Roman" w:hAnsi="Times New Roman" w:eastAsia="仿宋"/>
                <w:b/>
                <w:bCs/>
                <w:sz w:val="24"/>
                <w:szCs w:val="24"/>
              </w:rPr>
              <w:t>粉红噪声频谱修正量</w:t>
            </w:r>
            <w:r>
              <w:rPr>
                <w:rFonts w:ascii="Times New Roman" w:hAnsi="Times New Roman" w:eastAsia="仿宋"/>
                <w:b/>
                <w:bCs/>
                <w:sz w:val="24"/>
                <w:szCs w:val="24"/>
              </w:rPr>
              <w:t xml:space="preserve"> DnT,w+C</w:t>
            </w:r>
            <w:r>
              <w:rPr>
                <w:rFonts w:hint="eastAsia" w:ascii="Times New Roman" w:hAnsi="Times New Roman" w:eastAsia="仿宋"/>
                <w:b/>
                <w:bCs/>
                <w:sz w:val="24"/>
                <w:szCs w:val="24"/>
              </w:rPr>
              <w:t>（</w:t>
            </w:r>
            <w:r>
              <w:rPr>
                <w:rFonts w:ascii="Times New Roman" w:hAnsi="Times New Roman" w:eastAsia="仿宋"/>
                <w:b/>
                <w:bCs/>
                <w:sz w:val="24"/>
                <w:szCs w:val="24"/>
              </w:rPr>
              <w:t>dB</w:t>
            </w:r>
            <w:r>
              <w:rPr>
                <w:rFonts w:hint="eastAsia" w:ascii="Times New Roman" w:hAnsi="Times New Roman" w:eastAsia="仿宋"/>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696" w:type="dxa"/>
            <w:shd w:val="clear" w:color="auto" w:fill="auto"/>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sz w:val="24"/>
                <w:szCs w:val="24"/>
              </w:rPr>
              <w:t>简约直播型在线互动教室</w:t>
            </w:r>
          </w:p>
        </w:tc>
        <w:tc>
          <w:tcPr>
            <w:tcW w:w="6517" w:type="dxa"/>
            <w:shd w:val="clear" w:color="auto" w:fill="auto"/>
            <w:vAlign w:val="center"/>
          </w:tcPr>
          <w:p>
            <w:pPr>
              <w:pStyle w:val="48"/>
              <w:jc w:val="center"/>
              <w:rPr>
                <w:rFonts w:ascii="Times New Roman" w:hAnsi="Times New Roman" w:eastAsia="仿宋"/>
                <w:b/>
                <w:bCs/>
              </w:rPr>
            </w:pPr>
            <w:r>
              <w:rPr>
                <w:rFonts w:hint="eastAsia" w:ascii="Times New Roman" w:hAnsi="Times New Roman" w:eastAsia="仿宋" w:cs="Times New Roman"/>
                <w:color w:val="auto"/>
                <w:kern w:val="2"/>
              </w:rPr>
              <w:t>≥</w:t>
            </w:r>
            <w:r>
              <w:rPr>
                <w:rFonts w:ascii="Times New Roman" w:hAnsi="Times New Roman" w:eastAsia="仿宋" w:cs="Times New Roman"/>
                <w:color w:val="auto"/>
                <w:kern w:val="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shd w:val="clear" w:color="auto" w:fill="auto"/>
            <w:vAlign w:val="center"/>
          </w:tcPr>
          <w:p>
            <w:pPr>
              <w:pStyle w:val="2"/>
              <w:spacing w:after="0" w:line="240" w:lineRule="auto"/>
              <w:jc w:val="center"/>
              <w:rPr>
                <w:rFonts w:ascii="Times New Roman" w:hAnsi="Times New Roman" w:eastAsia="仿宋"/>
                <w:color w:val="FF0000"/>
                <w:sz w:val="24"/>
                <w:szCs w:val="24"/>
                <w:highlight w:val="yellow"/>
              </w:rPr>
            </w:pPr>
            <w:r>
              <w:rPr>
                <w:rFonts w:hint="eastAsia" w:ascii="Times New Roman" w:hAnsi="Times New Roman" w:eastAsia="仿宋"/>
                <w:sz w:val="24"/>
                <w:szCs w:val="24"/>
              </w:rPr>
              <w:t>常规录播型在线互动教室</w:t>
            </w:r>
          </w:p>
        </w:tc>
        <w:tc>
          <w:tcPr>
            <w:tcW w:w="6517" w:type="dxa"/>
            <w:shd w:val="clear" w:color="auto" w:fill="auto"/>
            <w:vAlign w:val="center"/>
          </w:tcPr>
          <w:p>
            <w:pPr>
              <w:pStyle w:val="48"/>
              <w:jc w:val="center"/>
              <w:rPr>
                <w:rFonts w:ascii="Times New Roman" w:hAnsi="Times New Roman" w:eastAsia="仿宋" w:cs="Times New Roman"/>
                <w:color w:val="auto"/>
                <w:kern w:val="2"/>
              </w:rPr>
            </w:pPr>
            <w:r>
              <w:rPr>
                <w:rFonts w:hint="eastAsia" w:ascii="Times New Roman" w:hAnsi="Times New Roman" w:eastAsia="仿宋" w:cs="Times New Roman"/>
                <w:color w:val="auto"/>
                <w:kern w:val="2"/>
              </w:rPr>
              <w:t>≥</w:t>
            </w:r>
            <w:r>
              <w:rPr>
                <w:rFonts w:ascii="Times New Roman" w:hAnsi="Times New Roman" w:eastAsia="仿宋" w:cs="Times New Roman"/>
                <w:color w:val="auto"/>
                <w:kern w:val="2"/>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shd w:val="clear" w:color="auto" w:fill="auto"/>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移动录播型在线互动教室</w:t>
            </w:r>
          </w:p>
        </w:tc>
        <w:tc>
          <w:tcPr>
            <w:tcW w:w="6517" w:type="dxa"/>
            <w:shd w:val="clear" w:color="auto" w:fill="auto"/>
            <w:vAlign w:val="center"/>
          </w:tcPr>
          <w:p>
            <w:pPr>
              <w:pStyle w:val="48"/>
              <w:jc w:val="center"/>
              <w:rPr>
                <w:rFonts w:ascii="Times New Roman" w:hAnsi="Times New Roman" w:eastAsia="仿宋" w:cs="Times New Roman"/>
                <w:color w:val="auto"/>
                <w:kern w:val="2"/>
              </w:rPr>
            </w:pPr>
            <w:r>
              <w:rPr>
                <w:rFonts w:hint="eastAsia" w:ascii="Times New Roman" w:hAnsi="Times New Roman" w:eastAsia="仿宋" w:cs="Times New Roman"/>
                <w:color w:val="auto"/>
                <w:kern w:val="2"/>
              </w:rPr>
              <w:t>≥</w:t>
            </w:r>
            <w:r>
              <w:rPr>
                <w:rFonts w:ascii="Times New Roman" w:hAnsi="Times New Roman" w:eastAsia="仿宋" w:cs="Times New Roman"/>
                <w:color w:val="auto"/>
                <w:kern w:val="2"/>
              </w:rPr>
              <w:t>55</w:t>
            </w:r>
          </w:p>
        </w:tc>
      </w:tr>
    </w:tbl>
    <w:p>
      <w:pPr>
        <w:pStyle w:val="42"/>
        <w:numPr>
          <w:ilvl w:val="0"/>
          <w:numId w:val="3"/>
        </w:numPr>
        <w:spacing w:after="0" w:line="360" w:lineRule="auto"/>
        <w:ind w:firstLineChars="0"/>
        <w:jc w:val="both"/>
        <w:rPr>
          <w:rFonts w:ascii="仿宋" w:hAnsi="仿宋" w:eastAsia="仿宋"/>
          <w:sz w:val="28"/>
          <w:szCs w:val="28"/>
        </w:rPr>
      </w:pPr>
      <w:r>
        <w:rPr>
          <w:rFonts w:hint="eastAsia" w:ascii="仿宋" w:hAnsi="仿宋" w:eastAsia="仿宋"/>
          <w:sz w:val="28"/>
          <w:szCs w:val="28"/>
        </w:rPr>
        <w:t>窗户的隔声要求</w:t>
      </w:r>
    </w:p>
    <w:tbl>
      <w:tblPr>
        <w:tblStyle w:val="19"/>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6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shd w:val="clear" w:color="auto" w:fill="auto"/>
            <w:vAlign w:val="center"/>
          </w:tcPr>
          <w:p>
            <w:pPr>
              <w:pStyle w:val="2"/>
              <w:spacing w:after="0"/>
              <w:jc w:val="center"/>
              <w:rPr>
                <w:rFonts w:ascii="Times New Roman" w:hAnsi="Times New Roman" w:eastAsia="仿宋"/>
                <w:b/>
                <w:bCs/>
                <w:sz w:val="24"/>
                <w:szCs w:val="24"/>
              </w:rPr>
            </w:pPr>
            <w:r>
              <w:rPr>
                <w:rFonts w:hint="eastAsia" w:ascii="Times New Roman" w:hAnsi="Times New Roman" w:eastAsia="仿宋"/>
                <w:b/>
                <w:bCs/>
                <w:sz w:val="24"/>
                <w:szCs w:val="24"/>
              </w:rPr>
              <w:t>教学环境名称</w:t>
            </w:r>
          </w:p>
        </w:tc>
        <w:tc>
          <w:tcPr>
            <w:tcW w:w="6517" w:type="dxa"/>
            <w:shd w:val="clear" w:color="auto" w:fill="auto"/>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计权标准化声压级差</w:t>
            </w:r>
            <w:r>
              <w:rPr>
                <w:rFonts w:ascii="Times New Roman" w:hAnsi="Times New Roman" w:eastAsia="仿宋"/>
                <w:b/>
                <w:bCs/>
                <w:sz w:val="24"/>
                <w:szCs w:val="24"/>
              </w:rPr>
              <w:t>+</w:t>
            </w:r>
            <w:r>
              <w:rPr>
                <w:rFonts w:hint="eastAsia" w:ascii="Times New Roman" w:hAnsi="Times New Roman" w:eastAsia="仿宋"/>
                <w:b/>
                <w:bCs/>
                <w:sz w:val="24"/>
                <w:szCs w:val="24"/>
              </w:rPr>
              <w:t>交通噪声频谱修正量</w:t>
            </w:r>
            <w:r>
              <w:rPr>
                <w:rFonts w:ascii="Times New Roman" w:hAnsi="Times New Roman" w:eastAsia="仿宋"/>
                <w:b/>
                <w:bCs/>
                <w:sz w:val="24"/>
                <w:szCs w:val="24"/>
              </w:rPr>
              <w:t xml:space="preserve"> DnT,w+Ctr </w:t>
            </w:r>
            <w:r>
              <w:rPr>
                <w:rFonts w:hint="eastAsia" w:ascii="Times New Roman" w:hAnsi="Times New Roman" w:eastAsia="仿宋"/>
                <w:b/>
                <w:bCs/>
                <w:sz w:val="24"/>
                <w:szCs w:val="24"/>
              </w:rPr>
              <w:t>（</w:t>
            </w:r>
            <w:r>
              <w:rPr>
                <w:rFonts w:ascii="Times New Roman" w:hAnsi="Times New Roman" w:eastAsia="仿宋"/>
                <w:b/>
                <w:bCs/>
                <w:sz w:val="24"/>
                <w:szCs w:val="24"/>
              </w:rPr>
              <w:t>dB</w:t>
            </w:r>
            <w:r>
              <w:rPr>
                <w:rFonts w:hint="eastAsia" w:ascii="Times New Roman" w:hAnsi="Times New Roman" w:eastAsia="仿宋"/>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696" w:type="dxa"/>
            <w:shd w:val="clear" w:color="auto" w:fill="auto"/>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sz w:val="24"/>
                <w:szCs w:val="24"/>
              </w:rPr>
              <w:t>简约直播型在线互动教室</w:t>
            </w:r>
          </w:p>
        </w:tc>
        <w:tc>
          <w:tcPr>
            <w:tcW w:w="6517" w:type="dxa"/>
            <w:shd w:val="clear" w:color="auto" w:fill="auto"/>
            <w:vAlign w:val="center"/>
          </w:tcPr>
          <w:p>
            <w:pPr>
              <w:pStyle w:val="48"/>
              <w:jc w:val="center"/>
              <w:rPr>
                <w:rFonts w:ascii="Times New Roman" w:hAnsi="Times New Roman" w:eastAsia="仿宋"/>
                <w:b/>
                <w:bCs/>
              </w:rPr>
            </w:pPr>
            <w:r>
              <w:rPr>
                <w:rFonts w:hint="eastAsia" w:ascii="Times New Roman" w:hAnsi="Times New Roman" w:eastAsia="仿宋" w:cs="Times New Roman"/>
                <w:color w:val="auto"/>
                <w:kern w:val="2"/>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shd w:val="clear" w:color="auto" w:fill="auto"/>
            <w:vAlign w:val="center"/>
          </w:tcPr>
          <w:p>
            <w:pPr>
              <w:pStyle w:val="2"/>
              <w:spacing w:after="0" w:line="240" w:lineRule="auto"/>
              <w:jc w:val="center"/>
              <w:rPr>
                <w:rFonts w:ascii="Times New Roman" w:hAnsi="Times New Roman" w:eastAsia="仿宋"/>
                <w:color w:val="FF0000"/>
                <w:sz w:val="24"/>
                <w:szCs w:val="24"/>
                <w:highlight w:val="yellow"/>
              </w:rPr>
            </w:pPr>
            <w:r>
              <w:rPr>
                <w:rFonts w:hint="eastAsia" w:ascii="Times New Roman" w:hAnsi="Times New Roman" w:eastAsia="仿宋"/>
                <w:sz w:val="24"/>
                <w:szCs w:val="24"/>
              </w:rPr>
              <w:t>常规录播型在线互动教室</w:t>
            </w:r>
          </w:p>
        </w:tc>
        <w:tc>
          <w:tcPr>
            <w:tcW w:w="6517" w:type="dxa"/>
            <w:shd w:val="clear" w:color="auto" w:fill="auto"/>
            <w:vAlign w:val="center"/>
          </w:tcPr>
          <w:p>
            <w:pPr>
              <w:pStyle w:val="48"/>
              <w:jc w:val="center"/>
              <w:rPr>
                <w:rFonts w:ascii="Times New Roman" w:hAnsi="Times New Roman" w:eastAsia="仿宋" w:cs="Times New Roman"/>
                <w:color w:val="auto"/>
                <w:kern w:val="2"/>
              </w:rPr>
            </w:pPr>
            <w:r>
              <w:rPr>
                <w:rFonts w:hint="eastAsia" w:ascii="Times New Roman" w:hAnsi="Times New Roman" w:eastAsia="仿宋" w:cs="Times New Roman"/>
                <w:color w:val="auto"/>
                <w:kern w:val="2"/>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shd w:val="clear" w:color="auto" w:fill="auto"/>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移动录播型在线互动教室</w:t>
            </w:r>
          </w:p>
        </w:tc>
        <w:tc>
          <w:tcPr>
            <w:tcW w:w="6517" w:type="dxa"/>
            <w:shd w:val="clear" w:color="auto" w:fill="auto"/>
            <w:vAlign w:val="center"/>
          </w:tcPr>
          <w:p>
            <w:pPr>
              <w:pStyle w:val="48"/>
              <w:jc w:val="center"/>
              <w:rPr>
                <w:rFonts w:ascii="Times New Roman" w:hAnsi="Times New Roman" w:eastAsia="仿宋" w:cs="Times New Roman"/>
                <w:color w:val="auto"/>
                <w:kern w:val="2"/>
              </w:rPr>
            </w:pPr>
            <w:r>
              <w:rPr>
                <w:rFonts w:hint="eastAsia" w:ascii="Times New Roman" w:hAnsi="Times New Roman" w:eastAsia="仿宋" w:cs="Times New Roman"/>
                <w:color w:val="auto"/>
                <w:kern w:val="2"/>
              </w:rPr>
              <w:t>≥38</w:t>
            </w:r>
          </w:p>
        </w:tc>
      </w:tr>
    </w:tbl>
    <w:p>
      <w:pPr>
        <w:pStyle w:val="42"/>
        <w:numPr>
          <w:ilvl w:val="0"/>
          <w:numId w:val="3"/>
        </w:numPr>
        <w:spacing w:after="0" w:line="360" w:lineRule="auto"/>
        <w:ind w:firstLineChars="0"/>
        <w:jc w:val="both"/>
        <w:rPr>
          <w:rFonts w:ascii="仿宋" w:hAnsi="仿宋" w:eastAsia="仿宋"/>
          <w:sz w:val="28"/>
          <w:szCs w:val="28"/>
        </w:rPr>
      </w:pPr>
      <w:r>
        <w:rPr>
          <w:rFonts w:hint="eastAsia" w:ascii="仿宋" w:hAnsi="仿宋" w:eastAsia="仿宋"/>
          <w:sz w:val="28"/>
          <w:szCs w:val="28"/>
        </w:rPr>
        <w:t>门的隔声要求</w:t>
      </w:r>
    </w:p>
    <w:tbl>
      <w:tblPr>
        <w:tblStyle w:val="19"/>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6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shd w:val="clear" w:color="auto" w:fill="auto"/>
            <w:vAlign w:val="center"/>
          </w:tcPr>
          <w:p>
            <w:pPr>
              <w:pStyle w:val="2"/>
              <w:spacing w:after="0"/>
              <w:jc w:val="center"/>
              <w:rPr>
                <w:rFonts w:ascii="Times New Roman" w:hAnsi="Times New Roman" w:eastAsia="仿宋"/>
                <w:b/>
                <w:bCs/>
                <w:sz w:val="24"/>
                <w:szCs w:val="24"/>
              </w:rPr>
            </w:pPr>
            <w:r>
              <w:rPr>
                <w:rFonts w:hint="eastAsia" w:ascii="Times New Roman" w:hAnsi="Times New Roman" w:eastAsia="仿宋"/>
                <w:b/>
                <w:bCs/>
                <w:sz w:val="24"/>
                <w:szCs w:val="24"/>
              </w:rPr>
              <w:t>教学环境名称</w:t>
            </w:r>
          </w:p>
        </w:tc>
        <w:tc>
          <w:tcPr>
            <w:tcW w:w="6517" w:type="dxa"/>
            <w:shd w:val="clear" w:color="auto" w:fill="auto"/>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计权标准化声压级差</w:t>
            </w:r>
            <w:r>
              <w:rPr>
                <w:rFonts w:ascii="Times New Roman" w:hAnsi="Times New Roman" w:eastAsia="仿宋"/>
                <w:b/>
                <w:bCs/>
                <w:sz w:val="24"/>
                <w:szCs w:val="24"/>
              </w:rPr>
              <w:t>+</w:t>
            </w:r>
            <w:r>
              <w:rPr>
                <w:rFonts w:hint="eastAsia" w:ascii="Times New Roman" w:hAnsi="Times New Roman" w:eastAsia="仿宋"/>
                <w:b/>
                <w:bCs/>
                <w:sz w:val="24"/>
                <w:szCs w:val="24"/>
              </w:rPr>
              <w:t>交通噪声频谱修正量</w:t>
            </w:r>
            <w:r>
              <w:rPr>
                <w:rFonts w:ascii="Times New Roman" w:hAnsi="Times New Roman" w:eastAsia="仿宋"/>
                <w:b/>
                <w:bCs/>
                <w:sz w:val="24"/>
                <w:szCs w:val="24"/>
              </w:rPr>
              <w:t xml:space="preserve"> DnT,w+Ctr </w:t>
            </w:r>
            <w:r>
              <w:rPr>
                <w:rFonts w:hint="eastAsia" w:ascii="Times New Roman" w:hAnsi="Times New Roman" w:eastAsia="仿宋"/>
                <w:b/>
                <w:bCs/>
                <w:sz w:val="24"/>
                <w:szCs w:val="24"/>
              </w:rPr>
              <w:t>（</w:t>
            </w:r>
            <w:r>
              <w:rPr>
                <w:rFonts w:ascii="Times New Roman" w:hAnsi="Times New Roman" w:eastAsia="仿宋"/>
                <w:b/>
                <w:bCs/>
                <w:sz w:val="24"/>
                <w:szCs w:val="24"/>
              </w:rPr>
              <w:t>dB</w:t>
            </w:r>
            <w:r>
              <w:rPr>
                <w:rFonts w:hint="eastAsia" w:ascii="Times New Roman" w:hAnsi="Times New Roman" w:eastAsia="仿宋"/>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696" w:type="dxa"/>
            <w:shd w:val="clear" w:color="auto" w:fill="auto"/>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sz w:val="24"/>
                <w:szCs w:val="24"/>
              </w:rPr>
              <w:t>简约直播型在线互动教室</w:t>
            </w:r>
          </w:p>
        </w:tc>
        <w:tc>
          <w:tcPr>
            <w:tcW w:w="6517" w:type="dxa"/>
            <w:shd w:val="clear" w:color="auto" w:fill="auto"/>
            <w:vAlign w:val="center"/>
          </w:tcPr>
          <w:p>
            <w:pPr>
              <w:pStyle w:val="48"/>
              <w:jc w:val="center"/>
              <w:rPr>
                <w:rFonts w:ascii="Times New Roman" w:hAnsi="Times New Roman" w:eastAsia="仿宋"/>
                <w:b/>
                <w:bCs/>
              </w:rPr>
            </w:pPr>
            <w:r>
              <w:rPr>
                <w:rFonts w:hint="eastAsia" w:ascii="Times New Roman" w:hAnsi="Times New Roman" w:eastAsia="仿宋" w:cs="Times New Roman"/>
                <w:color w:val="auto"/>
                <w:kern w:val="2"/>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shd w:val="clear" w:color="auto" w:fill="auto"/>
            <w:vAlign w:val="center"/>
          </w:tcPr>
          <w:p>
            <w:pPr>
              <w:pStyle w:val="2"/>
              <w:spacing w:after="0" w:line="240" w:lineRule="auto"/>
              <w:jc w:val="center"/>
              <w:rPr>
                <w:rFonts w:ascii="Times New Roman" w:hAnsi="Times New Roman" w:eastAsia="仿宋"/>
                <w:color w:val="FF0000"/>
                <w:sz w:val="24"/>
                <w:szCs w:val="24"/>
                <w:highlight w:val="yellow"/>
              </w:rPr>
            </w:pPr>
            <w:r>
              <w:rPr>
                <w:rFonts w:hint="eastAsia" w:ascii="Times New Roman" w:hAnsi="Times New Roman" w:eastAsia="仿宋"/>
                <w:sz w:val="24"/>
                <w:szCs w:val="24"/>
              </w:rPr>
              <w:t>常规录播型在线互动教室</w:t>
            </w:r>
          </w:p>
        </w:tc>
        <w:tc>
          <w:tcPr>
            <w:tcW w:w="6517" w:type="dxa"/>
            <w:shd w:val="clear" w:color="auto" w:fill="auto"/>
            <w:vAlign w:val="center"/>
          </w:tcPr>
          <w:p>
            <w:pPr>
              <w:pStyle w:val="48"/>
              <w:jc w:val="center"/>
              <w:rPr>
                <w:rFonts w:ascii="Times New Roman" w:hAnsi="Times New Roman" w:eastAsia="仿宋" w:cs="Times New Roman"/>
                <w:color w:val="auto"/>
                <w:kern w:val="2"/>
              </w:rPr>
            </w:pPr>
            <w:r>
              <w:rPr>
                <w:rFonts w:hint="eastAsia" w:ascii="Times New Roman" w:hAnsi="Times New Roman" w:eastAsia="仿宋" w:cs="Times New Roman"/>
                <w:color w:val="auto"/>
                <w:kern w:val="2"/>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shd w:val="clear" w:color="auto" w:fill="auto"/>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移动录播型在线互动教室</w:t>
            </w:r>
          </w:p>
        </w:tc>
        <w:tc>
          <w:tcPr>
            <w:tcW w:w="6517" w:type="dxa"/>
            <w:shd w:val="clear" w:color="auto" w:fill="auto"/>
            <w:vAlign w:val="center"/>
          </w:tcPr>
          <w:p>
            <w:pPr>
              <w:pStyle w:val="48"/>
              <w:jc w:val="center"/>
              <w:rPr>
                <w:rFonts w:ascii="Times New Roman" w:hAnsi="Times New Roman" w:eastAsia="仿宋" w:cs="Times New Roman"/>
                <w:color w:val="auto"/>
                <w:kern w:val="2"/>
              </w:rPr>
            </w:pPr>
            <w:r>
              <w:rPr>
                <w:rFonts w:hint="eastAsia" w:ascii="Times New Roman" w:hAnsi="Times New Roman" w:eastAsia="仿宋" w:cs="Times New Roman"/>
                <w:color w:val="auto"/>
                <w:kern w:val="2"/>
              </w:rPr>
              <w:t>≥35</w:t>
            </w:r>
          </w:p>
        </w:tc>
      </w:tr>
    </w:tbl>
    <w:p>
      <w:pPr>
        <w:pStyle w:val="42"/>
        <w:numPr>
          <w:ilvl w:val="0"/>
          <w:numId w:val="3"/>
        </w:numPr>
        <w:spacing w:after="0" w:line="360" w:lineRule="auto"/>
        <w:ind w:firstLineChars="0"/>
        <w:jc w:val="both"/>
        <w:rPr>
          <w:rFonts w:ascii="仿宋" w:hAnsi="仿宋" w:eastAsia="仿宋"/>
          <w:sz w:val="28"/>
          <w:szCs w:val="28"/>
        </w:rPr>
      </w:pPr>
      <w:r>
        <w:rPr>
          <w:rFonts w:ascii="仿宋" w:hAnsi="仿宋" w:eastAsia="仿宋"/>
          <w:sz w:val="28"/>
          <w:szCs w:val="28"/>
        </w:rPr>
        <w:t>楼板撞击声隔声要求</w:t>
      </w:r>
    </w:p>
    <w:tbl>
      <w:tblPr>
        <w:tblStyle w:val="19"/>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6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shd w:val="clear" w:color="auto" w:fill="auto"/>
            <w:vAlign w:val="center"/>
          </w:tcPr>
          <w:p>
            <w:pPr>
              <w:pStyle w:val="2"/>
              <w:spacing w:after="0"/>
              <w:jc w:val="center"/>
              <w:rPr>
                <w:rFonts w:ascii="Times New Roman" w:hAnsi="Times New Roman" w:eastAsia="仿宋"/>
                <w:b/>
                <w:bCs/>
                <w:sz w:val="24"/>
                <w:szCs w:val="24"/>
              </w:rPr>
            </w:pPr>
            <w:r>
              <w:rPr>
                <w:rFonts w:hint="eastAsia" w:ascii="Times New Roman" w:hAnsi="Times New Roman" w:eastAsia="仿宋"/>
                <w:b/>
                <w:bCs/>
                <w:sz w:val="24"/>
                <w:szCs w:val="24"/>
              </w:rPr>
              <w:t>教学环境名称</w:t>
            </w:r>
          </w:p>
        </w:tc>
        <w:tc>
          <w:tcPr>
            <w:tcW w:w="6517" w:type="dxa"/>
            <w:shd w:val="clear" w:color="auto" w:fill="auto"/>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b/>
                <w:bCs/>
                <w:sz w:val="24"/>
                <w:szCs w:val="24"/>
              </w:rPr>
              <w:t>计权标准化声压级差</w:t>
            </w:r>
            <w:r>
              <w:rPr>
                <w:rFonts w:ascii="Times New Roman" w:hAnsi="Times New Roman" w:eastAsia="仿宋"/>
                <w:b/>
                <w:bCs/>
                <w:sz w:val="24"/>
                <w:szCs w:val="24"/>
              </w:rPr>
              <w:t>+</w:t>
            </w:r>
            <w:r>
              <w:rPr>
                <w:rFonts w:hint="eastAsia" w:ascii="Times New Roman" w:hAnsi="Times New Roman" w:eastAsia="仿宋"/>
                <w:b/>
                <w:bCs/>
                <w:sz w:val="24"/>
                <w:szCs w:val="24"/>
              </w:rPr>
              <w:t>交通噪声频谱修正量</w:t>
            </w:r>
            <w:r>
              <w:rPr>
                <w:rFonts w:ascii="Times New Roman" w:hAnsi="Times New Roman" w:eastAsia="仿宋"/>
                <w:b/>
                <w:bCs/>
                <w:sz w:val="24"/>
                <w:szCs w:val="24"/>
              </w:rPr>
              <w:t xml:space="preserve"> DnT,w+Ctr </w:t>
            </w:r>
            <w:r>
              <w:rPr>
                <w:rFonts w:hint="eastAsia" w:ascii="Times New Roman" w:hAnsi="Times New Roman" w:eastAsia="仿宋"/>
                <w:b/>
                <w:bCs/>
                <w:sz w:val="24"/>
                <w:szCs w:val="24"/>
              </w:rPr>
              <w:t>（</w:t>
            </w:r>
            <w:r>
              <w:rPr>
                <w:rFonts w:ascii="Times New Roman" w:hAnsi="Times New Roman" w:eastAsia="仿宋"/>
                <w:b/>
                <w:bCs/>
                <w:sz w:val="24"/>
                <w:szCs w:val="24"/>
              </w:rPr>
              <w:t>dB</w:t>
            </w:r>
            <w:r>
              <w:rPr>
                <w:rFonts w:hint="eastAsia" w:ascii="Times New Roman" w:hAnsi="Times New Roman" w:eastAsia="仿宋"/>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696" w:type="dxa"/>
            <w:shd w:val="clear" w:color="auto" w:fill="auto"/>
            <w:vAlign w:val="center"/>
          </w:tcPr>
          <w:p>
            <w:pPr>
              <w:pStyle w:val="2"/>
              <w:spacing w:after="0" w:line="240" w:lineRule="auto"/>
              <w:jc w:val="center"/>
              <w:rPr>
                <w:rFonts w:ascii="Times New Roman" w:hAnsi="Times New Roman" w:eastAsia="仿宋"/>
                <w:b/>
                <w:bCs/>
                <w:sz w:val="24"/>
                <w:szCs w:val="24"/>
              </w:rPr>
            </w:pPr>
            <w:r>
              <w:rPr>
                <w:rFonts w:hint="eastAsia" w:ascii="Times New Roman" w:hAnsi="Times New Roman" w:eastAsia="仿宋"/>
                <w:sz w:val="24"/>
                <w:szCs w:val="24"/>
              </w:rPr>
              <w:t>在线互动教室</w:t>
            </w:r>
          </w:p>
        </w:tc>
        <w:tc>
          <w:tcPr>
            <w:tcW w:w="6517" w:type="dxa"/>
            <w:shd w:val="clear" w:color="auto" w:fill="auto"/>
            <w:vAlign w:val="center"/>
          </w:tcPr>
          <w:p>
            <w:pPr>
              <w:pStyle w:val="48"/>
              <w:jc w:val="center"/>
              <w:rPr>
                <w:rFonts w:ascii="Times New Roman" w:hAnsi="Times New Roman" w:eastAsia="仿宋"/>
                <w:b/>
                <w:bCs/>
              </w:rPr>
            </w:pPr>
            <w:r>
              <w:rPr>
                <w:rFonts w:hint="eastAsia" w:ascii="Times New Roman" w:hAnsi="Times New Roman" w:eastAsia="仿宋" w:cs="Times New Roman"/>
                <w:color w:val="auto"/>
                <w:kern w:val="2"/>
              </w:rPr>
              <w:t>≥60</w:t>
            </w:r>
          </w:p>
        </w:tc>
      </w:tr>
    </w:tbl>
    <w:p>
      <w:pPr>
        <w:pStyle w:val="5"/>
        <w:spacing w:before="0" w:after="0" w:line="360" w:lineRule="auto"/>
        <w:ind w:firstLine="562" w:firstLineChars="200"/>
        <w:jc w:val="both"/>
        <w:rPr>
          <w:rFonts w:ascii="仿宋" w:hAnsi="仿宋" w:eastAsia="仿宋"/>
          <w:sz w:val="28"/>
          <w:szCs w:val="28"/>
        </w:rPr>
      </w:pPr>
      <w:bookmarkStart w:id="88" w:name="_Toc141707776"/>
      <w:bookmarkStart w:id="89" w:name="_Toc3579"/>
      <w:bookmarkStart w:id="90" w:name="_Toc7145"/>
      <w:bookmarkStart w:id="91" w:name="_Toc12583"/>
      <w:bookmarkStart w:id="92" w:name="_Toc9226"/>
      <w:bookmarkStart w:id="93" w:name="_Toc12877"/>
      <w:bookmarkStart w:id="94" w:name="_Toc16171"/>
      <w:r>
        <w:rPr>
          <w:rFonts w:hint="eastAsia" w:ascii="仿宋" w:hAnsi="仿宋" w:eastAsia="仿宋"/>
          <w:sz w:val="28"/>
          <w:szCs w:val="28"/>
        </w:rPr>
        <w:t>2.混响要求</w:t>
      </w:r>
      <w:bookmarkEnd w:id="88"/>
      <w:bookmarkEnd w:id="89"/>
      <w:bookmarkEnd w:id="90"/>
      <w:bookmarkEnd w:id="91"/>
      <w:bookmarkEnd w:id="92"/>
      <w:bookmarkEnd w:id="93"/>
      <w:bookmarkEnd w:id="94"/>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在线互动教室在频率</w:t>
      </w:r>
      <w:r>
        <w:rPr>
          <w:rFonts w:ascii="仿宋" w:hAnsi="仿宋" w:eastAsia="仿宋"/>
          <w:sz w:val="28"/>
          <w:szCs w:val="28"/>
        </w:rPr>
        <w:t>为500～1000Hz时，</w:t>
      </w:r>
      <w:r>
        <w:rPr>
          <w:rFonts w:hint="eastAsia" w:ascii="仿宋" w:hAnsi="仿宋" w:eastAsia="仿宋"/>
          <w:sz w:val="28"/>
          <w:szCs w:val="28"/>
        </w:rPr>
        <w:t>对不同容积的空场混响时间应采用下图所示范围。</w:t>
      </w:r>
    </w:p>
    <w:p>
      <w:pPr>
        <w:pStyle w:val="2"/>
        <w:spacing w:after="0" w:line="240" w:lineRule="auto"/>
        <w:jc w:val="center"/>
      </w:pPr>
      <w:r>
        <w:rPr>
          <w:rFonts w:hint="eastAsia"/>
        </w:rPr>
        <w:drawing>
          <wp:inline distT="0" distB="0" distL="0" distR="0">
            <wp:extent cx="5232400" cy="2781300"/>
            <wp:effectExtent l="0" t="0" r="0" b="0"/>
            <wp:docPr id="3" name="图片 8"/>
            <wp:cNvGraphicFramePr/>
            <a:graphic xmlns:a="http://schemas.openxmlformats.org/drawingml/2006/main">
              <a:graphicData uri="http://schemas.openxmlformats.org/drawingml/2006/picture">
                <pic:pic xmlns:pic="http://schemas.openxmlformats.org/drawingml/2006/picture">
                  <pic:nvPicPr>
                    <pic:cNvPr id="3" name="图片 8"/>
                    <pic:cNvPicPr/>
                  </pic:nvPicPr>
                  <pic:blipFill>
                    <a:blip r:embed="rId11">
                      <a:extLst>
                        <a:ext uri="{28A0092B-C50C-407E-A947-70E740481C1C}">
                          <a14:useLocalDpi xmlns:a14="http://schemas.microsoft.com/office/drawing/2010/main" val="0"/>
                        </a:ext>
                      </a:extLst>
                    </a:blip>
                    <a:srcRect/>
                    <a:stretch>
                      <a:fillRect/>
                    </a:stretch>
                  </pic:blipFill>
                  <pic:spPr>
                    <a:xfrm>
                      <a:off x="0" y="0"/>
                      <a:ext cx="5232400" cy="2781300"/>
                    </a:xfrm>
                    <a:prstGeom prst="rect">
                      <a:avLst/>
                    </a:prstGeom>
                    <a:noFill/>
                    <a:ln>
                      <a:noFill/>
                    </a:ln>
                  </pic:spPr>
                </pic:pic>
              </a:graphicData>
            </a:graphic>
          </wp:inline>
        </w:drawing>
      </w:r>
    </w:p>
    <w:p>
      <w:pPr>
        <w:spacing w:after="0" w:line="360" w:lineRule="auto"/>
        <w:ind w:firstLine="481" w:firstLineChars="200"/>
        <w:jc w:val="both"/>
        <w:rPr>
          <w:rFonts w:ascii="Times New Roman" w:hAnsi="Times New Roman" w:eastAsia="仿宋"/>
          <w:sz w:val="24"/>
          <w:szCs w:val="24"/>
        </w:rPr>
      </w:pPr>
      <w:r>
        <w:rPr>
          <w:rFonts w:hint="eastAsia" w:ascii="仿宋" w:hAnsi="仿宋" w:eastAsia="仿宋"/>
          <w:b/>
          <w:bCs/>
          <w:sz w:val="24"/>
          <w:szCs w:val="24"/>
        </w:rPr>
        <w:t>注</w:t>
      </w:r>
      <w:r>
        <w:rPr>
          <w:rFonts w:ascii="仿宋" w:hAnsi="仿宋" w:eastAsia="仿宋"/>
          <w:b/>
          <w:bCs/>
          <w:sz w:val="24"/>
          <w:szCs w:val="24"/>
        </w:rPr>
        <w:t>:</w:t>
      </w:r>
      <w:r>
        <w:rPr>
          <w:rFonts w:hint="eastAsia" w:ascii="仿宋" w:hAnsi="仿宋" w:eastAsia="仿宋"/>
          <w:sz w:val="24"/>
          <w:szCs w:val="24"/>
        </w:rPr>
        <w:t>起</w:t>
      </w:r>
      <w:r>
        <w:rPr>
          <w:rFonts w:ascii="Times New Roman" w:hAnsi="Times New Roman" w:eastAsia="仿宋"/>
          <w:sz w:val="24"/>
          <w:szCs w:val="24"/>
        </w:rPr>
        <w:t>点处（房间容积为30m³）一级标准的混响时间上限值为0.25s，下限值为0.29s；二级标准的混响时间上限值为0.29s，下限值为0.33s；三级标准的混响时间上限值为0.33s，下限值为0.37s。</w:t>
      </w:r>
    </w:p>
    <w:p>
      <w:pPr>
        <w:spacing w:after="0" w:line="360" w:lineRule="auto"/>
        <w:ind w:firstLine="560" w:firstLineChars="200"/>
        <w:jc w:val="both"/>
        <w:rPr>
          <w:rFonts w:ascii="仿宋" w:hAnsi="仿宋" w:eastAsia="仿宋"/>
          <w:sz w:val="28"/>
          <w:szCs w:val="28"/>
        </w:rPr>
      </w:pPr>
      <w:r>
        <w:rPr>
          <w:rFonts w:hint="eastAsia" w:ascii="Times New Roman" w:hAnsi="Times New Roman" w:eastAsia="仿宋"/>
          <w:sz w:val="28"/>
          <w:szCs w:val="28"/>
        </w:rPr>
        <w:t>在线互动教室</w:t>
      </w:r>
      <w:r>
        <w:rPr>
          <w:rFonts w:ascii="Times New Roman" w:hAnsi="Times New Roman" w:eastAsia="仿宋"/>
          <w:sz w:val="28"/>
          <w:szCs w:val="28"/>
        </w:rPr>
        <w:t>混响时间的频率特性，相对于500～1000Hz的比值应</w:t>
      </w:r>
      <w:r>
        <w:rPr>
          <w:rFonts w:hint="eastAsia" w:ascii="仿宋" w:hAnsi="仿宋" w:eastAsia="仿宋"/>
          <w:sz w:val="28"/>
          <w:szCs w:val="28"/>
        </w:rPr>
        <w:t>符合下</w:t>
      </w:r>
      <w:r>
        <w:rPr>
          <w:rFonts w:hint="eastAsia" w:ascii="仿宋" w:hAnsi="仿宋" w:eastAsia="仿宋"/>
          <w:color w:val="000000" w:themeColor="text1"/>
          <w:sz w:val="28"/>
          <w:szCs w:val="28"/>
          <w14:textFill>
            <w14:solidFill>
              <w14:schemeClr w14:val="tx1"/>
            </w14:solidFill>
          </w14:textFill>
        </w:rPr>
        <w:t>表</w:t>
      </w:r>
      <w:r>
        <w:rPr>
          <w:rFonts w:hint="eastAsia" w:ascii="仿宋" w:hAnsi="仿宋" w:eastAsia="仿宋"/>
          <w:sz w:val="28"/>
          <w:szCs w:val="28"/>
        </w:rPr>
        <w:t>的规定。</w:t>
      </w:r>
    </w:p>
    <w:tbl>
      <w:tblPr>
        <w:tblStyle w:val="19"/>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1689"/>
        <w:gridCol w:w="1711"/>
        <w:gridCol w:w="168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6" w:type="dxa"/>
            <w:shd w:val="clear" w:color="auto" w:fill="auto"/>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频率（Hz）</w:t>
            </w:r>
          </w:p>
        </w:tc>
        <w:tc>
          <w:tcPr>
            <w:tcW w:w="1846" w:type="dxa"/>
            <w:shd w:val="clear" w:color="auto" w:fill="auto"/>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125</w:t>
            </w:r>
          </w:p>
        </w:tc>
        <w:tc>
          <w:tcPr>
            <w:tcW w:w="1846" w:type="dxa"/>
            <w:shd w:val="clear" w:color="auto" w:fill="auto"/>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250</w:t>
            </w:r>
          </w:p>
        </w:tc>
        <w:tc>
          <w:tcPr>
            <w:tcW w:w="1846" w:type="dxa"/>
            <w:shd w:val="clear" w:color="auto" w:fill="auto"/>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2000</w:t>
            </w:r>
          </w:p>
        </w:tc>
        <w:tc>
          <w:tcPr>
            <w:tcW w:w="1847" w:type="dxa"/>
            <w:shd w:val="clear" w:color="auto" w:fill="auto"/>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6" w:type="dxa"/>
            <w:shd w:val="clear" w:color="auto" w:fill="auto"/>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比值</w:t>
            </w:r>
          </w:p>
        </w:tc>
        <w:tc>
          <w:tcPr>
            <w:tcW w:w="1846" w:type="dxa"/>
            <w:shd w:val="clear" w:color="auto" w:fill="auto"/>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0.85-1.1</w:t>
            </w:r>
          </w:p>
        </w:tc>
        <w:tc>
          <w:tcPr>
            <w:tcW w:w="1846" w:type="dxa"/>
            <w:shd w:val="clear" w:color="auto" w:fill="auto"/>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0.85-1.05</w:t>
            </w:r>
          </w:p>
        </w:tc>
        <w:tc>
          <w:tcPr>
            <w:tcW w:w="1846" w:type="dxa"/>
            <w:shd w:val="clear" w:color="auto" w:fill="auto"/>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0</w:t>
            </w:r>
            <w:r>
              <w:rPr>
                <w:rFonts w:ascii="Times New Roman" w:hAnsi="Times New Roman" w:eastAsia="仿宋"/>
                <w:sz w:val="24"/>
                <w:szCs w:val="24"/>
              </w:rPr>
              <w:t>.95</w:t>
            </w:r>
            <w:r>
              <w:rPr>
                <w:rFonts w:hint="eastAsia" w:ascii="Times New Roman" w:hAnsi="Times New Roman" w:eastAsia="仿宋"/>
                <w:sz w:val="24"/>
                <w:szCs w:val="24"/>
              </w:rPr>
              <w:t>-</w:t>
            </w:r>
            <w:r>
              <w:rPr>
                <w:rFonts w:ascii="Times New Roman" w:hAnsi="Times New Roman" w:eastAsia="仿宋"/>
                <w:sz w:val="24"/>
                <w:szCs w:val="24"/>
              </w:rPr>
              <w:t>1.0</w:t>
            </w:r>
          </w:p>
        </w:tc>
        <w:tc>
          <w:tcPr>
            <w:tcW w:w="1847" w:type="dxa"/>
            <w:shd w:val="clear" w:color="auto" w:fill="auto"/>
            <w:vAlign w:val="center"/>
          </w:tcPr>
          <w:p>
            <w:pPr>
              <w:pStyle w:val="2"/>
              <w:spacing w:after="0" w:line="240" w:lineRule="auto"/>
              <w:jc w:val="center"/>
              <w:rPr>
                <w:rFonts w:ascii="Times New Roman" w:hAnsi="Times New Roman" w:eastAsia="仿宋"/>
                <w:sz w:val="24"/>
                <w:szCs w:val="24"/>
              </w:rPr>
            </w:pPr>
            <w:r>
              <w:rPr>
                <w:rFonts w:hint="eastAsia" w:ascii="Times New Roman" w:hAnsi="Times New Roman" w:eastAsia="仿宋"/>
                <w:sz w:val="24"/>
                <w:szCs w:val="24"/>
              </w:rPr>
              <w:t>0</w:t>
            </w:r>
            <w:r>
              <w:rPr>
                <w:rFonts w:ascii="Times New Roman" w:hAnsi="Times New Roman" w:eastAsia="仿宋"/>
                <w:sz w:val="24"/>
                <w:szCs w:val="24"/>
              </w:rPr>
              <w:t>.9</w:t>
            </w:r>
            <w:r>
              <w:rPr>
                <w:rFonts w:hint="eastAsia" w:ascii="Times New Roman" w:hAnsi="Times New Roman" w:eastAsia="仿宋"/>
                <w:sz w:val="24"/>
                <w:szCs w:val="24"/>
              </w:rPr>
              <w:t>-1.0</w:t>
            </w:r>
          </w:p>
        </w:tc>
      </w:tr>
    </w:tbl>
    <w:p>
      <w:pPr>
        <w:pStyle w:val="4"/>
        <w:spacing w:before="0" w:after="0" w:line="360" w:lineRule="auto"/>
        <w:ind w:firstLine="560" w:firstLineChars="200"/>
        <w:jc w:val="both"/>
        <w:rPr>
          <w:rFonts w:ascii="黑体" w:hAnsi="黑体" w:eastAsia="黑体" w:cs="黑体"/>
          <w:b w:val="0"/>
          <w:bCs w:val="0"/>
          <w:sz w:val="28"/>
          <w:szCs w:val="28"/>
        </w:rPr>
      </w:pPr>
      <w:bookmarkStart w:id="95" w:name="_Toc141707777"/>
      <w:bookmarkStart w:id="96" w:name="_Toc30459"/>
      <w:bookmarkStart w:id="97" w:name="_Toc19378"/>
      <w:bookmarkStart w:id="98" w:name="_Toc3059"/>
      <w:bookmarkStart w:id="99" w:name="_Toc21069"/>
      <w:bookmarkStart w:id="100" w:name="_Toc1163"/>
      <w:bookmarkStart w:id="101" w:name="_Toc19863"/>
      <w:r>
        <w:rPr>
          <w:rFonts w:hint="eastAsia" w:ascii="黑体" w:hAnsi="黑体" w:eastAsia="黑体" w:cs="黑体"/>
          <w:b w:val="0"/>
          <w:bCs w:val="0"/>
          <w:sz w:val="28"/>
          <w:szCs w:val="28"/>
        </w:rPr>
        <w:t>（三）管理平台</w:t>
      </w:r>
      <w:bookmarkEnd w:id="95"/>
      <w:r>
        <w:rPr>
          <w:rFonts w:hint="eastAsia" w:ascii="黑体" w:hAnsi="黑体" w:eastAsia="黑体" w:cs="黑体"/>
          <w:b w:val="0"/>
          <w:bCs w:val="0"/>
          <w:sz w:val="28"/>
          <w:szCs w:val="28"/>
        </w:rPr>
        <w:t>要求</w:t>
      </w:r>
      <w:bookmarkEnd w:id="96"/>
      <w:bookmarkEnd w:id="97"/>
      <w:bookmarkEnd w:id="98"/>
      <w:bookmarkEnd w:id="99"/>
      <w:bookmarkEnd w:id="100"/>
      <w:bookmarkEnd w:id="101"/>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在线互动教室管理平台（以下简称平台）要能够支撑在线互动教学资源存储、直播授课、互动授课、网络教研、督导巡课等应用，支持无感采集在线互动教室应用数据，以实现对在线互动教室建设和应用进行动态监测、科学决策、精细管理和精准服务的目的。</w:t>
      </w:r>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各区县/中小学可根据需求，选择自建在线互动平台及资源管理平台，或接入海南省中小学5G同步课堂公共服务平台。</w:t>
      </w:r>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结合“三个课堂”应用需求，自建在线互动及资源管理平台应包括但不限于基础管理和应用服务两个模块，各模块主要功能如下：</w:t>
      </w:r>
    </w:p>
    <w:tbl>
      <w:tblPr>
        <w:tblStyle w:val="19"/>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05"/>
        <w:gridCol w:w="6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tabs>
                <w:tab w:val="left" w:pos="720"/>
              </w:tabs>
              <w:adjustRightInd w:val="0"/>
              <w:snapToGrid w:val="0"/>
              <w:spacing w:after="0" w:line="240" w:lineRule="auto"/>
              <w:jc w:val="center"/>
              <w:rPr>
                <w:rFonts w:ascii="仿宋" w:hAnsi="仿宋" w:eastAsia="仿宋"/>
                <w:sz w:val="24"/>
                <w:szCs w:val="24"/>
              </w:rPr>
            </w:pPr>
            <w:r>
              <w:rPr>
                <w:rFonts w:hint="eastAsia" w:ascii="仿宋" w:hAnsi="仿宋" w:eastAsia="仿宋"/>
                <w:sz w:val="24"/>
                <w:szCs w:val="24"/>
              </w:rPr>
              <w:t>序号</w:t>
            </w:r>
          </w:p>
        </w:tc>
        <w:tc>
          <w:tcPr>
            <w:tcW w:w="881" w:type="dxa"/>
            <w:tcBorders>
              <w:top w:val="single" w:color="auto" w:sz="4" w:space="0"/>
              <w:left w:val="single" w:color="auto" w:sz="4" w:space="0"/>
              <w:bottom w:val="single" w:color="auto" w:sz="4" w:space="0"/>
              <w:right w:val="single" w:color="auto" w:sz="4" w:space="0"/>
            </w:tcBorders>
            <w:vAlign w:val="center"/>
          </w:tcPr>
          <w:p>
            <w:pPr>
              <w:tabs>
                <w:tab w:val="left" w:pos="720"/>
              </w:tabs>
              <w:adjustRightInd w:val="0"/>
              <w:snapToGrid w:val="0"/>
              <w:spacing w:after="0" w:line="240" w:lineRule="auto"/>
              <w:jc w:val="center"/>
              <w:rPr>
                <w:rFonts w:ascii="仿宋" w:hAnsi="仿宋" w:eastAsia="仿宋"/>
                <w:sz w:val="24"/>
                <w:szCs w:val="24"/>
              </w:rPr>
            </w:pPr>
            <w:r>
              <w:rPr>
                <w:rFonts w:hint="eastAsia" w:ascii="仿宋" w:hAnsi="仿宋" w:eastAsia="仿宋"/>
                <w:sz w:val="24"/>
                <w:szCs w:val="24"/>
              </w:rPr>
              <w:t>模块</w:t>
            </w:r>
          </w:p>
        </w:tc>
        <w:tc>
          <w:tcPr>
            <w:tcW w:w="6517" w:type="dxa"/>
            <w:tcBorders>
              <w:top w:val="single" w:color="auto" w:sz="4" w:space="0"/>
              <w:left w:val="single" w:color="auto" w:sz="4" w:space="0"/>
              <w:bottom w:val="single" w:color="auto" w:sz="4" w:space="0"/>
              <w:right w:val="single" w:color="auto" w:sz="4" w:space="0"/>
            </w:tcBorders>
            <w:vAlign w:val="center"/>
          </w:tcPr>
          <w:p>
            <w:pPr>
              <w:tabs>
                <w:tab w:val="left" w:pos="720"/>
              </w:tabs>
              <w:adjustRightInd w:val="0"/>
              <w:snapToGrid w:val="0"/>
              <w:spacing w:after="0" w:line="240" w:lineRule="auto"/>
              <w:jc w:val="center"/>
              <w:rPr>
                <w:rFonts w:ascii="仿宋" w:hAnsi="仿宋" w:eastAsia="仿宋"/>
                <w:sz w:val="24"/>
                <w:szCs w:val="24"/>
              </w:rPr>
            </w:pPr>
            <w:r>
              <w:rPr>
                <w:rFonts w:hint="eastAsia" w:ascii="仿宋" w:hAnsi="仿宋" w:eastAsia="仿宋"/>
                <w:sz w:val="24"/>
                <w:szCs w:val="24"/>
              </w:rPr>
              <w:t>主要功能描述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tabs>
                <w:tab w:val="left" w:pos="720"/>
              </w:tabs>
              <w:adjustRightInd w:val="0"/>
              <w:snapToGrid w:val="0"/>
              <w:spacing w:after="0" w:line="360" w:lineRule="auto"/>
              <w:jc w:val="center"/>
              <w:rPr>
                <w:rFonts w:ascii="仿宋" w:hAnsi="仿宋" w:eastAsia="仿宋"/>
                <w:sz w:val="24"/>
                <w:szCs w:val="24"/>
              </w:rPr>
            </w:pPr>
            <w:r>
              <w:rPr>
                <w:rFonts w:hint="eastAsia" w:ascii="仿宋" w:hAnsi="仿宋" w:eastAsia="仿宋"/>
                <w:sz w:val="24"/>
                <w:szCs w:val="24"/>
              </w:rPr>
              <w:t>1</w:t>
            </w:r>
          </w:p>
        </w:tc>
        <w:tc>
          <w:tcPr>
            <w:tcW w:w="881" w:type="dxa"/>
            <w:tcBorders>
              <w:top w:val="single" w:color="auto" w:sz="4" w:space="0"/>
              <w:left w:val="single" w:color="auto" w:sz="4" w:space="0"/>
              <w:bottom w:val="single" w:color="auto" w:sz="4" w:space="0"/>
              <w:right w:val="single" w:color="auto" w:sz="4" w:space="0"/>
            </w:tcBorders>
            <w:vAlign w:val="center"/>
          </w:tcPr>
          <w:p>
            <w:pPr>
              <w:tabs>
                <w:tab w:val="left" w:pos="720"/>
              </w:tabs>
              <w:adjustRightInd w:val="0"/>
              <w:snapToGrid w:val="0"/>
              <w:spacing w:after="0" w:line="360" w:lineRule="auto"/>
              <w:jc w:val="center"/>
              <w:rPr>
                <w:rFonts w:ascii="仿宋" w:hAnsi="仿宋" w:eastAsia="仿宋"/>
                <w:sz w:val="24"/>
                <w:szCs w:val="24"/>
              </w:rPr>
            </w:pPr>
            <w:r>
              <w:rPr>
                <w:rFonts w:hint="eastAsia" w:ascii="仿宋" w:hAnsi="仿宋" w:eastAsia="仿宋"/>
                <w:sz w:val="24"/>
                <w:szCs w:val="24"/>
              </w:rPr>
              <w:t>基础</w:t>
            </w:r>
          </w:p>
          <w:p>
            <w:pPr>
              <w:tabs>
                <w:tab w:val="left" w:pos="720"/>
              </w:tabs>
              <w:adjustRightInd w:val="0"/>
              <w:snapToGrid w:val="0"/>
              <w:spacing w:after="0" w:line="360" w:lineRule="auto"/>
              <w:jc w:val="center"/>
              <w:rPr>
                <w:rFonts w:ascii="仿宋" w:hAnsi="仿宋" w:eastAsia="仿宋"/>
                <w:sz w:val="24"/>
                <w:szCs w:val="24"/>
              </w:rPr>
            </w:pPr>
            <w:r>
              <w:rPr>
                <w:rFonts w:hint="eastAsia" w:ascii="仿宋" w:hAnsi="仿宋" w:eastAsia="仿宋"/>
                <w:sz w:val="24"/>
                <w:szCs w:val="24"/>
              </w:rPr>
              <w:t>管理</w:t>
            </w:r>
          </w:p>
        </w:tc>
        <w:tc>
          <w:tcPr>
            <w:tcW w:w="6517" w:type="dxa"/>
            <w:tcBorders>
              <w:top w:val="single" w:color="auto" w:sz="4" w:space="0"/>
              <w:left w:val="single" w:color="auto" w:sz="4" w:space="0"/>
              <w:bottom w:val="single" w:color="auto" w:sz="4" w:space="0"/>
              <w:right w:val="single" w:color="auto" w:sz="4" w:space="0"/>
            </w:tcBorders>
            <w:vAlign w:val="center"/>
          </w:tcPr>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为保障平台安全性，平台需通过等保三级认证。</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系统采用模块化的架构设计B/S架构，用户可通过浏览器实现数据看板查看、名师示范课点播、用户管理等功能。</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区域角色管理：系统至少提供超级管理员、内容管理员、权限管理员、专递课堂管理员四种默认角色，分别具备不同模块的管理权限；在添加区域管理员时，可根据所属的行政地区，为不同层级的管理者设置所管辖的区域权限。</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角色自定义：支持管理员根据不同教师的工作需求创建角色，自定义该角色的名称和可使用的功能权限；并可查看各角色的人数，方便管理。</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教师可以通过自主账号登录平台，根据教师个人学习需求对全区域的名师示范课等视频课程进行筛选、点播观看、在线学习。</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视频管理：录播主机录制的视频自动上传至平台，支持本校教师或管理员对视频进行名称编辑、学科学段编辑、下载、删除、发布课程等操作。</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课程发布：课程发布时，可选择对应的学段、学科、发布模块、示范课分类等，方便用户按不同维度查找课程。</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课程审核：支持区域管理员和学校管理员分别对所管辖区域范围内，教师申请发布的课程进行审核，监控公开课程资源的质量；拒绝课程发布时，需填写拒绝原因；若课程未通过时，系统将在消息中心自动通知该课程归属的教师。</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课程评论：支持用户对已发布视频进行视频打点并插入课堂评价，所评论内容需关联视频对应时间点。</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账号管理：支持用户修改昵称、密码及头像设置等，并可重新绑定用户手机号，同时关联绑定/解绑个人微信号。</w:t>
            </w:r>
          </w:p>
          <w:p>
            <w:pPr>
              <w:pStyle w:val="2"/>
              <w:numPr>
                <w:ilvl w:val="0"/>
                <w:numId w:val="1"/>
              </w:numPr>
              <w:spacing w:after="0"/>
              <w:jc w:val="both"/>
              <w:rPr>
                <w:rFonts w:ascii="仿宋" w:hAnsi="仿宋" w:eastAsia="仿宋"/>
                <w:sz w:val="24"/>
                <w:szCs w:val="24"/>
              </w:rPr>
            </w:pPr>
            <w:r>
              <w:rPr>
                <w:rFonts w:hint="eastAsia" w:ascii="Times New Roman" w:hAnsi="Times New Roman" w:eastAsia="仿宋"/>
                <w:sz w:val="24"/>
                <w:szCs w:val="24"/>
              </w:rPr>
              <w:t>显示管理员下辖的教室总数、在线教室总数、活跃教室数，实时呈现整体情况。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vAlign w:val="center"/>
          </w:tcPr>
          <w:p>
            <w:pPr>
              <w:tabs>
                <w:tab w:val="left" w:pos="720"/>
              </w:tabs>
              <w:adjustRightInd w:val="0"/>
              <w:snapToGrid w:val="0"/>
              <w:spacing w:after="0" w:line="360" w:lineRule="auto"/>
              <w:jc w:val="center"/>
              <w:rPr>
                <w:rFonts w:ascii="仿宋" w:hAnsi="仿宋" w:eastAsia="仿宋"/>
                <w:sz w:val="24"/>
                <w:szCs w:val="24"/>
              </w:rPr>
            </w:pPr>
            <w:r>
              <w:rPr>
                <w:rFonts w:hint="eastAsia" w:ascii="仿宋" w:hAnsi="仿宋" w:eastAsia="仿宋"/>
                <w:sz w:val="24"/>
                <w:szCs w:val="24"/>
              </w:rPr>
              <w:t>2</w:t>
            </w:r>
          </w:p>
        </w:tc>
        <w:tc>
          <w:tcPr>
            <w:tcW w:w="881" w:type="dxa"/>
            <w:tcBorders>
              <w:top w:val="single" w:color="auto" w:sz="4" w:space="0"/>
              <w:left w:val="single" w:color="auto" w:sz="4" w:space="0"/>
              <w:bottom w:val="single" w:color="auto" w:sz="4" w:space="0"/>
              <w:right w:val="single" w:color="auto" w:sz="4" w:space="0"/>
            </w:tcBorders>
            <w:vAlign w:val="center"/>
          </w:tcPr>
          <w:p>
            <w:pPr>
              <w:tabs>
                <w:tab w:val="left" w:pos="720"/>
              </w:tabs>
              <w:adjustRightInd w:val="0"/>
              <w:snapToGrid w:val="0"/>
              <w:spacing w:after="0" w:line="360" w:lineRule="auto"/>
              <w:jc w:val="center"/>
              <w:rPr>
                <w:rFonts w:ascii="仿宋" w:hAnsi="仿宋" w:eastAsia="仿宋"/>
                <w:sz w:val="24"/>
                <w:szCs w:val="24"/>
              </w:rPr>
            </w:pPr>
            <w:r>
              <w:rPr>
                <w:rFonts w:hint="eastAsia" w:ascii="仿宋" w:hAnsi="仿宋" w:eastAsia="仿宋"/>
                <w:sz w:val="24"/>
                <w:szCs w:val="24"/>
              </w:rPr>
              <w:t>应用服务</w:t>
            </w:r>
          </w:p>
        </w:tc>
        <w:tc>
          <w:tcPr>
            <w:tcW w:w="6517" w:type="dxa"/>
            <w:tcBorders>
              <w:top w:val="single" w:color="auto" w:sz="4" w:space="0"/>
              <w:left w:val="single" w:color="auto" w:sz="4" w:space="0"/>
              <w:bottom w:val="single" w:color="auto" w:sz="4" w:space="0"/>
              <w:right w:val="single" w:color="auto" w:sz="4" w:space="0"/>
            </w:tcBorders>
            <w:vAlign w:val="center"/>
          </w:tcPr>
          <w:p>
            <w:pPr>
              <w:pStyle w:val="2"/>
              <w:spacing w:after="0"/>
              <w:jc w:val="both"/>
              <w:rPr>
                <w:rFonts w:ascii="Times New Roman" w:hAnsi="Times New Roman" w:eastAsia="仿宋"/>
                <w:b/>
                <w:bCs/>
                <w:sz w:val="24"/>
                <w:szCs w:val="24"/>
              </w:rPr>
            </w:pPr>
            <w:r>
              <w:rPr>
                <w:rFonts w:hint="eastAsia" w:ascii="Times New Roman" w:hAnsi="Times New Roman" w:eastAsia="仿宋"/>
                <w:b/>
                <w:bCs/>
                <w:sz w:val="24"/>
                <w:szCs w:val="24"/>
              </w:rPr>
              <w:t>网络直播</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直播活动：支持用户创建直播，提前设置预约直播信息，并获取直播地址及二维码海报，方便提前发布直播信息。</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直播管理：在直播结束前，支持教师修改直播的结束时间、名称、封面、课件、直播简介、聊天互动权限等设置，并保持原分享链接和二维码不变，活动调整不会导致原分享链接和二维码失效。</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直播工作台：创建直播时支持添加直播助教；助教进入工作台可进行直播间秩序维护，具体功能包括：删除留言、禁言观众、发起签到、管理公告。</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直播分享：用户可一键生成直播海报或链接并进行分享，其他用户通过扫描海报上的二维码或打开链接的方式，观看直播视频。</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活动课件：教师可选择云课件与直播关联，无需耗时上传本地文件；课件与直播关联后，支持用户在活动开始时间前查看云课件；活动开始后，用户可在观看直播视频的同时，在线查看已关联的课件。</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直播互动：直播过程中，支持用户在直播课程中发布评论、点赞、分享观看链接或二维码，同时可查看直播简介、活动课件和累计观看人次。</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直播数据：直播开始后，支持查看直播的人气峰值、观看人次、累计点赞、观众发言次数、签到人数等数据，随时掌握直播情况。</w:t>
            </w:r>
          </w:p>
          <w:p>
            <w:pPr>
              <w:pStyle w:val="2"/>
              <w:spacing w:after="0"/>
              <w:jc w:val="both"/>
              <w:rPr>
                <w:rFonts w:ascii="Times New Roman" w:hAnsi="Times New Roman" w:eastAsia="仿宋"/>
                <w:b/>
                <w:bCs/>
                <w:sz w:val="24"/>
                <w:szCs w:val="24"/>
              </w:rPr>
            </w:pPr>
            <w:r>
              <w:rPr>
                <w:rFonts w:hint="eastAsia" w:ascii="Times New Roman" w:hAnsi="Times New Roman" w:eastAsia="仿宋"/>
                <w:b/>
                <w:bCs/>
                <w:sz w:val="24"/>
                <w:szCs w:val="24"/>
              </w:rPr>
              <w:t>专递课堂</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专递示范课：自动统计老师发布到“专递示范课”的课程总数，并按学科统计发布课程的老师人数与课程数。</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支持用户在平台中预约专递课程，采用课表形式实时显示课程计划。</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课表支持逐级汇总，教师个人课程计划、学校全体课程计划、区域全体课程计划等均支持在一张课表中展示，利于用户便捷查看。</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在课程计划中，支持登录用户进行个人课程的快速定位查看。</w:t>
            </w:r>
          </w:p>
          <w:p>
            <w:pPr>
              <w:pStyle w:val="2"/>
              <w:spacing w:after="0"/>
              <w:jc w:val="both"/>
              <w:rPr>
                <w:rFonts w:ascii="Times New Roman" w:hAnsi="Times New Roman" w:eastAsia="仿宋"/>
                <w:b/>
                <w:bCs/>
                <w:sz w:val="24"/>
                <w:szCs w:val="24"/>
              </w:rPr>
            </w:pPr>
            <w:r>
              <w:rPr>
                <w:rFonts w:hint="eastAsia" w:ascii="Times New Roman" w:hAnsi="Times New Roman" w:eastAsia="仿宋"/>
                <w:b/>
                <w:bCs/>
                <w:sz w:val="24"/>
                <w:szCs w:val="24"/>
              </w:rPr>
              <w:t>名师课堂</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用户可在名师示范课页面中，点播区域名师上传的优质示范课程。</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平台根据课程播放数量提供最热门课程推荐。</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平台提供课程播放总数最高的名师展示，支持用户点击名师头像进入教师空间，查看该名师上传的全部课程。</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支持通过学段、学科、课程分类快速筛选课程视频；课程至少支持微课、培训讲座、课堂实录等分类，方便用户快速定位，查看所需课程。</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用户可在教师空间中，查看该教师上传的全部课程、个人简介、所属学校以及个人成就，个人成就包含上传课程的总数、课程播放总次数等。</w:t>
            </w:r>
          </w:p>
          <w:p>
            <w:pPr>
              <w:pStyle w:val="2"/>
              <w:spacing w:after="0"/>
              <w:jc w:val="both"/>
              <w:rPr>
                <w:rFonts w:ascii="Times New Roman" w:hAnsi="Times New Roman" w:eastAsia="仿宋"/>
                <w:b/>
                <w:bCs/>
                <w:sz w:val="24"/>
                <w:szCs w:val="24"/>
              </w:rPr>
            </w:pPr>
            <w:r>
              <w:rPr>
                <w:rFonts w:hint="eastAsia" w:ascii="Times New Roman" w:hAnsi="Times New Roman" w:eastAsia="仿宋"/>
                <w:b/>
                <w:bCs/>
                <w:sz w:val="24"/>
                <w:szCs w:val="24"/>
              </w:rPr>
              <w:t>名校网络课堂</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提供以学校为单位展示的网络课程，支持用户在名校网络课堂页面上直观地查看学校课程数、观看人次等数据。平台支持在首页推荐该学校的热门课程，方便用户进行预览观看。</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用户可进入学校专区页面，详细了解该校情况，包括该校简介、活跃教师、学校上传的全部课程、课程观看总人次等数据。在活跃教师排行榜中，可看到各位名师发起的课程总数及总观看人次。</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用户访问平台网页观看线上课程时，可直接在平台网页中参与在线互动答题，加深对知识点的理解。</w:t>
            </w:r>
          </w:p>
          <w:p>
            <w:pPr>
              <w:pStyle w:val="2"/>
              <w:numPr>
                <w:ilvl w:val="0"/>
                <w:numId w:val="1"/>
              </w:numPr>
              <w:spacing w:after="0"/>
              <w:jc w:val="both"/>
              <w:rPr>
                <w:rFonts w:ascii="Times New Roman" w:hAnsi="Times New Roman" w:eastAsia="仿宋"/>
                <w:sz w:val="24"/>
                <w:szCs w:val="24"/>
              </w:rPr>
            </w:pPr>
            <w:r>
              <w:rPr>
                <w:rFonts w:hint="eastAsia" w:ascii="Times New Roman" w:hAnsi="Times New Roman" w:eastAsia="仿宋"/>
                <w:sz w:val="24"/>
                <w:szCs w:val="24"/>
              </w:rPr>
              <w:t>名校管理员可进行学校校徽、学校简介等信息的设置管理。</w:t>
            </w:r>
          </w:p>
        </w:tc>
      </w:tr>
    </w:tbl>
    <w:p>
      <w:pPr>
        <w:pStyle w:val="4"/>
        <w:spacing w:before="0" w:after="0" w:line="360" w:lineRule="auto"/>
        <w:ind w:firstLine="560" w:firstLineChars="200"/>
        <w:jc w:val="both"/>
        <w:rPr>
          <w:rFonts w:ascii="黑体" w:hAnsi="黑体" w:eastAsia="黑体" w:cs="黑体"/>
          <w:b w:val="0"/>
          <w:bCs w:val="0"/>
          <w:sz w:val="28"/>
          <w:szCs w:val="28"/>
        </w:rPr>
      </w:pPr>
      <w:bookmarkStart w:id="102" w:name="_Toc13993"/>
      <w:bookmarkStart w:id="103" w:name="_Toc3290"/>
      <w:bookmarkStart w:id="104" w:name="_Toc12589"/>
      <w:bookmarkStart w:id="105" w:name="_Toc9111"/>
      <w:bookmarkStart w:id="106" w:name="_Toc26141"/>
      <w:bookmarkStart w:id="107" w:name="_Toc11170"/>
      <w:bookmarkStart w:id="108" w:name="_Toc141707778"/>
      <w:r>
        <w:rPr>
          <w:rFonts w:hint="eastAsia" w:ascii="黑体" w:hAnsi="黑体" w:eastAsia="黑体" w:cs="黑体"/>
          <w:b w:val="0"/>
          <w:bCs w:val="0"/>
          <w:sz w:val="28"/>
          <w:szCs w:val="28"/>
        </w:rPr>
        <w:t>（四）网络带宽要求</w:t>
      </w:r>
      <w:bookmarkEnd w:id="102"/>
      <w:bookmarkEnd w:id="103"/>
      <w:bookmarkEnd w:id="104"/>
      <w:bookmarkEnd w:id="105"/>
      <w:bookmarkEnd w:id="106"/>
      <w:bookmarkEnd w:id="107"/>
      <w:bookmarkEnd w:id="108"/>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为保障在线互动课堂流畅进行，主讲端教室与听讲端教室至少都应具有4M及以上独享带宽（或等同），要达到1080P画质效果，则建议保证20M及以上独享带宽（或等同）。</w:t>
      </w:r>
    </w:p>
    <w:p>
      <w:pPr>
        <w:pStyle w:val="3"/>
        <w:tabs>
          <w:tab w:val="left" w:pos="426"/>
        </w:tabs>
        <w:spacing w:before="0" w:after="0" w:line="360" w:lineRule="auto"/>
        <w:ind w:firstLine="560" w:firstLineChars="200"/>
        <w:jc w:val="both"/>
        <w:rPr>
          <w:rFonts w:ascii="黑体" w:hAnsi="黑体" w:eastAsia="黑体" w:cs="黑体"/>
          <w:b w:val="0"/>
          <w:bCs w:val="0"/>
          <w:sz w:val="30"/>
          <w:szCs w:val="30"/>
        </w:rPr>
      </w:pPr>
      <w:bookmarkStart w:id="109" w:name="_Toc141707779"/>
      <w:bookmarkStart w:id="110" w:name="_Toc23277"/>
      <w:bookmarkStart w:id="111" w:name="_Toc20637"/>
      <w:bookmarkStart w:id="112" w:name="_Toc8696"/>
      <w:bookmarkStart w:id="113" w:name="_Toc10139"/>
      <w:bookmarkStart w:id="114" w:name="_Toc30566"/>
      <w:bookmarkStart w:id="115" w:name="_Toc15756"/>
      <w:r>
        <w:rPr>
          <w:rFonts w:hint="eastAsia" w:ascii="黑体" w:hAnsi="黑体" w:eastAsia="黑体" w:cs="黑体"/>
          <w:b w:val="0"/>
          <w:bCs w:val="0"/>
          <w:sz w:val="28"/>
          <w:szCs w:val="28"/>
        </w:rPr>
        <w:t>四</w:t>
      </w:r>
      <w:r>
        <w:rPr>
          <w:rFonts w:hint="eastAsia" w:ascii="黑体" w:hAnsi="黑体" w:eastAsia="黑体" w:cs="黑体"/>
          <w:b w:val="0"/>
          <w:bCs w:val="0"/>
          <w:sz w:val="30"/>
          <w:szCs w:val="30"/>
        </w:rPr>
        <w:t>、应用场景</w:t>
      </w:r>
      <w:bookmarkEnd w:id="109"/>
      <w:bookmarkEnd w:id="110"/>
      <w:bookmarkEnd w:id="111"/>
      <w:bookmarkEnd w:id="112"/>
      <w:bookmarkEnd w:id="113"/>
      <w:bookmarkEnd w:id="114"/>
      <w:bookmarkEnd w:id="115"/>
    </w:p>
    <w:p>
      <w:pPr>
        <w:pStyle w:val="4"/>
        <w:spacing w:before="0" w:after="0" w:line="360" w:lineRule="auto"/>
        <w:ind w:firstLine="560" w:firstLineChars="200"/>
        <w:jc w:val="both"/>
        <w:rPr>
          <w:rFonts w:ascii="黑体" w:hAnsi="黑体" w:eastAsia="黑体" w:cs="黑体"/>
          <w:b w:val="0"/>
          <w:bCs w:val="0"/>
          <w:sz w:val="28"/>
          <w:szCs w:val="28"/>
        </w:rPr>
      </w:pPr>
      <w:bookmarkStart w:id="116" w:name="_Toc141707780"/>
      <w:bookmarkStart w:id="117" w:name="_Toc19583"/>
      <w:bookmarkStart w:id="118" w:name="_Toc27291"/>
      <w:bookmarkStart w:id="119" w:name="_Toc4680"/>
      <w:bookmarkStart w:id="120" w:name="_Toc29641"/>
      <w:bookmarkStart w:id="121" w:name="_Toc16786"/>
      <w:bookmarkStart w:id="122" w:name="_Toc6995"/>
      <w:r>
        <w:rPr>
          <w:rFonts w:hint="eastAsia" w:ascii="黑体" w:hAnsi="黑体" w:eastAsia="黑体" w:cs="黑体"/>
          <w:b w:val="0"/>
          <w:bCs w:val="0"/>
          <w:sz w:val="28"/>
          <w:szCs w:val="28"/>
        </w:rPr>
        <w:t>（一）学科教学</w:t>
      </w:r>
      <w:bookmarkEnd w:id="116"/>
      <w:bookmarkEnd w:id="117"/>
      <w:bookmarkEnd w:id="118"/>
      <w:bookmarkEnd w:id="119"/>
      <w:bookmarkEnd w:id="120"/>
      <w:bookmarkEnd w:id="121"/>
      <w:bookmarkEnd w:id="122"/>
    </w:p>
    <w:p>
      <w:pPr>
        <w:spacing w:after="0" w:line="360" w:lineRule="auto"/>
        <w:ind w:firstLine="562" w:firstLineChars="200"/>
        <w:jc w:val="both"/>
        <w:outlineLvl w:val="2"/>
        <w:rPr>
          <w:rFonts w:ascii="仿宋" w:hAnsi="仿宋" w:eastAsia="仿宋"/>
          <w:b/>
          <w:bCs/>
          <w:sz w:val="28"/>
          <w:szCs w:val="28"/>
        </w:rPr>
      </w:pPr>
      <w:bookmarkStart w:id="123" w:name="_Toc13339"/>
      <w:bookmarkStart w:id="124" w:name="_Toc14110"/>
      <w:bookmarkStart w:id="125" w:name="_Toc4452"/>
      <w:bookmarkStart w:id="126" w:name="_Toc14879"/>
      <w:r>
        <w:rPr>
          <w:rFonts w:hint="eastAsia" w:ascii="仿宋" w:hAnsi="仿宋" w:eastAsia="仿宋"/>
          <w:b/>
          <w:bCs/>
          <w:sz w:val="28"/>
          <w:szCs w:val="28"/>
        </w:rPr>
        <w:t>1</w:t>
      </w:r>
      <w:r>
        <w:rPr>
          <w:rFonts w:ascii="仿宋" w:hAnsi="仿宋" w:eastAsia="仿宋"/>
          <w:b/>
          <w:bCs/>
          <w:sz w:val="28"/>
          <w:szCs w:val="28"/>
        </w:rPr>
        <w:t>.</w:t>
      </w:r>
      <w:r>
        <w:rPr>
          <w:rFonts w:hint="eastAsia" w:ascii="仿宋" w:hAnsi="仿宋" w:eastAsia="仿宋"/>
          <w:b/>
          <w:bCs/>
          <w:sz w:val="28"/>
          <w:szCs w:val="28"/>
        </w:rPr>
        <w:t>开齐开好小学科</w:t>
      </w:r>
      <w:bookmarkEnd w:id="123"/>
      <w:bookmarkEnd w:id="124"/>
      <w:bookmarkEnd w:id="125"/>
      <w:bookmarkEnd w:id="126"/>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基于国家中小学智慧教育平台和海南智慧教育平台等提供的优质数字资源，重点面向音乐、艺术、体育、信息科技等教师面临结构性短缺的学科，采取主讲教室有学生的“</w:t>
      </w:r>
      <w:r>
        <w:rPr>
          <w:rFonts w:ascii="Times New Roman" w:hAnsi="Times New Roman" w:eastAsia="仿宋"/>
          <w:sz w:val="28"/>
          <w:szCs w:val="28"/>
        </w:rPr>
        <w:t>1+N</w:t>
      </w:r>
      <w:r>
        <w:rPr>
          <w:rFonts w:hint="eastAsia" w:ascii="仿宋" w:hAnsi="仿宋" w:eastAsia="仿宋"/>
          <w:sz w:val="28"/>
          <w:szCs w:val="28"/>
        </w:rPr>
        <w:t>”或无学生的“</w:t>
      </w:r>
      <w:r>
        <w:rPr>
          <w:rFonts w:hint="eastAsia" w:ascii="Times New Roman" w:hAnsi="Times New Roman" w:eastAsia="仿宋"/>
          <w:sz w:val="28"/>
          <w:szCs w:val="28"/>
        </w:rPr>
        <w:t>0</w:t>
      </w:r>
      <w:r>
        <w:rPr>
          <w:rFonts w:ascii="Times New Roman" w:hAnsi="Times New Roman" w:eastAsia="仿宋"/>
          <w:sz w:val="28"/>
          <w:szCs w:val="28"/>
        </w:rPr>
        <w:t>+N</w:t>
      </w:r>
      <w:r>
        <w:rPr>
          <w:rFonts w:hint="eastAsia" w:ascii="仿宋" w:hAnsi="仿宋" w:eastAsia="仿宋"/>
          <w:sz w:val="28"/>
          <w:szCs w:val="28"/>
        </w:rPr>
        <w:t>”专递课堂教学模式，解决薄弱学校和教学点开不出开不足开不好国家规定课程的问题。</w:t>
      </w:r>
    </w:p>
    <w:p>
      <w:pPr>
        <w:spacing w:after="0" w:line="360" w:lineRule="auto"/>
        <w:ind w:firstLine="562" w:firstLineChars="200"/>
        <w:jc w:val="both"/>
        <w:outlineLvl w:val="2"/>
        <w:rPr>
          <w:rFonts w:ascii="仿宋" w:hAnsi="仿宋" w:eastAsia="仿宋"/>
          <w:b/>
          <w:bCs/>
          <w:sz w:val="28"/>
          <w:szCs w:val="28"/>
        </w:rPr>
      </w:pPr>
      <w:bookmarkStart w:id="127" w:name="_Toc31536"/>
      <w:bookmarkStart w:id="128" w:name="_Toc18523"/>
      <w:bookmarkStart w:id="129" w:name="_Toc26378"/>
      <w:bookmarkStart w:id="130" w:name="_Toc4080"/>
      <w:r>
        <w:rPr>
          <w:rFonts w:ascii="仿宋" w:hAnsi="仿宋" w:eastAsia="仿宋"/>
          <w:b/>
          <w:bCs/>
          <w:sz w:val="28"/>
          <w:szCs w:val="28"/>
        </w:rPr>
        <w:t>2.</w:t>
      </w:r>
      <w:r>
        <w:rPr>
          <w:rFonts w:hint="eastAsia" w:ascii="仿宋" w:hAnsi="仿宋" w:eastAsia="仿宋"/>
          <w:b/>
          <w:bCs/>
          <w:sz w:val="28"/>
          <w:szCs w:val="28"/>
        </w:rPr>
        <w:t>开齐开好基础课</w:t>
      </w:r>
      <w:bookmarkEnd w:id="127"/>
      <w:bookmarkEnd w:id="128"/>
      <w:bookmarkEnd w:id="129"/>
      <w:bookmarkEnd w:id="130"/>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向语文、数学、英语、科学等基础学科拓展在线互动教室的多样化应用，基于“三个协同”（课前协同备课、课中协同教学、课后协同教研）开展输出端主讲教师和接收端辅助教师有效协同的“双师教学”，重点探索基于在线互动教室的中小学科学专递课堂教学新模式，开齐开好小学科学课。</w:t>
      </w:r>
    </w:p>
    <w:p>
      <w:pPr>
        <w:spacing w:after="0" w:line="360" w:lineRule="auto"/>
        <w:ind w:firstLine="562" w:firstLineChars="200"/>
        <w:jc w:val="both"/>
        <w:outlineLvl w:val="2"/>
        <w:rPr>
          <w:rFonts w:ascii="仿宋" w:hAnsi="仿宋" w:eastAsia="仿宋"/>
          <w:b/>
          <w:bCs/>
          <w:sz w:val="28"/>
          <w:szCs w:val="28"/>
        </w:rPr>
      </w:pPr>
      <w:bookmarkStart w:id="131" w:name="_Toc23325"/>
      <w:bookmarkStart w:id="132" w:name="_Toc16242"/>
      <w:bookmarkStart w:id="133" w:name="_Toc21604"/>
      <w:bookmarkStart w:id="134" w:name="_Toc9563"/>
      <w:r>
        <w:rPr>
          <w:rFonts w:ascii="仿宋" w:hAnsi="仿宋" w:eastAsia="仿宋"/>
          <w:b/>
          <w:bCs/>
          <w:sz w:val="28"/>
          <w:szCs w:val="28"/>
        </w:rPr>
        <w:t>3.</w:t>
      </w:r>
      <w:r>
        <w:rPr>
          <w:rFonts w:hint="eastAsia" w:ascii="仿宋" w:hAnsi="仿宋" w:eastAsia="仿宋"/>
          <w:b/>
          <w:bCs/>
          <w:sz w:val="28"/>
          <w:szCs w:val="28"/>
        </w:rPr>
        <w:t>开齐开好劳动课</w:t>
      </w:r>
      <w:bookmarkEnd w:id="131"/>
      <w:bookmarkEnd w:id="132"/>
      <w:bookmarkEnd w:id="133"/>
      <w:bookmarkEnd w:id="134"/>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面向劳动教育生活化的新场景和科技化的新特征，基于“在线互动教室”构建线上与线下结合、课内与课外融合、校内与校外贯通的跨校/跨区域协同教学共同体，积极探索具有时代特征、海南特色的劳动教育新模式，形成新时代家庭、学校、社会三位一体协同育人的劳动教育新生态。</w:t>
      </w:r>
    </w:p>
    <w:p>
      <w:pPr>
        <w:spacing w:after="0" w:line="360" w:lineRule="auto"/>
        <w:ind w:firstLine="562" w:firstLineChars="200"/>
        <w:jc w:val="both"/>
        <w:outlineLvl w:val="2"/>
        <w:rPr>
          <w:rFonts w:ascii="仿宋" w:hAnsi="仿宋" w:eastAsia="仿宋"/>
          <w:b/>
          <w:bCs/>
          <w:sz w:val="28"/>
          <w:szCs w:val="28"/>
        </w:rPr>
      </w:pPr>
      <w:bookmarkStart w:id="135" w:name="_Toc15125"/>
      <w:bookmarkStart w:id="136" w:name="_Toc23488"/>
      <w:bookmarkStart w:id="137" w:name="_Toc26582"/>
      <w:bookmarkStart w:id="138" w:name="_Toc12769"/>
      <w:r>
        <w:rPr>
          <w:rFonts w:hint="eastAsia" w:ascii="仿宋" w:hAnsi="仿宋" w:eastAsia="仿宋"/>
          <w:b/>
          <w:bCs/>
          <w:sz w:val="28"/>
          <w:szCs w:val="28"/>
        </w:rPr>
        <w:t>4</w:t>
      </w:r>
      <w:r>
        <w:rPr>
          <w:rFonts w:ascii="仿宋" w:hAnsi="仿宋" w:eastAsia="仿宋"/>
          <w:b/>
          <w:bCs/>
          <w:sz w:val="28"/>
          <w:szCs w:val="28"/>
        </w:rPr>
        <w:t>.</w:t>
      </w:r>
      <w:r>
        <w:rPr>
          <w:rFonts w:hint="eastAsia" w:ascii="仿宋" w:hAnsi="仿宋" w:eastAsia="仿宋"/>
          <w:b/>
          <w:bCs/>
          <w:sz w:val="28"/>
          <w:szCs w:val="28"/>
        </w:rPr>
        <w:t>在线居家学习/非正式学习</w:t>
      </w:r>
      <w:bookmarkEnd w:id="135"/>
      <w:bookmarkEnd w:id="136"/>
      <w:bookmarkEnd w:id="137"/>
      <w:bookmarkEnd w:id="138"/>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利用在线互动教室，以“学生居家在线观课+教师在校线上指导”形式，为因故不能到校学生提供在线居家学习机会，探索学校环境中课堂正式学习和社会环境中非正式学习相结合的混合学习新途径，构建形成家庭、学校、社会三位一体协同育人新模式和未来教育新样态，不断增强海南基础教育公共服务的个性化和多样化水平。</w:t>
      </w:r>
    </w:p>
    <w:p>
      <w:pPr>
        <w:pStyle w:val="4"/>
        <w:spacing w:before="0" w:after="0" w:line="360" w:lineRule="auto"/>
        <w:ind w:firstLine="560" w:firstLineChars="200"/>
        <w:jc w:val="both"/>
        <w:rPr>
          <w:rFonts w:ascii="黑体" w:hAnsi="黑体" w:eastAsia="黑体" w:cs="黑体"/>
          <w:b w:val="0"/>
          <w:bCs w:val="0"/>
          <w:sz w:val="28"/>
          <w:szCs w:val="28"/>
        </w:rPr>
      </w:pPr>
      <w:bookmarkStart w:id="139" w:name="_Toc3399"/>
      <w:bookmarkStart w:id="140" w:name="_Toc32097"/>
      <w:bookmarkStart w:id="141" w:name="_Toc141707781"/>
      <w:bookmarkStart w:id="142" w:name="_Toc10479"/>
      <w:bookmarkStart w:id="143" w:name="_Toc16589"/>
      <w:bookmarkStart w:id="144" w:name="_Toc12559"/>
      <w:bookmarkStart w:id="145" w:name="_Toc21731"/>
      <w:r>
        <w:rPr>
          <w:rFonts w:hint="eastAsia" w:ascii="黑体" w:hAnsi="黑体" w:eastAsia="黑体" w:cs="黑体"/>
          <w:b w:val="0"/>
          <w:bCs w:val="0"/>
          <w:sz w:val="28"/>
          <w:szCs w:val="28"/>
        </w:rPr>
        <w:t>（二）教师研修</w:t>
      </w:r>
      <w:bookmarkEnd w:id="139"/>
      <w:bookmarkEnd w:id="140"/>
      <w:bookmarkEnd w:id="141"/>
      <w:bookmarkEnd w:id="142"/>
      <w:bookmarkEnd w:id="143"/>
      <w:bookmarkEnd w:id="144"/>
      <w:bookmarkEnd w:id="145"/>
    </w:p>
    <w:p>
      <w:pPr>
        <w:spacing w:after="0" w:line="360" w:lineRule="auto"/>
        <w:ind w:firstLine="562" w:firstLineChars="200"/>
        <w:jc w:val="both"/>
        <w:outlineLvl w:val="2"/>
        <w:rPr>
          <w:rFonts w:ascii="仿宋" w:hAnsi="仿宋" w:eastAsia="仿宋"/>
          <w:sz w:val="28"/>
          <w:szCs w:val="28"/>
        </w:rPr>
      </w:pPr>
      <w:bookmarkStart w:id="146" w:name="_Toc4238"/>
      <w:bookmarkStart w:id="147" w:name="_Toc13770"/>
      <w:bookmarkStart w:id="148" w:name="_Toc4871"/>
      <w:bookmarkStart w:id="149" w:name="_Toc18588"/>
      <w:r>
        <w:rPr>
          <w:rFonts w:hint="eastAsia" w:ascii="仿宋" w:hAnsi="仿宋" w:eastAsia="仿宋"/>
          <w:b/>
          <w:bCs/>
          <w:sz w:val="28"/>
          <w:szCs w:val="28"/>
        </w:rPr>
        <w:t>1</w:t>
      </w:r>
      <w:r>
        <w:rPr>
          <w:rFonts w:ascii="仿宋" w:hAnsi="仿宋" w:eastAsia="仿宋"/>
          <w:b/>
          <w:bCs/>
          <w:sz w:val="28"/>
          <w:szCs w:val="28"/>
        </w:rPr>
        <w:t>.</w:t>
      </w:r>
      <w:r>
        <w:rPr>
          <w:rFonts w:hint="eastAsia" w:ascii="仿宋" w:hAnsi="仿宋" w:eastAsia="仿宋"/>
          <w:b/>
          <w:bCs/>
          <w:sz w:val="28"/>
          <w:szCs w:val="28"/>
        </w:rPr>
        <w:t>校本层面</w:t>
      </w:r>
      <w:bookmarkEnd w:id="146"/>
      <w:bookmarkEnd w:id="147"/>
      <w:bookmarkEnd w:id="148"/>
      <w:bookmarkEnd w:id="149"/>
      <w:r>
        <w:rPr>
          <w:rFonts w:hint="eastAsia" w:ascii="仿宋" w:hAnsi="仿宋" w:eastAsia="仿宋"/>
          <w:sz w:val="28"/>
          <w:szCs w:val="28"/>
        </w:rPr>
        <w:t xml:space="preserve"> </w:t>
      </w:r>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优秀教师和新进教师以师傅带徒弟的方式结对，依托在线互动教室应用，围绕师德师风养成、学科教学实践和教育教学培训，以线下为主线上为辅的形式，开展常态化校本结队研修活动，促进教育教学隐性知识与经验的共享与传递。</w:t>
      </w:r>
    </w:p>
    <w:p>
      <w:pPr>
        <w:spacing w:after="0" w:line="360" w:lineRule="auto"/>
        <w:ind w:firstLine="562" w:firstLineChars="200"/>
        <w:jc w:val="both"/>
        <w:outlineLvl w:val="2"/>
        <w:rPr>
          <w:rFonts w:ascii="仿宋" w:hAnsi="仿宋" w:eastAsia="仿宋"/>
          <w:b/>
          <w:bCs/>
          <w:sz w:val="28"/>
          <w:szCs w:val="28"/>
        </w:rPr>
      </w:pPr>
      <w:bookmarkStart w:id="150" w:name="_Toc27076"/>
      <w:bookmarkStart w:id="151" w:name="_Toc32146"/>
      <w:bookmarkStart w:id="152" w:name="_Toc19429"/>
      <w:bookmarkStart w:id="153" w:name="_Toc30905"/>
      <w:r>
        <w:rPr>
          <w:rFonts w:hint="eastAsia" w:ascii="仿宋" w:hAnsi="仿宋" w:eastAsia="仿宋"/>
          <w:b/>
          <w:bCs/>
          <w:sz w:val="28"/>
          <w:szCs w:val="28"/>
        </w:rPr>
        <w:t>2</w:t>
      </w:r>
      <w:r>
        <w:rPr>
          <w:rFonts w:ascii="仿宋" w:hAnsi="仿宋" w:eastAsia="仿宋"/>
          <w:b/>
          <w:bCs/>
          <w:sz w:val="28"/>
          <w:szCs w:val="28"/>
        </w:rPr>
        <w:t>.</w:t>
      </w:r>
      <w:r>
        <w:rPr>
          <w:rFonts w:hint="eastAsia" w:ascii="仿宋" w:hAnsi="仿宋" w:eastAsia="仿宋"/>
          <w:b/>
          <w:bCs/>
          <w:sz w:val="28"/>
          <w:szCs w:val="28"/>
        </w:rPr>
        <w:t>校际层面</w:t>
      </w:r>
      <w:bookmarkEnd w:id="150"/>
      <w:bookmarkEnd w:id="151"/>
      <w:bookmarkEnd w:id="152"/>
      <w:bookmarkEnd w:id="153"/>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集团校或相邻校利用在线互动教室将各自校内形成的师徒对子组织起来，形成跨校协同教研团队（教研团队不少于</w:t>
      </w:r>
      <w:r>
        <w:rPr>
          <w:rFonts w:ascii="仿宋" w:hAnsi="仿宋" w:eastAsia="仿宋"/>
          <w:sz w:val="28"/>
          <w:szCs w:val="28"/>
        </w:rPr>
        <w:t>4</w:t>
      </w:r>
      <w:r>
        <w:rPr>
          <w:rFonts w:hint="eastAsia" w:ascii="仿宋" w:hAnsi="仿宋" w:eastAsia="仿宋"/>
          <w:sz w:val="28"/>
          <w:szCs w:val="28"/>
        </w:rPr>
        <w:t>人），以线上与线下相结合的方式，在区域教研员的组织协调下，通过课堂展示、在线直播、资源分享、案例分析等多种形式开展校际协同研修。</w:t>
      </w:r>
    </w:p>
    <w:p>
      <w:pPr>
        <w:spacing w:after="0" w:line="360" w:lineRule="auto"/>
        <w:ind w:firstLine="562" w:firstLineChars="200"/>
        <w:jc w:val="both"/>
        <w:outlineLvl w:val="2"/>
        <w:rPr>
          <w:rFonts w:ascii="仿宋" w:hAnsi="仿宋" w:eastAsia="仿宋"/>
          <w:b/>
          <w:bCs/>
          <w:sz w:val="28"/>
          <w:szCs w:val="28"/>
        </w:rPr>
      </w:pPr>
      <w:bookmarkStart w:id="154" w:name="_Toc21191"/>
      <w:bookmarkStart w:id="155" w:name="_Toc27768"/>
      <w:bookmarkStart w:id="156" w:name="_Toc22186"/>
      <w:bookmarkStart w:id="157" w:name="_Toc17821"/>
      <w:r>
        <w:rPr>
          <w:rFonts w:ascii="仿宋" w:hAnsi="仿宋" w:eastAsia="仿宋"/>
          <w:b/>
          <w:bCs/>
          <w:sz w:val="28"/>
          <w:szCs w:val="28"/>
        </w:rPr>
        <w:t>3.</w:t>
      </w:r>
      <w:r>
        <w:rPr>
          <w:rFonts w:hint="eastAsia" w:ascii="仿宋" w:hAnsi="仿宋" w:eastAsia="仿宋"/>
          <w:b/>
          <w:bCs/>
          <w:sz w:val="28"/>
          <w:szCs w:val="28"/>
        </w:rPr>
        <w:t>区域层面</w:t>
      </w:r>
      <w:bookmarkEnd w:id="154"/>
      <w:bookmarkEnd w:id="155"/>
      <w:bookmarkEnd w:id="156"/>
      <w:bookmarkEnd w:id="157"/>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在校本结队教研和校际协同教研基础上，以区县为单位，以学科为导向，依托国家中小学智慧教育平台和海南智慧教育平台，基于网络学习空间，构建形成区域集群式网络研修共同体，在外部专家支持下，利用在线互动教室，以线上为主线下为辅的形式，开展名师引领的学科教研。有条件的，要积极探索多学科融合教研。</w:t>
      </w:r>
    </w:p>
    <w:p>
      <w:pPr>
        <w:pStyle w:val="4"/>
        <w:spacing w:before="0" w:after="0" w:line="360" w:lineRule="auto"/>
        <w:ind w:firstLine="560" w:firstLineChars="200"/>
        <w:jc w:val="both"/>
        <w:rPr>
          <w:rFonts w:ascii="黑体" w:hAnsi="黑体" w:eastAsia="黑体" w:cs="黑体"/>
          <w:b w:val="0"/>
          <w:bCs w:val="0"/>
          <w:sz w:val="28"/>
          <w:szCs w:val="28"/>
        </w:rPr>
      </w:pPr>
      <w:bookmarkStart w:id="158" w:name="_Toc16931"/>
      <w:bookmarkStart w:id="159" w:name="_Toc22878"/>
      <w:bookmarkStart w:id="160" w:name="_Toc7399"/>
      <w:bookmarkStart w:id="161" w:name="_Toc20412"/>
      <w:bookmarkStart w:id="162" w:name="_Toc12526"/>
      <w:bookmarkStart w:id="163" w:name="_Toc9922"/>
      <w:bookmarkStart w:id="164" w:name="_Toc141707782"/>
      <w:r>
        <w:rPr>
          <w:rFonts w:hint="eastAsia" w:ascii="黑体" w:hAnsi="黑体" w:eastAsia="黑体" w:cs="黑体"/>
          <w:b w:val="0"/>
          <w:bCs w:val="0"/>
          <w:sz w:val="28"/>
          <w:szCs w:val="28"/>
        </w:rPr>
        <w:t>（三）学校管理</w:t>
      </w:r>
      <w:bookmarkEnd w:id="158"/>
      <w:bookmarkEnd w:id="159"/>
      <w:bookmarkEnd w:id="160"/>
      <w:bookmarkEnd w:id="161"/>
      <w:bookmarkEnd w:id="162"/>
      <w:bookmarkEnd w:id="163"/>
      <w:bookmarkEnd w:id="164"/>
    </w:p>
    <w:p>
      <w:pPr>
        <w:tabs>
          <w:tab w:val="left" w:pos="720"/>
        </w:tabs>
        <w:adjustRightInd w:val="0"/>
        <w:snapToGrid w:val="0"/>
        <w:spacing w:after="0" w:line="360" w:lineRule="auto"/>
        <w:ind w:firstLine="562" w:firstLineChars="200"/>
        <w:jc w:val="both"/>
        <w:outlineLvl w:val="2"/>
        <w:rPr>
          <w:rFonts w:ascii="仿宋" w:hAnsi="仿宋" w:eastAsia="仿宋"/>
          <w:b/>
          <w:bCs/>
          <w:sz w:val="28"/>
          <w:szCs w:val="28"/>
        </w:rPr>
      </w:pPr>
      <w:bookmarkStart w:id="165" w:name="_Toc32723"/>
      <w:bookmarkStart w:id="166" w:name="_Toc21825"/>
      <w:bookmarkStart w:id="167" w:name="_Toc15035"/>
      <w:bookmarkStart w:id="168" w:name="_Toc19328"/>
      <w:r>
        <w:rPr>
          <w:rFonts w:hint="eastAsia" w:ascii="仿宋" w:hAnsi="仿宋" w:eastAsia="仿宋"/>
          <w:b/>
          <w:bCs/>
          <w:sz w:val="28"/>
          <w:szCs w:val="28"/>
        </w:rPr>
        <w:t>1</w:t>
      </w:r>
      <w:r>
        <w:rPr>
          <w:rFonts w:ascii="仿宋" w:hAnsi="仿宋" w:eastAsia="仿宋"/>
          <w:b/>
          <w:bCs/>
          <w:sz w:val="28"/>
          <w:szCs w:val="28"/>
        </w:rPr>
        <w:t>.</w:t>
      </w:r>
      <w:r>
        <w:rPr>
          <w:rFonts w:hint="eastAsia" w:ascii="仿宋" w:hAnsi="仿宋" w:eastAsia="仿宋"/>
          <w:b/>
          <w:bCs/>
          <w:sz w:val="28"/>
          <w:szCs w:val="28"/>
        </w:rPr>
        <w:t>在线巡课</w:t>
      </w:r>
      <w:bookmarkEnd w:id="165"/>
      <w:bookmarkEnd w:id="166"/>
      <w:bookmarkEnd w:id="167"/>
      <w:bookmarkEnd w:id="168"/>
    </w:p>
    <w:p>
      <w:pPr>
        <w:tabs>
          <w:tab w:val="left" w:pos="720"/>
        </w:tabs>
        <w:adjustRightInd w:val="0"/>
        <w:snapToGrid w:val="0"/>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利用在线互动教室视频资源管理、精准消息推送等功能，实现可视化、无打扰巡课，形成网上巡课新常态，实现“互联网+督导”常态化，加强过程管理,减少或杜绝发生教育教学事故，保证学校正常教育教学秩序，为教育教学质量提升保驾护航。</w:t>
      </w:r>
    </w:p>
    <w:p>
      <w:pPr>
        <w:tabs>
          <w:tab w:val="left" w:pos="720"/>
        </w:tabs>
        <w:adjustRightInd w:val="0"/>
        <w:snapToGrid w:val="0"/>
        <w:spacing w:after="0" w:line="360" w:lineRule="auto"/>
        <w:ind w:firstLine="562" w:firstLineChars="200"/>
        <w:jc w:val="both"/>
        <w:outlineLvl w:val="2"/>
        <w:rPr>
          <w:rFonts w:ascii="仿宋" w:hAnsi="仿宋" w:eastAsia="仿宋"/>
          <w:b/>
          <w:bCs/>
          <w:sz w:val="28"/>
          <w:szCs w:val="28"/>
        </w:rPr>
      </w:pPr>
      <w:bookmarkStart w:id="169" w:name="_Toc27482"/>
      <w:bookmarkStart w:id="170" w:name="_Toc9826"/>
      <w:bookmarkStart w:id="171" w:name="_Toc30617"/>
      <w:bookmarkStart w:id="172" w:name="_Toc22232"/>
      <w:r>
        <w:rPr>
          <w:rFonts w:ascii="仿宋" w:hAnsi="仿宋" w:eastAsia="仿宋"/>
          <w:b/>
          <w:bCs/>
          <w:sz w:val="28"/>
          <w:szCs w:val="28"/>
        </w:rPr>
        <w:t>2.</w:t>
      </w:r>
      <w:r>
        <w:rPr>
          <w:rFonts w:hint="eastAsia" w:ascii="仿宋" w:hAnsi="仿宋" w:eastAsia="仿宋"/>
          <w:b/>
          <w:bCs/>
          <w:sz w:val="28"/>
          <w:szCs w:val="28"/>
        </w:rPr>
        <w:t>家校共育</w:t>
      </w:r>
      <w:bookmarkEnd w:id="169"/>
      <w:bookmarkEnd w:id="170"/>
      <w:bookmarkEnd w:id="171"/>
      <w:bookmarkEnd w:id="172"/>
    </w:p>
    <w:p>
      <w:pPr>
        <w:tabs>
          <w:tab w:val="left" w:pos="720"/>
        </w:tabs>
        <w:adjustRightInd w:val="0"/>
        <w:snapToGrid w:val="0"/>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依托各级教育资源公共服务平台，把在线互动教室与数字校园相结合，办好在线家长学校，建立家庭教育在线指导平台，形成更加便捷、互动性更强的家校沟通联络体系，通过在线形式把家长请进课堂，让课堂进入家庭，增进家校沟通，密切家校联系。</w:t>
      </w:r>
    </w:p>
    <w:p>
      <w:pPr>
        <w:tabs>
          <w:tab w:val="left" w:pos="720"/>
        </w:tabs>
        <w:adjustRightInd w:val="0"/>
        <w:snapToGrid w:val="0"/>
        <w:spacing w:after="0" w:line="360" w:lineRule="auto"/>
        <w:ind w:firstLine="562" w:firstLineChars="200"/>
        <w:jc w:val="both"/>
        <w:outlineLvl w:val="2"/>
        <w:rPr>
          <w:rFonts w:ascii="仿宋" w:hAnsi="仿宋" w:eastAsia="仿宋"/>
          <w:b/>
          <w:bCs/>
          <w:sz w:val="28"/>
          <w:szCs w:val="28"/>
        </w:rPr>
      </w:pPr>
      <w:bookmarkStart w:id="173" w:name="_Toc26082"/>
      <w:bookmarkStart w:id="174" w:name="_Toc13494"/>
      <w:bookmarkStart w:id="175" w:name="_Toc30024"/>
      <w:bookmarkStart w:id="176" w:name="_Toc10838"/>
      <w:r>
        <w:rPr>
          <w:rFonts w:hint="eastAsia" w:ascii="仿宋" w:hAnsi="仿宋" w:eastAsia="仿宋"/>
          <w:b/>
          <w:bCs/>
          <w:sz w:val="28"/>
          <w:szCs w:val="28"/>
        </w:rPr>
        <w:t>3</w:t>
      </w:r>
      <w:r>
        <w:rPr>
          <w:rFonts w:ascii="仿宋" w:hAnsi="仿宋" w:eastAsia="仿宋"/>
          <w:b/>
          <w:bCs/>
          <w:sz w:val="28"/>
          <w:szCs w:val="28"/>
        </w:rPr>
        <w:t>.</w:t>
      </w:r>
      <w:r>
        <w:rPr>
          <w:rFonts w:hint="eastAsia" w:ascii="仿宋" w:hAnsi="仿宋" w:eastAsia="仿宋"/>
          <w:b/>
          <w:bCs/>
          <w:sz w:val="28"/>
          <w:szCs w:val="28"/>
        </w:rPr>
        <w:t>质量监测</w:t>
      </w:r>
      <w:bookmarkEnd w:id="173"/>
      <w:bookmarkEnd w:id="174"/>
      <w:bookmarkEnd w:id="175"/>
      <w:bookmarkEnd w:id="176"/>
    </w:p>
    <w:p>
      <w:pPr>
        <w:tabs>
          <w:tab w:val="left" w:pos="720"/>
        </w:tabs>
        <w:adjustRightInd w:val="0"/>
        <w:snapToGrid w:val="0"/>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利用在线互动教室伴随式、全场景数据采集和智能化课堂分析等功能，形成多模态课堂行为分析报告，为科学评价教学质量、有效配置教师资源提供参考，为教师校验教学设计、修正课堂实施、精准布置作业提供依据，实现以学定教，因材施教。</w:t>
      </w:r>
    </w:p>
    <w:p>
      <w:pPr>
        <w:pStyle w:val="3"/>
        <w:tabs>
          <w:tab w:val="left" w:pos="426"/>
        </w:tabs>
        <w:spacing w:before="0" w:after="0" w:line="360" w:lineRule="auto"/>
        <w:ind w:firstLine="600" w:firstLineChars="200"/>
        <w:jc w:val="both"/>
        <w:rPr>
          <w:rFonts w:ascii="黑体" w:hAnsi="黑体" w:eastAsia="黑体" w:cs="黑体"/>
          <w:b w:val="0"/>
          <w:bCs w:val="0"/>
          <w:sz w:val="30"/>
          <w:szCs w:val="30"/>
        </w:rPr>
      </w:pPr>
      <w:bookmarkStart w:id="177" w:name="_Toc1960"/>
      <w:bookmarkStart w:id="178" w:name="_Toc141707783"/>
      <w:bookmarkStart w:id="179" w:name="_Toc26497"/>
      <w:bookmarkStart w:id="180" w:name="_Toc1833"/>
      <w:bookmarkStart w:id="181" w:name="_Toc29156"/>
      <w:bookmarkStart w:id="182" w:name="_Toc22152"/>
      <w:bookmarkStart w:id="183" w:name="_Toc4324"/>
      <w:r>
        <w:rPr>
          <w:rFonts w:hint="eastAsia" w:ascii="黑体" w:hAnsi="黑体" w:eastAsia="黑体" w:cs="黑体"/>
          <w:b w:val="0"/>
          <w:bCs w:val="0"/>
          <w:sz w:val="30"/>
          <w:szCs w:val="30"/>
        </w:rPr>
        <w:t>五、应用模式</w:t>
      </w:r>
      <w:bookmarkEnd w:id="177"/>
      <w:bookmarkEnd w:id="178"/>
      <w:bookmarkEnd w:id="179"/>
      <w:bookmarkEnd w:id="180"/>
      <w:bookmarkEnd w:id="181"/>
      <w:bookmarkEnd w:id="182"/>
      <w:bookmarkEnd w:id="183"/>
    </w:p>
    <w:p>
      <w:pPr>
        <w:pStyle w:val="4"/>
        <w:spacing w:before="0" w:after="0" w:line="360" w:lineRule="auto"/>
        <w:ind w:firstLine="560" w:firstLineChars="200"/>
        <w:jc w:val="both"/>
        <w:rPr>
          <w:rFonts w:ascii="黑体" w:hAnsi="黑体" w:eastAsia="黑体" w:cs="黑体"/>
          <w:b w:val="0"/>
          <w:bCs w:val="0"/>
          <w:sz w:val="28"/>
          <w:szCs w:val="28"/>
        </w:rPr>
      </w:pPr>
      <w:bookmarkStart w:id="184" w:name="_Toc15207"/>
      <w:bookmarkStart w:id="185" w:name="_Toc23217"/>
      <w:bookmarkStart w:id="186" w:name="_Toc814"/>
      <w:bookmarkStart w:id="187" w:name="_Toc32686"/>
      <w:bookmarkStart w:id="188" w:name="_Toc14877"/>
      <w:bookmarkStart w:id="189" w:name="_Toc13288"/>
      <w:bookmarkStart w:id="190" w:name="_Toc141707784"/>
      <w:r>
        <w:rPr>
          <w:rFonts w:hint="eastAsia" w:ascii="黑体" w:hAnsi="黑体" w:eastAsia="黑体" w:cs="黑体"/>
          <w:b w:val="0"/>
          <w:bCs w:val="0"/>
          <w:sz w:val="28"/>
          <w:szCs w:val="28"/>
        </w:rPr>
        <w:t>（一）中心校带教学点</w:t>
      </w:r>
      <w:bookmarkEnd w:id="184"/>
      <w:bookmarkEnd w:id="185"/>
      <w:bookmarkEnd w:id="186"/>
      <w:bookmarkEnd w:id="187"/>
      <w:bookmarkEnd w:id="188"/>
      <w:bookmarkEnd w:id="189"/>
      <w:bookmarkEnd w:id="190"/>
    </w:p>
    <w:p>
      <w:pPr>
        <w:pStyle w:val="5"/>
        <w:spacing w:before="0" w:after="0" w:line="360" w:lineRule="auto"/>
        <w:ind w:firstLine="562" w:firstLineChars="200"/>
        <w:jc w:val="both"/>
        <w:rPr>
          <w:rFonts w:ascii="仿宋" w:hAnsi="仿宋" w:eastAsia="仿宋"/>
          <w:sz w:val="28"/>
          <w:szCs w:val="28"/>
        </w:rPr>
      </w:pPr>
      <w:bookmarkStart w:id="191" w:name="_Toc2874"/>
      <w:bookmarkStart w:id="192" w:name="_Toc18040"/>
      <w:bookmarkStart w:id="193" w:name="_Toc30190"/>
      <w:bookmarkStart w:id="194" w:name="_Toc23995"/>
      <w:bookmarkStart w:id="195" w:name="_Toc141707785"/>
      <w:bookmarkStart w:id="196" w:name="_Toc23649"/>
      <w:bookmarkStart w:id="197" w:name="_Toc23610"/>
      <w:r>
        <w:rPr>
          <w:rFonts w:hint="eastAsia" w:ascii="仿宋" w:hAnsi="仿宋" w:eastAsia="仿宋"/>
          <w:sz w:val="28"/>
          <w:szCs w:val="28"/>
        </w:rPr>
        <w:t>1.中心校集中教学</w:t>
      </w:r>
      <w:bookmarkEnd w:id="191"/>
      <w:bookmarkEnd w:id="192"/>
      <w:bookmarkEnd w:id="193"/>
      <w:bookmarkEnd w:id="194"/>
      <w:bookmarkEnd w:id="195"/>
      <w:bookmarkEnd w:id="196"/>
      <w:bookmarkEnd w:id="197"/>
    </w:p>
    <w:p>
      <w:pPr>
        <w:tabs>
          <w:tab w:val="left" w:pos="720"/>
        </w:tabs>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借助在线互动教室，中心校教师与所在辖区教学点教师开展协同备课、协同教学、协同教研，中心校学生与所在辖区教学点学生协同学习，解决教学点难以开齐开足开好课的问题。</w:t>
      </w:r>
    </w:p>
    <w:p>
      <w:pPr>
        <w:pStyle w:val="2"/>
        <w:spacing w:after="0" w:line="240" w:lineRule="auto"/>
        <w:jc w:val="center"/>
      </w:pPr>
      <w:r>
        <w:drawing>
          <wp:inline distT="0" distB="0" distL="0" distR="0">
            <wp:extent cx="4864100" cy="2438400"/>
            <wp:effectExtent l="0" t="0" r="0" b="0"/>
            <wp:docPr id="4" name="图片 7" descr="形状&#10;&#10;中度可信度描述已自动生成"/>
            <wp:cNvGraphicFramePr/>
            <a:graphic xmlns:a="http://schemas.openxmlformats.org/drawingml/2006/main">
              <a:graphicData uri="http://schemas.openxmlformats.org/drawingml/2006/picture">
                <pic:pic xmlns:pic="http://schemas.openxmlformats.org/drawingml/2006/picture">
                  <pic:nvPicPr>
                    <pic:cNvPr id="4" name="图片 7" descr="形状&#10;&#10;中度可信度描述已自动生成"/>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864100" cy="2438400"/>
                    </a:xfrm>
                    <a:prstGeom prst="rect">
                      <a:avLst/>
                    </a:prstGeom>
                    <a:noFill/>
                    <a:ln>
                      <a:noFill/>
                    </a:ln>
                  </pic:spPr>
                </pic:pic>
              </a:graphicData>
            </a:graphic>
          </wp:inline>
        </w:drawing>
      </w:r>
    </w:p>
    <w:p>
      <w:pPr>
        <w:pStyle w:val="8"/>
        <w:adjustRightInd/>
        <w:snapToGrid/>
        <w:spacing w:after="156" w:afterLines="50" w:line="240" w:lineRule="auto"/>
        <w:ind w:firstLine="0" w:firstLineChars="0"/>
        <w:jc w:val="center"/>
        <w:rPr>
          <w:rFonts w:ascii="Times New Roman" w:hAnsi="Times New Roman" w:eastAsia="仿宋"/>
          <w:sz w:val="24"/>
          <w:szCs w:val="24"/>
        </w:rPr>
      </w:pPr>
      <w:r>
        <w:rPr>
          <w:rFonts w:ascii="Times New Roman" w:hAnsi="Times New Roman" w:eastAsia="仿宋"/>
          <w:sz w:val="24"/>
          <w:szCs w:val="24"/>
        </w:rPr>
        <w:t xml:space="preserve">图 </w:t>
      </w:r>
      <w:r>
        <w:rPr>
          <w:rFonts w:hint="eastAsia" w:ascii="Times New Roman" w:hAnsi="Times New Roman" w:eastAsia="仿宋"/>
          <w:sz w:val="24"/>
          <w:szCs w:val="24"/>
        </w:rPr>
        <w:t>4</w:t>
      </w:r>
      <w:r>
        <w:rPr>
          <w:rFonts w:ascii="Times New Roman" w:hAnsi="Times New Roman" w:eastAsia="仿宋"/>
          <w:sz w:val="24"/>
          <w:szCs w:val="24"/>
        </w:rPr>
        <w:t xml:space="preserve"> </w:t>
      </w:r>
      <w:r>
        <w:rPr>
          <w:rFonts w:hint="eastAsia" w:ascii="Times New Roman" w:hAnsi="Times New Roman" w:eastAsia="仿宋"/>
          <w:sz w:val="24"/>
          <w:szCs w:val="24"/>
        </w:rPr>
        <w:t>中心集中教学模式</w:t>
      </w:r>
    </w:p>
    <w:p>
      <w:pPr>
        <w:tabs>
          <w:tab w:val="left" w:pos="720"/>
        </w:tabs>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该模式适用于中心校有师资力量，可以作为输出端提供课程教学，区内教学点某些学科存在因教师结构性短缺导致的开不出开不足开不好国家规定课程的情形。</w:t>
      </w:r>
    </w:p>
    <w:p>
      <w:pPr>
        <w:tabs>
          <w:tab w:val="left" w:pos="720"/>
        </w:tabs>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按照输出端和接收端的实际需求建设好技术环境，组建由中心校主讲教师和教学点辅助教师组成的教学团队，学期初确定课程安排并纳入课表，按照课表开展常态化的课前协同备课、课中协同教学和课后协同教研。</w:t>
      </w:r>
    </w:p>
    <w:p>
      <w:pPr>
        <w:pStyle w:val="5"/>
        <w:spacing w:before="0" w:after="0" w:line="360" w:lineRule="auto"/>
        <w:ind w:firstLine="562" w:firstLineChars="200"/>
        <w:jc w:val="both"/>
        <w:rPr>
          <w:rFonts w:ascii="仿宋" w:hAnsi="仿宋" w:eastAsia="仿宋"/>
          <w:sz w:val="28"/>
          <w:szCs w:val="28"/>
        </w:rPr>
      </w:pPr>
      <w:bookmarkStart w:id="198" w:name="_Toc31537"/>
      <w:bookmarkStart w:id="199" w:name="_Toc28391"/>
      <w:bookmarkStart w:id="200" w:name="_Toc19736"/>
      <w:bookmarkStart w:id="201" w:name="_Toc16183"/>
      <w:bookmarkStart w:id="202" w:name="_Toc15787"/>
      <w:bookmarkStart w:id="203" w:name="_Toc453"/>
      <w:bookmarkStart w:id="204" w:name="_Toc141707786"/>
      <w:r>
        <w:rPr>
          <w:rFonts w:hint="eastAsia" w:ascii="仿宋" w:hAnsi="仿宋" w:eastAsia="仿宋"/>
          <w:sz w:val="28"/>
          <w:szCs w:val="28"/>
        </w:rPr>
        <w:t>2.中心校统筹管理</w:t>
      </w:r>
      <w:bookmarkEnd w:id="198"/>
      <w:bookmarkEnd w:id="199"/>
      <w:bookmarkEnd w:id="200"/>
      <w:bookmarkEnd w:id="201"/>
      <w:bookmarkEnd w:id="202"/>
      <w:bookmarkEnd w:id="203"/>
      <w:bookmarkEnd w:id="204"/>
    </w:p>
    <w:p>
      <w:pPr>
        <w:tabs>
          <w:tab w:val="left" w:pos="720"/>
        </w:tabs>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中心校仅对辖区内学校和教学点履行管理职能，统筹规划域内师资配置，针对不同学科以“轮流坐庄”的形式组织教学，组建一个管理上集中控制但业务上去中心化运行的协同教学共同体。</w:t>
      </w:r>
    </w:p>
    <w:p>
      <w:pPr>
        <w:tabs>
          <w:tab w:val="left" w:pos="720"/>
        </w:tabs>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该模式适用于中心校无自有师资，辖区内学校和教学点不同学科师资配置差距大，可优势互补的情况。各校在有优良师资的学科作为输出端，无优良师资的学科则作为接收端。</w:t>
      </w:r>
    </w:p>
    <w:p>
      <w:pPr>
        <w:pStyle w:val="2"/>
        <w:adjustRightInd w:val="0"/>
        <w:snapToGrid w:val="0"/>
        <w:spacing w:after="0" w:line="240" w:lineRule="auto"/>
        <w:jc w:val="center"/>
      </w:pPr>
      <w:r>
        <w:rPr>
          <w:rFonts w:ascii="仿宋" w:hAnsi="仿宋" w:eastAsia="仿宋"/>
          <w:sz w:val="28"/>
          <w:szCs w:val="28"/>
        </w:rPr>
        <w:drawing>
          <wp:inline distT="0" distB="0" distL="0" distR="0">
            <wp:extent cx="4913630" cy="4253865"/>
            <wp:effectExtent l="0" t="0" r="1270" b="0"/>
            <wp:docPr id="5" name="图片 6" descr="图示&#10;&#10;描述已自动生成"/>
            <wp:cNvGraphicFramePr/>
            <a:graphic xmlns:a="http://schemas.openxmlformats.org/drawingml/2006/main">
              <a:graphicData uri="http://schemas.openxmlformats.org/drawingml/2006/picture">
                <pic:pic xmlns:pic="http://schemas.openxmlformats.org/drawingml/2006/picture">
                  <pic:nvPicPr>
                    <pic:cNvPr id="5" name="图片 6" descr="图示&#10;&#10;描述已自动生成"/>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36154" cy="4273208"/>
                    </a:xfrm>
                    <a:prstGeom prst="rect">
                      <a:avLst/>
                    </a:prstGeom>
                    <a:noFill/>
                    <a:ln>
                      <a:noFill/>
                    </a:ln>
                  </pic:spPr>
                </pic:pic>
              </a:graphicData>
            </a:graphic>
          </wp:inline>
        </w:drawing>
      </w:r>
    </w:p>
    <w:p>
      <w:pPr>
        <w:pStyle w:val="8"/>
        <w:adjustRightInd/>
        <w:snapToGrid/>
        <w:spacing w:after="156" w:afterLines="50" w:line="240" w:lineRule="auto"/>
        <w:ind w:firstLine="0" w:firstLineChars="0"/>
        <w:jc w:val="center"/>
        <w:rPr>
          <w:rFonts w:ascii="Times New Roman" w:hAnsi="Times New Roman" w:eastAsia="仿宋"/>
          <w:sz w:val="24"/>
          <w:szCs w:val="24"/>
        </w:rPr>
      </w:pPr>
      <w:r>
        <w:rPr>
          <w:rFonts w:ascii="Times New Roman" w:hAnsi="Times New Roman" w:eastAsia="仿宋"/>
          <w:sz w:val="24"/>
          <w:szCs w:val="24"/>
        </w:rPr>
        <w:t xml:space="preserve">图 </w:t>
      </w:r>
      <w:r>
        <w:rPr>
          <w:rFonts w:hint="eastAsia" w:ascii="Times New Roman" w:hAnsi="Times New Roman" w:eastAsia="仿宋"/>
          <w:sz w:val="24"/>
          <w:szCs w:val="24"/>
        </w:rPr>
        <w:t>5 中心校统筹管理模式</w:t>
      </w:r>
    </w:p>
    <w:p>
      <w:pPr>
        <w:tabs>
          <w:tab w:val="left" w:pos="720"/>
        </w:tabs>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按照输出端和输入端对等的配置建设好技术环境，筛选各校点骨干教师组成协同教学共同体，按照实际需求确定结对名单，将教学计划纳入课表，开展协同教学。此外，中心校还要履行在线巡课、质量监测等职能。</w:t>
      </w:r>
    </w:p>
    <w:p>
      <w:pPr>
        <w:pStyle w:val="4"/>
        <w:spacing w:before="0" w:after="0" w:line="360" w:lineRule="auto"/>
        <w:ind w:firstLine="560" w:firstLineChars="200"/>
        <w:jc w:val="both"/>
        <w:rPr>
          <w:rFonts w:ascii="黑体" w:hAnsi="黑体" w:eastAsia="黑体" w:cs="黑体"/>
          <w:b w:val="0"/>
          <w:bCs w:val="0"/>
          <w:sz w:val="28"/>
          <w:szCs w:val="28"/>
        </w:rPr>
      </w:pPr>
      <w:bookmarkStart w:id="205" w:name="_Toc16222"/>
      <w:bookmarkStart w:id="206" w:name="_Toc18641"/>
      <w:bookmarkStart w:id="207" w:name="_Toc4657"/>
      <w:bookmarkStart w:id="208" w:name="_Toc30910"/>
      <w:bookmarkStart w:id="209" w:name="_Toc141707787"/>
      <w:bookmarkStart w:id="210" w:name="_Toc27437"/>
      <w:bookmarkStart w:id="211" w:name="_Toc7624"/>
      <w:r>
        <w:rPr>
          <w:rFonts w:hint="eastAsia" w:ascii="黑体" w:hAnsi="黑体" w:eastAsia="黑体" w:cs="黑体"/>
          <w:b w:val="0"/>
          <w:bCs w:val="0"/>
          <w:sz w:val="28"/>
          <w:szCs w:val="28"/>
        </w:rPr>
        <w:t>（二）优质校带薄弱校</w:t>
      </w:r>
      <w:bookmarkEnd w:id="205"/>
      <w:bookmarkEnd w:id="206"/>
      <w:bookmarkEnd w:id="207"/>
      <w:bookmarkEnd w:id="208"/>
      <w:bookmarkEnd w:id="209"/>
      <w:bookmarkEnd w:id="210"/>
      <w:bookmarkEnd w:id="211"/>
    </w:p>
    <w:p>
      <w:pPr>
        <w:tabs>
          <w:tab w:val="left" w:pos="720"/>
        </w:tabs>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优质校指拥有丰富的教学资源、优秀的教师队伍，且在教育教学改革探索中取得明显成效，相关成果产生较为广泛影响的城区学校，或通过高标准规划、高起点建设，形成了一定办学特色的新建学校。薄弱校指师资力量较弱、管理水平偏低、教学质量不高的乡村学校。根据帮扶方式不同，可将这一模式细分为“区域扶智促进均衡发展”和“跨校协同发展共同体”两种模式。</w:t>
      </w:r>
    </w:p>
    <w:p>
      <w:pPr>
        <w:pStyle w:val="5"/>
        <w:spacing w:before="0" w:after="0" w:line="360" w:lineRule="auto"/>
        <w:ind w:firstLine="562" w:firstLineChars="200"/>
        <w:jc w:val="both"/>
        <w:rPr>
          <w:rFonts w:ascii="仿宋" w:hAnsi="仿宋" w:eastAsia="仿宋"/>
          <w:sz w:val="28"/>
          <w:szCs w:val="28"/>
        </w:rPr>
      </w:pPr>
      <w:bookmarkStart w:id="212" w:name="_Toc23970"/>
      <w:bookmarkStart w:id="213" w:name="_Toc1990"/>
      <w:bookmarkStart w:id="214" w:name="_Toc2441"/>
      <w:bookmarkStart w:id="215" w:name="_Toc141707788"/>
      <w:bookmarkStart w:id="216" w:name="_Toc2008"/>
      <w:bookmarkStart w:id="217" w:name="_Toc13445"/>
      <w:bookmarkStart w:id="218" w:name="_Toc26449"/>
      <w:r>
        <w:rPr>
          <w:rFonts w:hint="eastAsia" w:ascii="仿宋" w:hAnsi="仿宋" w:eastAsia="仿宋"/>
          <w:sz w:val="28"/>
          <w:szCs w:val="28"/>
        </w:rPr>
        <w:t>1.区域扶智促进均衡发展</w:t>
      </w:r>
      <w:bookmarkEnd w:id="212"/>
      <w:bookmarkEnd w:id="213"/>
      <w:bookmarkEnd w:id="214"/>
      <w:bookmarkEnd w:id="215"/>
      <w:bookmarkEnd w:id="216"/>
      <w:bookmarkEnd w:id="217"/>
      <w:bookmarkEnd w:id="218"/>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该模式是一种教育的精准扶贫。在明确薄弱校实际需求的基础上，优质校利用在线互动教室和其他手段，将硬件设施共享给薄弱校，将信息资源开放给薄弱校，将优良师资输送到薄弱校，以快速提升薄弱校教育教学质量和发展能力。</w:t>
      </w:r>
    </w:p>
    <w:p>
      <w:pPr>
        <w:pStyle w:val="2"/>
        <w:spacing w:after="0" w:line="240" w:lineRule="auto"/>
        <w:jc w:val="center"/>
      </w:pPr>
      <w:r>
        <w:rPr>
          <w:rFonts w:ascii="仿宋" w:hAnsi="仿宋" w:eastAsia="仿宋"/>
          <w:sz w:val="28"/>
          <w:szCs w:val="28"/>
        </w:rPr>
        <w:drawing>
          <wp:inline distT="0" distB="0" distL="0" distR="0">
            <wp:extent cx="4419600" cy="2108200"/>
            <wp:effectExtent l="0" t="0" r="0" b="0"/>
            <wp:docPr id="6" name="图片 5" descr="形状&#10;&#10;中度可信度描述已自动生成"/>
            <wp:cNvGraphicFramePr/>
            <a:graphic xmlns:a="http://schemas.openxmlformats.org/drawingml/2006/main">
              <a:graphicData uri="http://schemas.openxmlformats.org/drawingml/2006/picture">
                <pic:pic xmlns:pic="http://schemas.openxmlformats.org/drawingml/2006/picture">
                  <pic:nvPicPr>
                    <pic:cNvPr id="6" name="图片 5" descr="形状&#10;&#10;中度可信度描述已自动生成"/>
                    <pic:cNvPicPr/>
                  </pic:nvPicPr>
                  <pic:blipFill>
                    <a:blip r:embed="rId14">
                      <a:extLst>
                        <a:ext uri="{28A0092B-C50C-407E-A947-70E740481C1C}">
                          <a14:useLocalDpi xmlns:a14="http://schemas.microsoft.com/office/drawing/2010/main" val="0"/>
                        </a:ext>
                      </a:extLst>
                    </a:blip>
                    <a:srcRect/>
                    <a:stretch>
                      <a:fillRect/>
                    </a:stretch>
                  </pic:blipFill>
                  <pic:spPr>
                    <a:xfrm>
                      <a:off x="0" y="0"/>
                      <a:ext cx="4419600" cy="2108200"/>
                    </a:xfrm>
                    <a:prstGeom prst="rect">
                      <a:avLst/>
                    </a:prstGeom>
                    <a:noFill/>
                    <a:ln>
                      <a:noFill/>
                    </a:ln>
                  </pic:spPr>
                </pic:pic>
              </a:graphicData>
            </a:graphic>
          </wp:inline>
        </w:drawing>
      </w:r>
    </w:p>
    <w:p>
      <w:pPr>
        <w:pStyle w:val="8"/>
        <w:adjustRightInd/>
        <w:snapToGrid/>
        <w:spacing w:after="156" w:afterLines="50" w:line="240" w:lineRule="auto"/>
        <w:ind w:firstLine="0" w:firstLineChars="0"/>
        <w:jc w:val="center"/>
        <w:rPr>
          <w:rFonts w:ascii="Times New Roman" w:hAnsi="Times New Roman" w:eastAsia="仿宋"/>
          <w:sz w:val="24"/>
          <w:szCs w:val="24"/>
        </w:rPr>
      </w:pPr>
      <w:r>
        <w:rPr>
          <w:rFonts w:ascii="Times New Roman" w:hAnsi="Times New Roman" w:eastAsia="仿宋"/>
          <w:sz w:val="24"/>
          <w:szCs w:val="24"/>
        </w:rPr>
        <w:t xml:space="preserve">图 </w:t>
      </w:r>
      <w:r>
        <w:rPr>
          <w:rFonts w:hint="eastAsia" w:ascii="Times New Roman" w:hAnsi="Times New Roman" w:eastAsia="仿宋"/>
          <w:sz w:val="24"/>
          <w:szCs w:val="24"/>
        </w:rPr>
        <w:t>6 区域扶智促进均衡发展</w:t>
      </w:r>
    </w:p>
    <w:p>
      <w:pPr>
        <w:tabs>
          <w:tab w:val="left" w:pos="720"/>
        </w:tabs>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在巩固拓展教育脱贫攻坚成果与乡村振兴有效衔接大背景下，该模式适用于区域内优质校具有一定数量富余的资源、薄弱校基本办学条件较差的情况，是一种为全面推进乡村教育振兴而展开的有组织的结对帮扶。</w:t>
      </w:r>
    </w:p>
    <w:p>
      <w:pPr>
        <w:tabs>
          <w:tab w:val="left" w:pos="720"/>
        </w:tabs>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在上级教育行政管理部门的统一组织下，优质校结合结对薄弱校现实需求制定以“扶智”为核心的帮扶计划，将学校富余的硬件设施开放给薄弱校，共享学校教学资源库、云平台等优质信息资源，定期选派骨干教师基于在线互动教室进行线上与线下相结合的支教，开展优课示范与教研帮扶。</w:t>
      </w:r>
    </w:p>
    <w:p>
      <w:pPr>
        <w:pStyle w:val="5"/>
        <w:spacing w:before="0" w:after="0" w:line="360" w:lineRule="auto"/>
        <w:ind w:firstLine="562" w:firstLineChars="200"/>
        <w:jc w:val="both"/>
        <w:rPr>
          <w:rFonts w:ascii="仿宋" w:hAnsi="仿宋" w:eastAsia="仿宋"/>
          <w:sz w:val="28"/>
          <w:szCs w:val="28"/>
        </w:rPr>
      </w:pPr>
      <w:bookmarkStart w:id="219" w:name="_Toc16919"/>
      <w:bookmarkStart w:id="220" w:name="_Toc28485"/>
      <w:bookmarkStart w:id="221" w:name="_Toc21864"/>
      <w:bookmarkStart w:id="222" w:name="_Toc16842"/>
      <w:bookmarkStart w:id="223" w:name="_Toc19558"/>
      <w:bookmarkStart w:id="224" w:name="_Toc141707789"/>
      <w:bookmarkStart w:id="225" w:name="_Toc17825"/>
      <w:r>
        <w:rPr>
          <w:rFonts w:hint="eastAsia" w:ascii="仿宋" w:hAnsi="仿宋" w:eastAsia="仿宋"/>
          <w:sz w:val="28"/>
          <w:szCs w:val="28"/>
        </w:rPr>
        <w:t>2.区域协同发展共同体</w:t>
      </w:r>
      <w:bookmarkEnd w:id="219"/>
      <w:bookmarkEnd w:id="220"/>
      <w:bookmarkEnd w:id="221"/>
      <w:bookmarkEnd w:id="222"/>
      <w:bookmarkEnd w:id="223"/>
      <w:bookmarkEnd w:id="224"/>
      <w:bookmarkEnd w:id="225"/>
    </w:p>
    <w:p>
      <w:pPr>
        <w:tabs>
          <w:tab w:val="left" w:pos="720"/>
        </w:tabs>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在该模式中，优质校与薄弱校师生之间基于在线互动教室进行跨区域的教研与教学活动，形成较为稳定的城乡学校协同发展共同体，通过优质资源共享，帮扶薄弱校学生成长与教师专业发展，实现优质校与薄弱校共同进步。</w:t>
      </w:r>
    </w:p>
    <w:p>
      <w:pPr>
        <w:adjustRightInd w:val="0"/>
        <w:snapToGrid w:val="0"/>
        <w:spacing w:after="0" w:line="240" w:lineRule="auto"/>
        <w:jc w:val="center"/>
        <w:rPr>
          <w:rFonts w:ascii="仿宋" w:hAnsi="仿宋" w:eastAsia="仿宋"/>
          <w:sz w:val="28"/>
          <w:szCs w:val="28"/>
        </w:rPr>
      </w:pPr>
      <w:r>
        <w:rPr>
          <w:rFonts w:ascii="仿宋" w:hAnsi="仿宋" w:eastAsia="仿宋"/>
          <w:sz w:val="28"/>
          <w:szCs w:val="28"/>
        </w:rPr>
        <w:drawing>
          <wp:inline distT="0" distB="0" distL="0" distR="0">
            <wp:extent cx="3140710" cy="3060700"/>
            <wp:effectExtent l="0" t="0" r="2540" b="0"/>
            <wp:docPr id="7" name="图片 4" descr="张着嘴&#10;&#10;低可信度描述已自动生成"/>
            <wp:cNvGraphicFramePr/>
            <a:graphic xmlns:a="http://schemas.openxmlformats.org/drawingml/2006/main">
              <a:graphicData uri="http://schemas.openxmlformats.org/drawingml/2006/picture">
                <pic:pic xmlns:pic="http://schemas.openxmlformats.org/drawingml/2006/picture">
                  <pic:nvPicPr>
                    <pic:cNvPr id="7" name="图片 4" descr="张着嘴&#10;&#10;低可信度描述已自动生成"/>
                    <pic:cNvPicPr/>
                  </pic:nvPicPr>
                  <pic:blipFill>
                    <a:blip r:embed="rId15">
                      <a:extLst>
                        <a:ext uri="{28A0092B-C50C-407E-A947-70E740481C1C}">
                          <a14:useLocalDpi xmlns:a14="http://schemas.microsoft.com/office/drawing/2010/main" val="0"/>
                        </a:ext>
                      </a:extLst>
                    </a:blip>
                    <a:srcRect/>
                    <a:stretch>
                      <a:fillRect/>
                    </a:stretch>
                  </pic:blipFill>
                  <pic:spPr>
                    <a:xfrm>
                      <a:off x="0" y="0"/>
                      <a:ext cx="3163795" cy="3083699"/>
                    </a:xfrm>
                    <a:prstGeom prst="rect">
                      <a:avLst/>
                    </a:prstGeom>
                    <a:noFill/>
                    <a:ln>
                      <a:noFill/>
                    </a:ln>
                  </pic:spPr>
                </pic:pic>
              </a:graphicData>
            </a:graphic>
          </wp:inline>
        </w:drawing>
      </w:r>
    </w:p>
    <w:p>
      <w:pPr>
        <w:pStyle w:val="8"/>
        <w:adjustRightInd/>
        <w:snapToGrid/>
        <w:spacing w:after="156" w:afterLines="50" w:line="240" w:lineRule="auto"/>
        <w:ind w:firstLine="0" w:firstLineChars="0"/>
        <w:jc w:val="center"/>
        <w:rPr>
          <w:rFonts w:ascii="Times New Roman" w:hAnsi="Times New Roman" w:eastAsia="仿宋"/>
          <w:sz w:val="24"/>
          <w:szCs w:val="24"/>
        </w:rPr>
      </w:pPr>
      <w:r>
        <w:rPr>
          <w:rFonts w:ascii="Times New Roman" w:hAnsi="Times New Roman" w:eastAsia="仿宋"/>
          <w:sz w:val="24"/>
          <w:szCs w:val="24"/>
        </w:rPr>
        <w:t xml:space="preserve">图 </w:t>
      </w:r>
      <w:r>
        <w:rPr>
          <w:rFonts w:hint="eastAsia" w:ascii="Times New Roman" w:hAnsi="Times New Roman" w:eastAsia="仿宋"/>
          <w:sz w:val="24"/>
          <w:szCs w:val="24"/>
        </w:rPr>
        <w:t>7 区域协同发展共同体</w:t>
      </w:r>
    </w:p>
    <w:p>
      <w:pPr>
        <w:pStyle w:val="2"/>
        <w:spacing w:after="0" w:line="360" w:lineRule="auto"/>
        <w:ind w:firstLine="560" w:firstLineChars="200"/>
        <w:jc w:val="both"/>
      </w:pPr>
      <w:r>
        <w:rPr>
          <w:rFonts w:hint="eastAsia" w:ascii="仿宋" w:hAnsi="仿宋" w:eastAsia="仿宋"/>
          <w:sz w:val="28"/>
          <w:szCs w:val="28"/>
        </w:rPr>
        <w:t>该模式适用于薄弱校办学条件已基本满足需求，但教师教学能力亟需提升的情况，通过优质校围绕教学和教研两项核心业务以线上与线下相结合的方式常态化帮扶薄弱校，实现从短期“输血式”帮扶向增强自我发展能力的长期“造血式”帮扶转变。</w:t>
      </w:r>
    </w:p>
    <w:p>
      <w:pPr>
        <w:pStyle w:val="2"/>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优质校与薄弱校分别筛选骨干教师，组成区域协同发展共同体。优质校教师作为主讲教师，薄弱校教师作为辅助教师，基于在线互动教室，以“线上+线下”相结合的形式开展双师协同的教学；两校学生共享优质校提供的教学课件、学习表单、课后作业等课程配套资源，开展合作学习。基于真实教学开展教研，以教研反馈和改进教学，提升薄弱校学生学业质量和教师教学能力。</w:t>
      </w:r>
    </w:p>
    <w:p>
      <w:pPr>
        <w:pStyle w:val="4"/>
        <w:spacing w:before="0" w:after="0" w:line="360" w:lineRule="auto"/>
        <w:ind w:firstLine="560" w:firstLineChars="200"/>
        <w:jc w:val="both"/>
        <w:rPr>
          <w:rFonts w:ascii="黑体" w:hAnsi="黑体" w:eastAsia="黑体" w:cs="黑体"/>
          <w:b w:val="0"/>
          <w:bCs w:val="0"/>
          <w:sz w:val="28"/>
          <w:szCs w:val="28"/>
        </w:rPr>
      </w:pPr>
      <w:bookmarkStart w:id="226" w:name="_Toc141707790"/>
      <w:bookmarkStart w:id="227" w:name="_Hlk137805144"/>
      <w:bookmarkStart w:id="228" w:name="_Toc21010"/>
      <w:bookmarkStart w:id="229" w:name="_Toc19593"/>
      <w:bookmarkStart w:id="230" w:name="_Toc32385"/>
      <w:bookmarkStart w:id="231" w:name="_Toc10332"/>
      <w:bookmarkStart w:id="232" w:name="_Toc170"/>
      <w:bookmarkStart w:id="233" w:name="_Toc17316"/>
      <w:r>
        <w:rPr>
          <w:rFonts w:hint="eastAsia" w:ascii="黑体" w:hAnsi="黑体" w:eastAsia="黑体" w:cs="黑体"/>
          <w:b w:val="0"/>
          <w:bCs w:val="0"/>
          <w:sz w:val="28"/>
          <w:szCs w:val="28"/>
        </w:rPr>
        <w:t>（三）集团化办学</w:t>
      </w:r>
      <w:bookmarkEnd w:id="226"/>
      <w:bookmarkEnd w:id="227"/>
      <w:bookmarkEnd w:id="228"/>
      <w:bookmarkEnd w:id="229"/>
      <w:bookmarkEnd w:id="230"/>
      <w:bookmarkEnd w:id="231"/>
      <w:bookmarkEnd w:id="232"/>
      <w:bookmarkEnd w:id="233"/>
    </w:p>
    <w:p>
      <w:pPr>
        <w:tabs>
          <w:tab w:val="left" w:pos="720"/>
        </w:tabs>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存在集团化办学的区域，可依托国家和省级智慧教育平台，基于在线互动教室应用，打造“名校网络课堂”，以优质校为主体，通过网络学校、网络课程等形式，系统性、全方位地推动优质资源在集团内共享，满足成员校学生对高质量教育和个性化发展的需求。</w:t>
      </w:r>
    </w:p>
    <w:p>
      <w:pPr>
        <w:pStyle w:val="2"/>
        <w:keepNext/>
        <w:adjustRightInd w:val="0"/>
        <w:snapToGrid w:val="0"/>
        <w:spacing w:after="0" w:line="240" w:lineRule="auto"/>
        <w:jc w:val="center"/>
      </w:pPr>
      <w:r>
        <w:drawing>
          <wp:inline distT="0" distB="0" distL="0" distR="0">
            <wp:extent cx="4138295" cy="2640330"/>
            <wp:effectExtent l="0" t="0" r="0" b="7620"/>
            <wp:docPr id="8" name="图片 3"/>
            <wp:cNvGraphicFramePr/>
            <a:graphic xmlns:a="http://schemas.openxmlformats.org/drawingml/2006/main">
              <a:graphicData uri="http://schemas.openxmlformats.org/drawingml/2006/picture">
                <pic:pic xmlns:pic="http://schemas.openxmlformats.org/drawingml/2006/picture">
                  <pic:nvPicPr>
                    <pic:cNvPr id="8" name="图片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8816" cy="2640580"/>
                    </a:xfrm>
                    <a:prstGeom prst="rect">
                      <a:avLst/>
                    </a:prstGeom>
                    <a:noFill/>
                    <a:ln>
                      <a:noFill/>
                    </a:ln>
                  </pic:spPr>
                </pic:pic>
              </a:graphicData>
            </a:graphic>
          </wp:inline>
        </w:drawing>
      </w:r>
    </w:p>
    <w:p>
      <w:pPr>
        <w:pStyle w:val="8"/>
        <w:adjustRightInd/>
        <w:snapToGrid/>
        <w:spacing w:after="156" w:afterLines="50" w:line="240" w:lineRule="auto"/>
        <w:ind w:firstLine="0" w:firstLineChars="0"/>
        <w:jc w:val="center"/>
        <w:rPr>
          <w:rFonts w:ascii="Times New Roman" w:hAnsi="Times New Roman" w:eastAsia="仿宋"/>
          <w:sz w:val="24"/>
          <w:szCs w:val="24"/>
        </w:rPr>
      </w:pPr>
      <w:r>
        <w:rPr>
          <w:rFonts w:ascii="Times New Roman" w:hAnsi="Times New Roman" w:eastAsia="仿宋"/>
          <w:sz w:val="24"/>
          <w:szCs w:val="24"/>
        </w:rPr>
        <w:t xml:space="preserve">图 </w:t>
      </w:r>
      <w:r>
        <w:rPr>
          <w:rFonts w:hint="eastAsia" w:ascii="Times New Roman" w:hAnsi="Times New Roman" w:eastAsia="仿宋"/>
          <w:sz w:val="24"/>
          <w:szCs w:val="24"/>
        </w:rPr>
        <w:t>8 集团化办学异质校协同发展</w:t>
      </w:r>
    </w:p>
    <w:p>
      <w:pPr>
        <w:tabs>
          <w:tab w:val="left" w:pos="720"/>
        </w:tabs>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该模式主要针对有效缩小成员校之间教育质量差距过大的迫切需求，优质校作为龙头在教育理念、学校管理、学科教学、教育科研、信息技术、教育评价等方面向其他成员校输送优质资源，在各成员校之间开展全学科教学教研、优质教师课堂经验分享及学校管理服务活动。</w:t>
      </w:r>
    </w:p>
    <w:p>
      <w:pPr>
        <w:tabs>
          <w:tab w:val="left" w:pos="720"/>
        </w:tabs>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按照各成员校的实际需求统一规划、分别建设好技术环境，发挥集团化办学在资源配置和组织管理上的特色优势，统一教学计划、统一学科课表、统一教学进度，按照计划开展优课分享、学科教学、联动教研、学校管理。</w:t>
      </w:r>
    </w:p>
    <w:p>
      <w:pPr>
        <w:pStyle w:val="4"/>
        <w:spacing w:before="0" w:after="0" w:line="360" w:lineRule="auto"/>
        <w:ind w:firstLine="560" w:firstLineChars="200"/>
        <w:jc w:val="both"/>
        <w:rPr>
          <w:rFonts w:ascii="黑体" w:hAnsi="黑体" w:eastAsia="黑体" w:cs="黑体"/>
          <w:b w:val="0"/>
          <w:bCs w:val="0"/>
          <w:sz w:val="28"/>
          <w:szCs w:val="28"/>
        </w:rPr>
      </w:pPr>
      <w:bookmarkStart w:id="234" w:name="_Toc141707791"/>
      <w:bookmarkStart w:id="235" w:name="_Toc31093"/>
      <w:bookmarkStart w:id="236" w:name="_Toc14673"/>
      <w:bookmarkStart w:id="237" w:name="_Toc32678"/>
      <w:bookmarkStart w:id="238" w:name="_Toc755"/>
      <w:bookmarkStart w:id="239" w:name="_Toc14274"/>
      <w:bookmarkStart w:id="240" w:name="_Toc23604"/>
      <w:r>
        <w:rPr>
          <w:rFonts w:hint="eastAsia" w:ascii="黑体" w:hAnsi="黑体" w:eastAsia="黑体" w:cs="黑体"/>
          <w:b w:val="0"/>
          <w:bCs w:val="0"/>
          <w:sz w:val="28"/>
          <w:szCs w:val="28"/>
        </w:rPr>
        <w:t>（四）</w:t>
      </w:r>
      <w:bookmarkStart w:id="241" w:name="_Hlk138969338"/>
      <w:r>
        <w:rPr>
          <w:rFonts w:hint="eastAsia" w:ascii="黑体" w:hAnsi="黑体" w:eastAsia="黑体" w:cs="黑体"/>
          <w:b w:val="0"/>
          <w:bCs w:val="0"/>
          <w:sz w:val="28"/>
          <w:szCs w:val="28"/>
        </w:rPr>
        <w:t>县域整体推进</w:t>
      </w:r>
      <w:bookmarkEnd w:id="234"/>
      <w:bookmarkEnd w:id="235"/>
      <w:bookmarkEnd w:id="236"/>
      <w:bookmarkEnd w:id="237"/>
      <w:bookmarkEnd w:id="238"/>
      <w:bookmarkEnd w:id="239"/>
      <w:bookmarkEnd w:id="240"/>
      <w:bookmarkEnd w:id="241"/>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将县域内学校分为优质校、普通校和薄弱校三个层次，以国家和省级智慧教育平台为依托，汇聚优质资源，建设技术环境，构建管理体系，让优质校带普通校、普通校带薄弱校，围绕“教学”（专递课堂）和“教研”（名师课堂）两项核心业务开展在线互动教室应用，通过逐级赋能实现县域内优质资源有效辐射，扩大优质资源覆盖面，达到县域教育优质均衡发展的目的。</w:t>
      </w:r>
    </w:p>
    <w:p>
      <w:pPr>
        <w:pStyle w:val="2"/>
        <w:adjustRightInd w:val="0"/>
        <w:snapToGrid w:val="0"/>
        <w:spacing w:after="0" w:line="240" w:lineRule="auto"/>
        <w:jc w:val="center"/>
        <w:rPr>
          <w:rFonts w:ascii="Times New Roman" w:hAnsi="Times New Roman" w:eastAsia="仿宋_GB2312"/>
          <w:sz w:val="28"/>
          <w:szCs w:val="28"/>
        </w:rPr>
      </w:pPr>
      <w:r>
        <w:rPr>
          <w:rFonts w:ascii="Times New Roman" w:hAnsi="Times New Roman" w:eastAsia="仿宋_GB2312"/>
          <w:sz w:val="28"/>
          <w:szCs w:val="28"/>
        </w:rPr>
        <w:drawing>
          <wp:inline distT="0" distB="0" distL="0" distR="0">
            <wp:extent cx="2933700" cy="2297430"/>
            <wp:effectExtent l="0" t="0" r="0" b="7620"/>
            <wp:docPr id="9" name="图片 2" descr="文本&#10;&#10;描述已自动生成"/>
            <wp:cNvGraphicFramePr/>
            <a:graphic xmlns:a="http://schemas.openxmlformats.org/drawingml/2006/main">
              <a:graphicData uri="http://schemas.openxmlformats.org/drawingml/2006/picture">
                <pic:pic xmlns:pic="http://schemas.openxmlformats.org/drawingml/2006/picture">
                  <pic:nvPicPr>
                    <pic:cNvPr id="9" name="图片 2" descr="文本&#10;&#10;描述已自动生成"/>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2939525" cy="2302230"/>
                    </a:xfrm>
                    <a:prstGeom prst="rect">
                      <a:avLst/>
                    </a:prstGeom>
                    <a:noFill/>
                    <a:ln>
                      <a:noFill/>
                    </a:ln>
                  </pic:spPr>
                </pic:pic>
              </a:graphicData>
            </a:graphic>
          </wp:inline>
        </w:drawing>
      </w:r>
    </w:p>
    <w:p>
      <w:pPr>
        <w:pStyle w:val="8"/>
        <w:adjustRightInd/>
        <w:snapToGrid/>
        <w:spacing w:after="156" w:afterLines="50" w:line="240" w:lineRule="auto"/>
        <w:ind w:firstLine="0" w:firstLineChars="0"/>
        <w:jc w:val="center"/>
        <w:rPr>
          <w:rFonts w:ascii="Times New Roman" w:hAnsi="Times New Roman" w:eastAsia="仿宋"/>
          <w:sz w:val="24"/>
          <w:szCs w:val="24"/>
        </w:rPr>
      </w:pPr>
      <w:r>
        <w:rPr>
          <w:rFonts w:ascii="Times New Roman" w:hAnsi="Times New Roman" w:eastAsia="仿宋"/>
          <w:sz w:val="24"/>
          <w:szCs w:val="24"/>
        </w:rPr>
        <w:t xml:space="preserve">图 </w:t>
      </w:r>
      <w:r>
        <w:rPr>
          <w:rFonts w:hint="eastAsia" w:ascii="Times New Roman" w:hAnsi="Times New Roman" w:eastAsia="仿宋"/>
          <w:sz w:val="24"/>
          <w:szCs w:val="24"/>
        </w:rPr>
        <w:t>9</w:t>
      </w:r>
      <w:r>
        <w:rPr>
          <w:rFonts w:ascii="Times New Roman" w:hAnsi="Times New Roman" w:eastAsia="仿宋"/>
          <w:sz w:val="24"/>
          <w:szCs w:val="24"/>
        </w:rPr>
        <w:t xml:space="preserve"> </w:t>
      </w:r>
      <w:r>
        <w:rPr>
          <w:rFonts w:hint="eastAsia" w:ascii="Times New Roman" w:hAnsi="Times New Roman" w:eastAsia="仿宋"/>
          <w:sz w:val="24"/>
          <w:szCs w:val="24"/>
        </w:rPr>
        <w:t>县域逐级赋能模式</w:t>
      </w:r>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该模式适用于县域内学校比较多，城乡、校际之间教育质量差距比较大，教育数字化县域统筹力度比较强，前期城乡、校际之间协同具有一定基础的情形。</w:t>
      </w:r>
    </w:p>
    <w:p>
      <w:pPr>
        <w:tabs>
          <w:tab w:val="left" w:pos="720"/>
        </w:tabs>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在县域层面成立联校网教协同中心，统筹安排优质校、普通校和薄弱校的技术环境建设，确定优质校带普通校、普通校带薄弱校的结对名单、结对形式、结对学科，</w:t>
      </w:r>
      <w:bookmarkStart w:id="242" w:name="OLE_LINK1"/>
      <w:r>
        <w:rPr>
          <w:rFonts w:hint="eastAsia" w:ascii="仿宋" w:hAnsi="仿宋" w:eastAsia="仿宋"/>
          <w:sz w:val="28"/>
          <w:szCs w:val="28"/>
        </w:rPr>
        <w:t>制定学科教学与教研</w:t>
      </w:r>
      <w:bookmarkEnd w:id="242"/>
      <w:r>
        <w:rPr>
          <w:rFonts w:hint="eastAsia" w:ascii="仿宋" w:hAnsi="仿宋" w:eastAsia="仿宋"/>
          <w:sz w:val="28"/>
          <w:szCs w:val="28"/>
        </w:rPr>
        <w:t>计划并开展协同教学与协同教研。</w:t>
      </w:r>
    </w:p>
    <w:p>
      <w:pPr>
        <w:pStyle w:val="3"/>
        <w:spacing w:before="0" w:after="0" w:line="360" w:lineRule="auto"/>
        <w:ind w:firstLine="600" w:firstLineChars="200"/>
        <w:jc w:val="both"/>
        <w:rPr>
          <w:rFonts w:ascii="黑体" w:hAnsi="黑体" w:eastAsia="黑体" w:cs="黑体"/>
          <w:b w:val="0"/>
          <w:bCs w:val="0"/>
          <w:sz w:val="30"/>
          <w:szCs w:val="30"/>
        </w:rPr>
      </w:pPr>
      <w:bookmarkStart w:id="243" w:name="_Toc2250"/>
      <w:bookmarkStart w:id="244" w:name="_Toc12807"/>
      <w:bookmarkStart w:id="245" w:name="_Toc32418"/>
      <w:bookmarkStart w:id="246" w:name="_Toc8632"/>
      <w:bookmarkStart w:id="247" w:name="_Toc141707792"/>
      <w:bookmarkStart w:id="248" w:name="_Toc6463"/>
      <w:bookmarkStart w:id="249" w:name="_Toc1981"/>
      <w:r>
        <w:rPr>
          <w:rFonts w:hint="eastAsia" w:ascii="黑体" w:hAnsi="黑体" w:eastAsia="黑体" w:cs="黑体"/>
          <w:b w:val="0"/>
          <w:bCs w:val="0"/>
          <w:sz w:val="30"/>
          <w:szCs w:val="30"/>
        </w:rPr>
        <w:t>六、推进路线图</w:t>
      </w:r>
      <w:bookmarkEnd w:id="243"/>
      <w:bookmarkEnd w:id="244"/>
      <w:bookmarkEnd w:id="245"/>
      <w:bookmarkEnd w:id="246"/>
      <w:bookmarkEnd w:id="247"/>
      <w:bookmarkEnd w:id="248"/>
      <w:bookmarkEnd w:id="249"/>
    </w:p>
    <w:p>
      <w:r>
        <w:drawing>
          <wp:inline distT="0" distB="0" distL="0" distR="0">
            <wp:extent cx="5041900" cy="2082800"/>
            <wp:effectExtent l="0" t="0" r="0" b="0"/>
            <wp:docPr id="10" name="图片 1" descr="图形用户界面&#10;&#10;描述已自动生成"/>
            <wp:cNvGraphicFramePr/>
            <a:graphic xmlns:a="http://schemas.openxmlformats.org/drawingml/2006/main">
              <a:graphicData uri="http://schemas.openxmlformats.org/drawingml/2006/picture">
                <pic:pic xmlns:pic="http://schemas.openxmlformats.org/drawingml/2006/picture">
                  <pic:nvPicPr>
                    <pic:cNvPr id="10" name="图片 1" descr="图形用户界面&#10;&#10;描述已自动生成"/>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041900" cy="2082800"/>
                    </a:xfrm>
                    <a:prstGeom prst="rect">
                      <a:avLst/>
                    </a:prstGeom>
                    <a:noFill/>
                    <a:ln>
                      <a:noFill/>
                    </a:ln>
                  </pic:spPr>
                </pic:pic>
              </a:graphicData>
            </a:graphic>
          </wp:inline>
        </w:drawing>
      </w:r>
    </w:p>
    <w:p>
      <w:pPr>
        <w:pStyle w:val="8"/>
        <w:adjustRightInd/>
        <w:snapToGrid/>
        <w:spacing w:after="156" w:afterLines="50" w:line="240" w:lineRule="auto"/>
        <w:ind w:firstLine="0" w:firstLineChars="0"/>
        <w:jc w:val="center"/>
        <w:rPr>
          <w:rFonts w:ascii="Times New Roman" w:hAnsi="Times New Roman" w:eastAsia="仿宋"/>
          <w:sz w:val="24"/>
          <w:szCs w:val="24"/>
        </w:rPr>
      </w:pPr>
      <w:r>
        <w:rPr>
          <w:rFonts w:ascii="Times New Roman" w:hAnsi="Times New Roman" w:eastAsia="仿宋"/>
          <w:sz w:val="24"/>
          <w:szCs w:val="24"/>
        </w:rPr>
        <w:t xml:space="preserve">图 </w:t>
      </w:r>
      <w:r>
        <w:rPr>
          <w:rFonts w:hint="eastAsia" w:ascii="Times New Roman" w:hAnsi="Times New Roman" w:eastAsia="仿宋"/>
          <w:sz w:val="24"/>
          <w:szCs w:val="24"/>
        </w:rPr>
        <w:t>10</w:t>
      </w:r>
      <w:r>
        <w:rPr>
          <w:rFonts w:ascii="Times New Roman" w:hAnsi="Times New Roman" w:eastAsia="仿宋"/>
          <w:sz w:val="24"/>
          <w:szCs w:val="24"/>
        </w:rPr>
        <w:t xml:space="preserve"> </w:t>
      </w:r>
      <w:r>
        <w:rPr>
          <w:rFonts w:hint="eastAsia" w:ascii="Times New Roman" w:hAnsi="Times New Roman" w:eastAsia="仿宋"/>
          <w:sz w:val="24"/>
          <w:szCs w:val="24"/>
        </w:rPr>
        <w:t>在线互动教室建设和应用推进路线图</w:t>
      </w:r>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在线互动教室建设和应用推进需重点关注以下五个环节：技术环境建设、应用场景定义、典型案例发掘、应用模式创新、经验推广普及，并在这一过程中不断建立和完善推进机制，把监测评估贯穿于在线互动教室建设和应用的全过程。</w:t>
      </w:r>
    </w:p>
    <w:p>
      <w:pPr>
        <w:pStyle w:val="3"/>
        <w:tabs>
          <w:tab w:val="left" w:pos="426"/>
        </w:tabs>
        <w:spacing w:before="0" w:after="0" w:line="360" w:lineRule="auto"/>
        <w:ind w:firstLine="600" w:firstLineChars="200"/>
        <w:jc w:val="both"/>
        <w:rPr>
          <w:rFonts w:ascii="黑体" w:hAnsi="黑体" w:eastAsia="黑体" w:cs="黑体"/>
          <w:b w:val="0"/>
          <w:bCs w:val="0"/>
          <w:sz w:val="30"/>
          <w:szCs w:val="30"/>
        </w:rPr>
      </w:pPr>
      <w:bookmarkStart w:id="250" w:name="_Toc141707793"/>
      <w:bookmarkStart w:id="251" w:name="_Toc29396"/>
      <w:bookmarkStart w:id="252" w:name="_Toc3779"/>
      <w:bookmarkStart w:id="253" w:name="_Toc743"/>
      <w:bookmarkStart w:id="254" w:name="_Toc23580"/>
      <w:bookmarkStart w:id="255" w:name="_Toc21172"/>
      <w:bookmarkStart w:id="256" w:name="_Toc20810"/>
      <w:r>
        <w:rPr>
          <w:rFonts w:hint="eastAsia" w:ascii="黑体" w:hAnsi="黑体" w:eastAsia="黑体" w:cs="黑体"/>
          <w:b w:val="0"/>
          <w:bCs w:val="0"/>
          <w:sz w:val="30"/>
          <w:szCs w:val="30"/>
        </w:rPr>
        <w:t>七、保障机制</w:t>
      </w:r>
      <w:bookmarkEnd w:id="250"/>
      <w:bookmarkEnd w:id="251"/>
      <w:bookmarkEnd w:id="252"/>
      <w:bookmarkEnd w:id="253"/>
      <w:bookmarkEnd w:id="254"/>
      <w:bookmarkEnd w:id="255"/>
      <w:bookmarkEnd w:id="256"/>
    </w:p>
    <w:p>
      <w:pPr>
        <w:pStyle w:val="4"/>
        <w:spacing w:before="0" w:after="0" w:line="360" w:lineRule="auto"/>
        <w:ind w:firstLine="560" w:firstLineChars="200"/>
        <w:jc w:val="both"/>
        <w:rPr>
          <w:rFonts w:ascii="黑体" w:hAnsi="黑体" w:eastAsia="黑体" w:cs="黑体"/>
          <w:b w:val="0"/>
          <w:bCs w:val="0"/>
          <w:sz w:val="28"/>
          <w:szCs w:val="28"/>
        </w:rPr>
      </w:pPr>
      <w:bookmarkStart w:id="257" w:name="_Toc141707794"/>
      <w:bookmarkStart w:id="258" w:name="_Toc23640"/>
      <w:bookmarkStart w:id="259" w:name="_Toc26530"/>
      <w:bookmarkStart w:id="260" w:name="_Toc30248"/>
      <w:bookmarkStart w:id="261" w:name="_Toc15770"/>
      <w:bookmarkStart w:id="262" w:name="_Toc28743"/>
      <w:bookmarkStart w:id="263" w:name="_Toc16490"/>
      <w:r>
        <w:rPr>
          <w:rFonts w:hint="eastAsia" w:ascii="黑体" w:hAnsi="黑体" w:eastAsia="黑体" w:cs="黑体"/>
          <w:b w:val="0"/>
          <w:bCs w:val="0"/>
          <w:sz w:val="28"/>
          <w:szCs w:val="28"/>
        </w:rPr>
        <w:t>（一）省级统筹</w:t>
      </w:r>
      <w:bookmarkEnd w:id="257"/>
      <w:bookmarkEnd w:id="258"/>
      <w:bookmarkEnd w:id="259"/>
      <w:bookmarkEnd w:id="260"/>
      <w:bookmarkEnd w:id="261"/>
      <w:bookmarkEnd w:id="262"/>
      <w:bookmarkEnd w:id="263"/>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加强顶层设计和统筹协调，按照全省实施教育数字化战略的总体要求制定在线互动教室建设和应用省级规划，并负责推进落实。建设省级在线互动教室管理与服务平台，为全省在线互动教室应用提供管理和服务支撑。构建在线互动教室建设和应用评价指标体系，研制评价工具，定期开展质量监测和效果评估并发布报告。</w:t>
      </w:r>
    </w:p>
    <w:p>
      <w:pPr>
        <w:pStyle w:val="4"/>
        <w:spacing w:before="0" w:after="0" w:line="360" w:lineRule="auto"/>
        <w:ind w:firstLine="560" w:firstLineChars="200"/>
        <w:jc w:val="both"/>
        <w:rPr>
          <w:rFonts w:ascii="黑体" w:hAnsi="黑体" w:eastAsia="黑体" w:cs="黑体"/>
          <w:b w:val="0"/>
          <w:bCs w:val="0"/>
          <w:sz w:val="28"/>
          <w:szCs w:val="28"/>
        </w:rPr>
      </w:pPr>
      <w:bookmarkStart w:id="264" w:name="_Toc141707795"/>
      <w:bookmarkStart w:id="265" w:name="_Toc4914"/>
      <w:bookmarkStart w:id="266" w:name="_Toc13634"/>
      <w:bookmarkStart w:id="267" w:name="_Toc2682"/>
      <w:bookmarkStart w:id="268" w:name="_Toc483"/>
      <w:bookmarkStart w:id="269" w:name="_Toc16383"/>
      <w:bookmarkStart w:id="270" w:name="_Toc4345"/>
      <w:r>
        <w:rPr>
          <w:rFonts w:hint="eastAsia" w:ascii="黑体" w:hAnsi="黑体" w:eastAsia="黑体" w:cs="黑体"/>
          <w:b w:val="0"/>
          <w:bCs w:val="0"/>
          <w:sz w:val="28"/>
          <w:szCs w:val="28"/>
        </w:rPr>
        <w:t>（二）区域推进</w:t>
      </w:r>
      <w:bookmarkEnd w:id="264"/>
      <w:bookmarkEnd w:id="265"/>
      <w:bookmarkEnd w:id="266"/>
      <w:bookmarkEnd w:id="267"/>
      <w:bookmarkEnd w:id="268"/>
      <w:bookmarkEnd w:id="269"/>
      <w:bookmarkEnd w:id="270"/>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区域推进，以县为主。摸清家底，合理配置域内资源，建设好技术环境，组建好运行团队，加强对学校开展“三个课堂”建设与应用的经费投入，为学校设备采购、购买服务、资源配置、教师培训、教学应用、考核激励等提供经费支持，保证经费的合理使用。挖掘典型应用案例，提炼形成典型应用模式，并在域内推广。抓好推进机制的建立与完善，包括统一指挥的管理队伍，常态化的运行维护机制、标准化的技术环境建设机制、科学化的资源供给与配置机制和多样化的奖惩激励机制等。</w:t>
      </w:r>
    </w:p>
    <w:p>
      <w:pPr>
        <w:pStyle w:val="4"/>
        <w:spacing w:before="0" w:after="0" w:line="360" w:lineRule="auto"/>
        <w:ind w:firstLine="560" w:firstLineChars="200"/>
        <w:jc w:val="both"/>
        <w:rPr>
          <w:rFonts w:ascii="黑体" w:hAnsi="黑体" w:eastAsia="黑体" w:cs="黑体"/>
          <w:b w:val="0"/>
          <w:bCs w:val="0"/>
          <w:sz w:val="28"/>
          <w:szCs w:val="28"/>
        </w:rPr>
      </w:pPr>
      <w:bookmarkStart w:id="271" w:name="_Toc22663"/>
      <w:bookmarkStart w:id="272" w:name="_Toc11822"/>
      <w:bookmarkStart w:id="273" w:name="_Toc141707796"/>
      <w:bookmarkStart w:id="274" w:name="_Toc31841"/>
      <w:bookmarkStart w:id="275" w:name="_Toc17528"/>
      <w:bookmarkStart w:id="276" w:name="_Toc27423"/>
      <w:bookmarkStart w:id="277" w:name="_Toc24414"/>
      <w:r>
        <w:rPr>
          <w:rFonts w:hint="eastAsia" w:ascii="黑体" w:hAnsi="黑体" w:eastAsia="黑体" w:cs="黑体"/>
          <w:b w:val="0"/>
          <w:bCs w:val="0"/>
          <w:sz w:val="28"/>
          <w:szCs w:val="28"/>
        </w:rPr>
        <w:t>（三）学校应用</w:t>
      </w:r>
      <w:bookmarkEnd w:id="271"/>
      <w:bookmarkEnd w:id="272"/>
      <w:bookmarkEnd w:id="273"/>
      <w:bookmarkEnd w:id="274"/>
      <w:bookmarkEnd w:id="275"/>
      <w:bookmarkEnd w:id="276"/>
      <w:bookmarkEnd w:id="277"/>
    </w:p>
    <w:p>
      <w:pPr>
        <w:spacing w:after="0" w:line="360" w:lineRule="auto"/>
        <w:ind w:firstLine="560" w:firstLineChars="200"/>
        <w:jc w:val="both"/>
        <w:rPr>
          <w:rFonts w:ascii="仿宋" w:hAnsi="仿宋" w:eastAsia="仿宋"/>
          <w:sz w:val="28"/>
          <w:szCs w:val="28"/>
        </w:rPr>
      </w:pPr>
      <w:r>
        <w:rPr>
          <w:rFonts w:hint="eastAsia" w:ascii="仿宋" w:hAnsi="仿宋" w:eastAsia="仿宋"/>
          <w:sz w:val="28"/>
          <w:szCs w:val="28"/>
        </w:rPr>
        <w:t>学校是在线互动教室应用的主阵地，学科是在线互动教室应用的主战场。学校要组建一支精干、多学科、包含中青年教师的教师队伍，针对在线互动教室的应用开展常态化的培训。根据学科教学、教师发展和学校管理的实际需求开展在线互动教室的常态化应用，形成特色。持续拓展在线互动教室的应用场景，不断创新应用模式和推进机制。</w:t>
      </w:r>
      <w:bookmarkEnd w:id="0"/>
    </w:p>
    <w:sectPr>
      <w:footerReference r:id="rId6" w:type="default"/>
      <w:pgSz w:w="11906" w:h="16838"/>
      <w:pgMar w:top="1440" w:right="1800" w:bottom="1440" w:left="1800"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书宋_GBK">
    <w:panose1 w:val="02000000000000000000"/>
    <w:charset w:val="86"/>
    <w:family w:val="auto"/>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___WRD_EMBED_SUB_45">
    <w:altName w:val="汉仪新人文宋简"/>
    <w:panose1 w:val="00000000000000000000"/>
    <w:charset w:val="86"/>
    <w:family w:val="auto"/>
    <w:pitch w:val="default"/>
    <w:sig w:usb0="00000000" w:usb1="00000000" w:usb2="00082016" w:usb3="00000000" w:csb0="00040001" w:csb1="00000000"/>
  </w:font>
  <w:font w:name="汉仪新人文宋简">
    <w:panose1 w:val="00020600040101010101"/>
    <w:charset w:val="86"/>
    <w:family w:val="auto"/>
    <w:pitch w:val="default"/>
    <w:sig w:usb0="A00002BF" w:usb1="1ACF7CFA" w:usb2="00000016" w:usb3="00000000" w:csb0="0004009F" w:csb1="DFD70000"/>
  </w:font>
  <w:font w:name="方正小标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Book Antiqua">
    <w:panose1 w:val="02040602050305030304"/>
    <w:charset w:val="00"/>
    <w:family w:val="auto"/>
    <w:pitch w:val="default"/>
    <w:sig w:usb0="00000287" w:usb1="00000000" w:usb2="00000000" w:usb3="00000000" w:csb0="2000009F" w:csb1="DFD70000"/>
  </w:font>
  <w:font w:name="Noto Sans CJK HK">
    <w:panose1 w:val="020B0500000000000000"/>
    <w:charset w:val="88"/>
    <w:family w:val="auto"/>
    <w:pitch w:val="default"/>
    <w:sig w:usb0="30000083" w:usb1="2BDF3C10" w:usb2="00000016" w:usb3="00000000" w:csb0="603A0107" w:csb1="0000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adjustRightInd w:val="0"/>
      <w:spacing w:after="0" w:line="240" w:lineRule="auto"/>
      <w:jc w:val="center"/>
      <w:rPr>
        <w:rFonts w:ascii="Times New Roman" w:hAnsi="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adjustRightInd w:val="0"/>
      <w:spacing w:after="0" w:line="240" w:lineRule="auto"/>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PAGE   \* MERGEFORMAT</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76" w:lineRule="auto"/>
      </w:pPr>
      <w:r>
        <w:separator/>
      </w:r>
    </w:p>
  </w:footnote>
  <w:footnote w:type="continuationSeparator" w:id="3">
    <w:p>
      <w:pPr>
        <w:spacing w:before="0" w:after="0" w:line="276" w:lineRule="auto"/>
      </w:pPr>
      <w:r>
        <w:continuationSeparator/>
      </w:r>
    </w:p>
  </w:footnote>
  <w:footnote w:id="0">
    <w:p>
      <w:pPr>
        <w:pStyle w:val="15"/>
        <w:rPr>
          <w:rFonts w:ascii="Times New Roman" w:hAnsi="Times New Roman"/>
          <w:sz w:val="21"/>
          <w:szCs w:val="21"/>
        </w:rPr>
      </w:pPr>
      <w:r>
        <w:rPr>
          <w:rFonts w:ascii="Times New Roman" w:hAnsi="Times New Roman"/>
          <w:sz w:val="21"/>
          <w:szCs w:val="21"/>
        </w:rPr>
        <w:t>[</w:t>
      </w:r>
      <w:r>
        <w:rPr>
          <w:rStyle w:val="24"/>
          <w:rFonts w:ascii="Times New Roman" w:hAnsi="Times New Roman"/>
          <w:sz w:val="21"/>
          <w:szCs w:val="21"/>
          <w:vertAlign w:val="baseline"/>
        </w:rPr>
        <w:footnoteRef/>
      </w:r>
      <w:r>
        <w:rPr>
          <w:rFonts w:ascii="Times New Roman" w:hAnsi="Times New Roman"/>
          <w:sz w:val="21"/>
          <w:szCs w:val="21"/>
        </w:rPr>
        <w:t xml:space="preserve">] </w:t>
      </w:r>
      <w:r>
        <w:rPr>
          <w:rFonts w:hint="eastAsia" w:ascii="Times New Roman" w:hAnsi="Times New Roman"/>
          <w:sz w:val="21"/>
          <w:szCs w:val="21"/>
        </w:rPr>
        <w:t>参考《信息化教学环境视听技术规范》</w:t>
      </w:r>
      <w:r>
        <w:rPr>
          <w:rFonts w:ascii="Times New Roman" w:hAnsi="Times New Roman"/>
          <w:sz w:val="21"/>
          <w:szCs w:val="21"/>
        </w:rPr>
        <w:t>T/CAET 001—2022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E20B22"/>
    <w:multiLevelType w:val="singleLevel"/>
    <w:tmpl w:val="DCE20B22"/>
    <w:lvl w:ilvl="0" w:tentative="0">
      <w:start w:val="1"/>
      <w:numFmt w:val="decimal"/>
      <w:suff w:val="nothing"/>
      <w:lvlText w:val="（%1）"/>
      <w:lvlJc w:val="left"/>
    </w:lvl>
  </w:abstractNum>
  <w:abstractNum w:abstractNumId="1">
    <w:nsid w:val="520C56D9"/>
    <w:multiLevelType w:val="multilevel"/>
    <w:tmpl w:val="520C56D9"/>
    <w:lvl w:ilvl="0" w:tentative="0">
      <w:start w:val="1"/>
      <w:numFmt w:val="decimal"/>
      <w:lvlText w:val="（%1）"/>
      <w:lvlJc w:val="left"/>
      <w:pPr>
        <w:ind w:left="1132" w:hanging="440"/>
      </w:pPr>
      <w:rPr>
        <w:rFonts w:hint="eastAsia"/>
      </w:rPr>
    </w:lvl>
    <w:lvl w:ilvl="1" w:tentative="0">
      <w:start w:val="1"/>
      <w:numFmt w:val="lowerLetter"/>
      <w:lvlText w:val="%2)"/>
      <w:lvlJc w:val="left"/>
      <w:pPr>
        <w:ind w:left="1572" w:hanging="440"/>
      </w:pPr>
    </w:lvl>
    <w:lvl w:ilvl="2" w:tentative="0">
      <w:start w:val="1"/>
      <w:numFmt w:val="lowerRoman"/>
      <w:lvlText w:val="%3."/>
      <w:lvlJc w:val="right"/>
      <w:pPr>
        <w:ind w:left="2012" w:hanging="440"/>
      </w:pPr>
    </w:lvl>
    <w:lvl w:ilvl="3" w:tentative="0">
      <w:start w:val="1"/>
      <w:numFmt w:val="decimal"/>
      <w:lvlText w:val="%4."/>
      <w:lvlJc w:val="left"/>
      <w:pPr>
        <w:ind w:left="2452" w:hanging="440"/>
      </w:pPr>
    </w:lvl>
    <w:lvl w:ilvl="4" w:tentative="0">
      <w:start w:val="1"/>
      <w:numFmt w:val="lowerLetter"/>
      <w:lvlText w:val="%5)"/>
      <w:lvlJc w:val="left"/>
      <w:pPr>
        <w:ind w:left="2892" w:hanging="440"/>
      </w:pPr>
    </w:lvl>
    <w:lvl w:ilvl="5" w:tentative="0">
      <w:start w:val="1"/>
      <w:numFmt w:val="lowerRoman"/>
      <w:lvlText w:val="%6."/>
      <w:lvlJc w:val="right"/>
      <w:pPr>
        <w:ind w:left="3332" w:hanging="440"/>
      </w:pPr>
    </w:lvl>
    <w:lvl w:ilvl="6" w:tentative="0">
      <w:start w:val="1"/>
      <w:numFmt w:val="decimal"/>
      <w:lvlText w:val="%7."/>
      <w:lvlJc w:val="left"/>
      <w:pPr>
        <w:ind w:left="3772" w:hanging="440"/>
      </w:pPr>
    </w:lvl>
    <w:lvl w:ilvl="7" w:tentative="0">
      <w:start w:val="1"/>
      <w:numFmt w:val="lowerLetter"/>
      <w:lvlText w:val="%8)"/>
      <w:lvlJc w:val="left"/>
      <w:pPr>
        <w:ind w:left="4212" w:hanging="440"/>
      </w:pPr>
    </w:lvl>
    <w:lvl w:ilvl="8" w:tentative="0">
      <w:start w:val="1"/>
      <w:numFmt w:val="lowerRoman"/>
      <w:lvlText w:val="%9."/>
      <w:lvlJc w:val="right"/>
      <w:pPr>
        <w:ind w:left="4652" w:hanging="440"/>
      </w:pPr>
    </w:lvl>
  </w:abstractNum>
  <w:abstractNum w:abstractNumId="2">
    <w:nsid w:val="6A8F4B70"/>
    <w:multiLevelType w:val="multilevel"/>
    <w:tmpl w:val="6A8F4B70"/>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JmODc0ZGQ4ZDExZTc5ZDg4YTU4NTMwMTNmMWYzMGEifQ=="/>
  </w:docVars>
  <w:rsids>
    <w:rsidRoot w:val="009003C9"/>
    <w:rsid w:val="000005DE"/>
    <w:rsid w:val="00012DC3"/>
    <w:rsid w:val="00012DD4"/>
    <w:rsid w:val="00020C76"/>
    <w:rsid w:val="0002189B"/>
    <w:rsid w:val="00035659"/>
    <w:rsid w:val="00042253"/>
    <w:rsid w:val="0005336D"/>
    <w:rsid w:val="000535F7"/>
    <w:rsid w:val="00054B7F"/>
    <w:rsid w:val="00061355"/>
    <w:rsid w:val="00071B2A"/>
    <w:rsid w:val="00081EE1"/>
    <w:rsid w:val="00084DA1"/>
    <w:rsid w:val="00085E6C"/>
    <w:rsid w:val="0009516E"/>
    <w:rsid w:val="000967AD"/>
    <w:rsid w:val="000A64CA"/>
    <w:rsid w:val="000B7378"/>
    <w:rsid w:val="000B7CE5"/>
    <w:rsid w:val="000C0451"/>
    <w:rsid w:val="000C078A"/>
    <w:rsid w:val="000C5A8F"/>
    <w:rsid w:val="000C6334"/>
    <w:rsid w:val="000D05AE"/>
    <w:rsid w:val="000D3C94"/>
    <w:rsid w:val="000D3EE8"/>
    <w:rsid w:val="000D7223"/>
    <w:rsid w:val="000E49A0"/>
    <w:rsid w:val="00113C46"/>
    <w:rsid w:val="0012314E"/>
    <w:rsid w:val="00127278"/>
    <w:rsid w:val="00127A61"/>
    <w:rsid w:val="00130BF0"/>
    <w:rsid w:val="00131949"/>
    <w:rsid w:val="0013426E"/>
    <w:rsid w:val="0014366D"/>
    <w:rsid w:val="001457E4"/>
    <w:rsid w:val="0015184E"/>
    <w:rsid w:val="00153771"/>
    <w:rsid w:val="0015605A"/>
    <w:rsid w:val="00164E02"/>
    <w:rsid w:val="0016767D"/>
    <w:rsid w:val="00172666"/>
    <w:rsid w:val="00173F77"/>
    <w:rsid w:val="00175D9E"/>
    <w:rsid w:val="001769E1"/>
    <w:rsid w:val="0019160B"/>
    <w:rsid w:val="001938C8"/>
    <w:rsid w:val="001A1BC9"/>
    <w:rsid w:val="001A250D"/>
    <w:rsid w:val="001A48A3"/>
    <w:rsid w:val="001A6C72"/>
    <w:rsid w:val="001B4495"/>
    <w:rsid w:val="001B7713"/>
    <w:rsid w:val="001C29CB"/>
    <w:rsid w:val="001C4DAD"/>
    <w:rsid w:val="001C7898"/>
    <w:rsid w:val="001E2BA9"/>
    <w:rsid w:val="00203B63"/>
    <w:rsid w:val="00206482"/>
    <w:rsid w:val="00206755"/>
    <w:rsid w:val="00215C73"/>
    <w:rsid w:val="0021777E"/>
    <w:rsid w:val="00222C12"/>
    <w:rsid w:val="00227BE3"/>
    <w:rsid w:val="00236F2D"/>
    <w:rsid w:val="00237504"/>
    <w:rsid w:val="00242173"/>
    <w:rsid w:val="002440E9"/>
    <w:rsid w:val="00244919"/>
    <w:rsid w:val="00245F2A"/>
    <w:rsid w:val="00246772"/>
    <w:rsid w:val="00246D40"/>
    <w:rsid w:val="00251BE0"/>
    <w:rsid w:val="00262326"/>
    <w:rsid w:val="00265EA9"/>
    <w:rsid w:val="00272F88"/>
    <w:rsid w:val="00274CAD"/>
    <w:rsid w:val="002A2A8D"/>
    <w:rsid w:val="002B7F51"/>
    <w:rsid w:val="002C1FE3"/>
    <w:rsid w:val="002E7E60"/>
    <w:rsid w:val="002F2C0B"/>
    <w:rsid w:val="002F73C1"/>
    <w:rsid w:val="00305C9D"/>
    <w:rsid w:val="00314E23"/>
    <w:rsid w:val="00323BA2"/>
    <w:rsid w:val="00330E1B"/>
    <w:rsid w:val="00334496"/>
    <w:rsid w:val="0033505A"/>
    <w:rsid w:val="003517D7"/>
    <w:rsid w:val="003563A2"/>
    <w:rsid w:val="00356D94"/>
    <w:rsid w:val="00357457"/>
    <w:rsid w:val="003631AA"/>
    <w:rsid w:val="00364592"/>
    <w:rsid w:val="003659FB"/>
    <w:rsid w:val="00373437"/>
    <w:rsid w:val="0038036C"/>
    <w:rsid w:val="00386277"/>
    <w:rsid w:val="00391688"/>
    <w:rsid w:val="00394309"/>
    <w:rsid w:val="003946B7"/>
    <w:rsid w:val="00395F22"/>
    <w:rsid w:val="00396B76"/>
    <w:rsid w:val="003A51D6"/>
    <w:rsid w:val="003A7A58"/>
    <w:rsid w:val="003A7E40"/>
    <w:rsid w:val="003C331F"/>
    <w:rsid w:val="003C591F"/>
    <w:rsid w:val="003C674A"/>
    <w:rsid w:val="003D21A2"/>
    <w:rsid w:val="003D5157"/>
    <w:rsid w:val="003E2864"/>
    <w:rsid w:val="003E60BA"/>
    <w:rsid w:val="003E7FEE"/>
    <w:rsid w:val="003F46D8"/>
    <w:rsid w:val="003F477B"/>
    <w:rsid w:val="003F5898"/>
    <w:rsid w:val="003F6299"/>
    <w:rsid w:val="004024AC"/>
    <w:rsid w:val="004151E4"/>
    <w:rsid w:val="00421CC5"/>
    <w:rsid w:val="00430F20"/>
    <w:rsid w:val="00440F80"/>
    <w:rsid w:val="00446074"/>
    <w:rsid w:val="00446A54"/>
    <w:rsid w:val="00473199"/>
    <w:rsid w:val="00475F24"/>
    <w:rsid w:val="0048160D"/>
    <w:rsid w:val="004A525B"/>
    <w:rsid w:val="004A54BB"/>
    <w:rsid w:val="004B56B9"/>
    <w:rsid w:val="004B59E9"/>
    <w:rsid w:val="004C1092"/>
    <w:rsid w:val="004C2183"/>
    <w:rsid w:val="004C24BA"/>
    <w:rsid w:val="004C501A"/>
    <w:rsid w:val="004C6F48"/>
    <w:rsid w:val="004C7E43"/>
    <w:rsid w:val="004E2E6E"/>
    <w:rsid w:val="004F376D"/>
    <w:rsid w:val="004F3912"/>
    <w:rsid w:val="004F5AE9"/>
    <w:rsid w:val="00500CC2"/>
    <w:rsid w:val="00504F6D"/>
    <w:rsid w:val="005052C5"/>
    <w:rsid w:val="005072FD"/>
    <w:rsid w:val="00517CB7"/>
    <w:rsid w:val="005270C4"/>
    <w:rsid w:val="0053166B"/>
    <w:rsid w:val="005320A9"/>
    <w:rsid w:val="00536E03"/>
    <w:rsid w:val="00540F50"/>
    <w:rsid w:val="00542792"/>
    <w:rsid w:val="005476B1"/>
    <w:rsid w:val="005476B3"/>
    <w:rsid w:val="00550556"/>
    <w:rsid w:val="00554E47"/>
    <w:rsid w:val="00561748"/>
    <w:rsid w:val="005758E9"/>
    <w:rsid w:val="005770BB"/>
    <w:rsid w:val="005837C4"/>
    <w:rsid w:val="00583959"/>
    <w:rsid w:val="00584E05"/>
    <w:rsid w:val="00586758"/>
    <w:rsid w:val="00590ECD"/>
    <w:rsid w:val="00592F1C"/>
    <w:rsid w:val="00597DFA"/>
    <w:rsid w:val="005B29C7"/>
    <w:rsid w:val="005B3391"/>
    <w:rsid w:val="005B5BCB"/>
    <w:rsid w:val="005C6895"/>
    <w:rsid w:val="005C7941"/>
    <w:rsid w:val="005D15F2"/>
    <w:rsid w:val="005D2B2E"/>
    <w:rsid w:val="005E0A06"/>
    <w:rsid w:val="005E1B4B"/>
    <w:rsid w:val="005F7C2C"/>
    <w:rsid w:val="00600B9C"/>
    <w:rsid w:val="00604BC3"/>
    <w:rsid w:val="00610EDC"/>
    <w:rsid w:val="00611B5A"/>
    <w:rsid w:val="00612819"/>
    <w:rsid w:val="006144BC"/>
    <w:rsid w:val="00615BA3"/>
    <w:rsid w:val="00625BB9"/>
    <w:rsid w:val="0062744D"/>
    <w:rsid w:val="0063212D"/>
    <w:rsid w:val="0063635C"/>
    <w:rsid w:val="0064046B"/>
    <w:rsid w:val="0064285B"/>
    <w:rsid w:val="00644CA2"/>
    <w:rsid w:val="006503B1"/>
    <w:rsid w:val="00671F1F"/>
    <w:rsid w:val="006738C9"/>
    <w:rsid w:val="0067473D"/>
    <w:rsid w:val="00682E79"/>
    <w:rsid w:val="00691A1B"/>
    <w:rsid w:val="0069495B"/>
    <w:rsid w:val="0069658A"/>
    <w:rsid w:val="00697ED5"/>
    <w:rsid w:val="006A2126"/>
    <w:rsid w:val="006A7114"/>
    <w:rsid w:val="006B067F"/>
    <w:rsid w:val="006B0942"/>
    <w:rsid w:val="006B2F5C"/>
    <w:rsid w:val="006D6088"/>
    <w:rsid w:val="006E2C7A"/>
    <w:rsid w:val="006F1105"/>
    <w:rsid w:val="006F1D48"/>
    <w:rsid w:val="006F42C9"/>
    <w:rsid w:val="00732706"/>
    <w:rsid w:val="00732A66"/>
    <w:rsid w:val="00733A5C"/>
    <w:rsid w:val="007406DC"/>
    <w:rsid w:val="00760A1E"/>
    <w:rsid w:val="007611FB"/>
    <w:rsid w:val="00762DF6"/>
    <w:rsid w:val="00766D81"/>
    <w:rsid w:val="00770200"/>
    <w:rsid w:val="00772414"/>
    <w:rsid w:val="00774AD5"/>
    <w:rsid w:val="007757E7"/>
    <w:rsid w:val="00781155"/>
    <w:rsid w:val="007822D1"/>
    <w:rsid w:val="00784319"/>
    <w:rsid w:val="00786EF7"/>
    <w:rsid w:val="00793F31"/>
    <w:rsid w:val="00796308"/>
    <w:rsid w:val="00796EDE"/>
    <w:rsid w:val="00797DB7"/>
    <w:rsid w:val="007A3055"/>
    <w:rsid w:val="007A695D"/>
    <w:rsid w:val="007B17CE"/>
    <w:rsid w:val="007C0183"/>
    <w:rsid w:val="007C6783"/>
    <w:rsid w:val="007E34D3"/>
    <w:rsid w:val="007E3EFC"/>
    <w:rsid w:val="007F0271"/>
    <w:rsid w:val="007F0604"/>
    <w:rsid w:val="0080474A"/>
    <w:rsid w:val="0080558B"/>
    <w:rsid w:val="008154BD"/>
    <w:rsid w:val="0081593F"/>
    <w:rsid w:val="0083177B"/>
    <w:rsid w:val="008320E9"/>
    <w:rsid w:val="00832745"/>
    <w:rsid w:val="00860083"/>
    <w:rsid w:val="008622C1"/>
    <w:rsid w:val="008636A6"/>
    <w:rsid w:val="00873F2E"/>
    <w:rsid w:val="00875B95"/>
    <w:rsid w:val="00875F9E"/>
    <w:rsid w:val="00876DEE"/>
    <w:rsid w:val="00880355"/>
    <w:rsid w:val="008907B5"/>
    <w:rsid w:val="00890D41"/>
    <w:rsid w:val="008930E6"/>
    <w:rsid w:val="00894E00"/>
    <w:rsid w:val="008A68AA"/>
    <w:rsid w:val="008A6BB5"/>
    <w:rsid w:val="008A7770"/>
    <w:rsid w:val="008C0FC2"/>
    <w:rsid w:val="008C57E7"/>
    <w:rsid w:val="008D312B"/>
    <w:rsid w:val="008E6076"/>
    <w:rsid w:val="008E73E1"/>
    <w:rsid w:val="008F7C9A"/>
    <w:rsid w:val="009003C9"/>
    <w:rsid w:val="00903288"/>
    <w:rsid w:val="00905B6B"/>
    <w:rsid w:val="009113EF"/>
    <w:rsid w:val="009248D2"/>
    <w:rsid w:val="00934719"/>
    <w:rsid w:val="00936882"/>
    <w:rsid w:val="00940EFC"/>
    <w:rsid w:val="00954B21"/>
    <w:rsid w:val="00957D06"/>
    <w:rsid w:val="00971B89"/>
    <w:rsid w:val="00974F11"/>
    <w:rsid w:val="009759C6"/>
    <w:rsid w:val="00976B7A"/>
    <w:rsid w:val="00990BFB"/>
    <w:rsid w:val="00992DE9"/>
    <w:rsid w:val="009A1DF1"/>
    <w:rsid w:val="009B0CBB"/>
    <w:rsid w:val="009C2D4B"/>
    <w:rsid w:val="009C4492"/>
    <w:rsid w:val="009C5720"/>
    <w:rsid w:val="009D0C32"/>
    <w:rsid w:val="009F0B08"/>
    <w:rsid w:val="00A037CB"/>
    <w:rsid w:val="00A041CB"/>
    <w:rsid w:val="00A30A19"/>
    <w:rsid w:val="00A32AC4"/>
    <w:rsid w:val="00A33649"/>
    <w:rsid w:val="00A37433"/>
    <w:rsid w:val="00A436CD"/>
    <w:rsid w:val="00A44634"/>
    <w:rsid w:val="00A51712"/>
    <w:rsid w:val="00A518CF"/>
    <w:rsid w:val="00A524CD"/>
    <w:rsid w:val="00A5790D"/>
    <w:rsid w:val="00A676B8"/>
    <w:rsid w:val="00A676D5"/>
    <w:rsid w:val="00A679C8"/>
    <w:rsid w:val="00A77628"/>
    <w:rsid w:val="00A860A0"/>
    <w:rsid w:val="00A972A4"/>
    <w:rsid w:val="00AA4AA7"/>
    <w:rsid w:val="00AB2DF4"/>
    <w:rsid w:val="00AB744F"/>
    <w:rsid w:val="00AC100E"/>
    <w:rsid w:val="00AC1069"/>
    <w:rsid w:val="00AC2ADB"/>
    <w:rsid w:val="00AD4BC9"/>
    <w:rsid w:val="00AD66A9"/>
    <w:rsid w:val="00AE49ED"/>
    <w:rsid w:val="00AF65E1"/>
    <w:rsid w:val="00B02A22"/>
    <w:rsid w:val="00B119D2"/>
    <w:rsid w:val="00B146BA"/>
    <w:rsid w:val="00B21950"/>
    <w:rsid w:val="00B22324"/>
    <w:rsid w:val="00B23F30"/>
    <w:rsid w:val="00B2490F"/>
    <w:rsid w:val="00B31A77"/>
    <w:rsid w:val="00B344E0"/>
    <w:rsid w:val="00B41FE6"/>
    <w:rsid w:val="00B434C9"/>
    <w:rsid w:val="00B43890"/>
    <w:rsid w:val="00B5785D"/>
    <w:rsid w:val="00B607C8"/>
    <w:rsid w:val="00B60F6C"/>
    <w:rsid w:val="00B64E48"/>
    <w:rsid w:val="00B674B2"/>
    <w:rsid w:val="00B72D76"/>
    <w:rsid w:val="00B72E88"/>
    <w:rsid w:val="00B77BB2"/>
    <w:rsid w:val="00B77DBE"/>
    <w:rsid w:val="00B808A7"/>
    <w:rsid w:val="00B8669A"/>
    <w:rsid w:val="00B90A29"/>
    <w:rsid w:val="00B975FD"/>
    <w:rsid w:val="00BA51C8"/>
    <w:rsid w:val="00BA5BD9"/>
    <w:rsid w:val="00BC63F4"/>
    <w:rsid w:val="00BD1EBA"/>
    <w:rsid w:val="00BE0C41"/>
    <w:rsid w:val="00BE15F5"/>
    <w:rsid w:val="00BE16BA"/>
    <w:rsid w:val="00BE3D00"/>
    <w:rsid w:val="00BF1FEB"/>
    <w:rsid w:val="00C01535"/>
    <w:rsid w:val="00C046F5"/>
    <w:rsid w:val="00C04ACB"/>
    <w:rsid w:val="00C078EB"/>
    <w:rsid w:val="00C07C59"/>
    <w:rsid w:val="00C07E61"/>
    <w:rsid w:val="00C115B4"/>
    <w:rsid w:val="00C16342"/>
    <w:rsid w:val="00C20851"/>
    <w:rsid w:val="00C21338"/>
    <w:rsid w:val="00C2687F"/>
    <w:rsid w:val="00C30A4E"/>
    <w:rsid w:val="00C33FDC"/>
    <w:rsid w:val="00C348E6"/>
    <w:rsid w:val="00C35395"/>
    <w:rsid w:val="00C3688B"/>
    <w:rsid w:val="00C475E4"/>
    <w:rsid w:val="00C53B93"/>
    <w:rsid w:val="00C63FAB"/>
    <w:rsid w:val="00C65D00"/>
    <w:rsid w:val="00C7430D"/>
    <w:rsid w:val="00C74C0F"/>
    <w:rsid w:val="00C75F23"/>
    <w:rsid w:val="00C83071"/>
    <w:rsid w:val="00C8406D"/>
    <w:rsid w:val="00C90B03"/>
    <w:rsid w:val="00C91F26"/>
    <w:rsid w:val="00C95350"/>
    <w:rsid w:val="00CA2235"/>
    <w:rsid w:val="00CA497E"/>
    <w:rsid w:val="00CA61EC"/>
    <w:rsid w:val="00CA6DB8"/>
    <w:rsid w:val="00CC3852"/>
    <w:rsid w:val="00CD2695"/>
    <w:rsid w:val="00CD47D7"/>
    <w:rsid w:val="00CD6396"/>
    <w:rsid w:val="00CF39B8"/>
    <w:rsid w:val="00CF719F"/>
    <w:rsid w:val="00D0090C"/>
    <w:rsid w:val="00D214BE"/>
    <w:rsid w:val="00D217F2"/>
    <w:rsid w:val="00D36FFD"/>
    <w:rsid w:val="00D43725"/>
    <w:rsid w:val="00D45DE1"/>
    <w:rsid w:val="00D54872"/>
    <w:rsid w:val="00D56A6F"/>
    <w:rsid w:val="00D65F61"/>
    <w:rsid w:val="00D713DD"/>
    <w:rsid w:val="00D75B60"/>
    <w:rsid w:val="00D801AF"/>
    <w:rsid w:val="00DA2F91"/>
    <w:rsid w:val="00DA4E20"/>
    <w:rsid w:val="00DB46DA"/>
    <w:rsid w:val="00DB71AA"/>
    <w:rsid w:val="00DB72C3"/>
    <w:rsid w:val="00DD1B20"/>
    <w:rsid w:val="00DD4901"/>
    <w:rsid w:val="00DD51CE"/>
    <w:rsid w:val="00DD63CB"/>
    <w:rsid w:val="00DE6121"/>
    <w:rsid w:val="00DF1B15"/>
    <w:rsid w:val="00DF2BE9"/>
    <w:rsid w:val="00DF6E1F"/>
    <w:rsid w:val="00E13F56"/>
    <w:rsid w:val="00E1738E"/>
    <w:rsid w:val="00E2215C"/>
    <w:rsid w:val="00E2551C"/>
    <w:rsid w:val="00E25DF8"/>
    <w:rsid w:val="00E32CA2"/>
    <w:rsid w:val="00E33845"/>
    <w:rsid w:val="00E3493D"/>
    <w:rsid w:val="00E34C42"/>
    <w:rsid w:val="00E451BB"/>
    <w:rsid w:val="00E7370C"/>
    <w:rsid w:val="00E871FD"/>
    <w:rsid w:val="00E9102B"/>
    <w:rsid w:val="00E95D70"/>
    <w:rsid w:val="00EA6213"/>
    <w:rsid w:val="00EB0C7E"/>
    <w:rsid w:val="00EB264F"/>
    <w:rsid w:val="00ED47ED"/>
    <w:rsid w:val="00EF2652"/>
    <w:rsid w:val="00F02DBE"/>
    <w:rsid w:val="00F03083"/>
    <w:rsid w:val="00F12C19"/>
    <w:rsid w:val="00F147C9"/>
    <w:rsid w:val="00F21AF0"/>
    <w:rsid w:val="00F23289"/>
    <w:rsid w:val="00F27FC1"/>
    <w:rsid w:val="00F33B5C"/>
    <w:rsid w:val="00F40B52"/>
    <w:rsid w:val="00F42393"/>
    <w:rsid w:val="00F428B8"/>
    <w:rsid w:val="00F44738"/>
    <w:rsid w:val="00F4497A"/>
    <w:rsid w:val="00F51FDB"/>
    <w:rsid w:val="00F536FE"/>
    <w:rsid w:val="00F544ED"/>
    <w:rsid w:val="00F60DB3"/>
    <w:rsid w:val="00F623CD"/>
    <w:rsid w:val="00F735D1"/>
    <w:rsid w:val="00F73EF7"/>
    <w:rsid w:val="00F826C4"/>
    <w:rsid w:val="00F83AA9"/>
    <w:rsid w:val="00F855EB"/>
    <w:rsid w:val="00FA3553"/>
    <w:rsid w:val="00FA784D"/>
    <w:rsid w:val="00FB23FF"/>
    <w:rsid w:val="00FC2F2B"/>
    <w:rsid w:val="00FC3FB1"/>
    <w:rsid w:val="00FC4DF4"/>
    <w:rsid w:val="00FD1E94"/>
    <w:rsid w:val="00FF1E26"/>
    <w:rsid w:val="00FF5714"/>
    <w:rsid w:val="00FF6182"/>
    <w:rsid w:val="022446D0"/>
    <w:rsid w:val="04245B63"/>
    <w:rsid w:val="049A44C6"/>
    <w:rsid w:val="07CF04CB"/>
    <w:rsid w:val="091F07FB"/>
    <w:rsid w:val="0C731263"/>
    <w:rsid w:val="0DC83A03"/>
    <w:rsid w:val="11884E77"/>
    <w:rsid w:val="14504FD2"/>
    <w:rsid w:val="15A42123"/>
    <w:rsid w:val="1A6E40D3"/>
    <w:rsid w:val="1F896266"/>
    <w:rsid w:val="1FFFB7CE"/>
    <w:rsid w:val="22D57172"/>
    <w:rsid w:val="23CD42C7"/>
    <w:rsid w:val="28AE450C"/>
    <w:rsid w:val="2C7B293E"/>
    <w:rsid w:val="2E3F593B"/>
    <w:rsid w:val="32B031BB"/>
    <w:rsid w:val="32F95169"/>
    <w:rsid w:val="35335C58"/>
    <w:rsid w:val="36013940"/>
    <w:rsid w:val="368C2708"/>
    <w:rsid w:val="3BB36085"/>
    <w:rsid w:val="3CA75260"/>
    <w:rsid w:val="3E3E7100"/>
    <w:rsid w:val="427B0E5F"/>
    <w:rsid w:val="472F3283"/>
    <w:rsid w:val="5B636C3E"/>
    <w:rsid w:val="5CC3760C"/>
    <w:rsid w:val="6027402F"/>
    <w:rsid w:val="606E786B"/>
    <w:rsid w:val="60C00052"/>
    <w:rsid w:val="664D4C51"/>
    <w:rsid w:val="6F616041"/>
    <w:rsid w:val="78D7382E"/>
    <w:rsid w:val="796E36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ascii="Calibri" w:hAnsi="Calibri" w:eastAsia="宋体" w:cs="Times New Roman"/>
      <w:kern w:val="2"/>
      <w:sz w:val="22"/>
      <w:szCs w:val="22"/>
      <w:lang w:val="en-US" w:eastAsia="zh-CN" w:bidi="ar-SA"/>
    </w:rPr>
  </w:style>
  <w:style w:type="paragraph" w:styleId="3">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6"/>
    <w:qFormat/>
    <w:uiPriority w:val="9"/>
    <w:pPr>
      <w:keepNext/>
      <w:keepLines/>
      <w:spacing w:before="260" w:after="260" w:line="416" w:lineRule="auto"/>
      <w:outlineLvl w:val="1"/>
    </w:pPr>
    <w:rPr>
      <w:rFonts w:ascii="仿宋" w:hAnsi="仿宋" w:eastAsia="仿宋"/>
      <w:b/>
      <w:bCs/>
      <w:sz w:val="32"/>
      <w:szCs w:val="32"/>
    </w:rPr>
  </w:style>
  <w:style w:type="paragraph" w:styleId="5">
    <w:name w:val="heading 3"/>
    <w:basedOn w:val="1"/>
    <w:next w:val="1"/>
    <w:link w:val="27"/>
    <w:qFormat/>
    <w:uiPriority w:val="9"/>
    <w:pPr>
      <w:keepNext/>
      <w:keepLines/>
      <w:spacing w:before="260" w:after="260" w:line="416" w:lineRule="auto"/>
      <w:outlineLvl w:val="2"/>
    </w:pPr>
    <w:rPr>
      <w:b/>
      <w:bCs/>
      <w:sz w:val="32"/>
      <w:szCs w:val="32"/>
    </w:rPr>
  </w:style>
  <w:style w:type="paragraph" w:styleId="6">
    <w:name w:val="heading 4"/>
    <w:basedOn w:val="1"/>
    <w:next w:val="1"/>
    <w:link w:val="28"/>
    <w:qFormat/>
    <w:uiPriority w:val="9"/>
    <w:pPr>
      <w:keepNext/>
      <w:keepLines/>
      <w:spacing w:before="280" w:after="290" w:line="376" w:lineRule="auto"/>
      <w:outlineLvl w:val="3"/>
    </w:pPr>
    <w:rPr>
      <w:rFonts w:ascii="Calibri Light" w:hAnsi="Calibri Light"/>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3"/>
    <w:unhideWhenUsed/>
    <w:qFormat/>
    <w:uiPriority w:val="99"/>
    <w:pPr>
      <w:spacing w:after="120"/>
    </w:pPr>
  </w:style>
  <w:style w:type="paragraph" w:styleId="7">
    <w:name w:val="Normal Indent"/>
    <w:basedOn w:val="1"/>
    <w:link w:val="32"/>
    <w:unhideWhenUsed/>
    <w:qFormat/>
    <w:uiPriority w:val="0"/>
    <w:pPr>
      <w:widowControl w:val="0"/>
      <w:spacing w:after="0" w:line="300" w:lineRule="auto"/>
      <w:ind w:firstLine="200" w:firstLineChars="200"/>
      <w:jc w:val="both"/>
    </w:pPr>
    <w:rPr>
      <w:rFonts w:ascii="Times New Roman" w:hAnsi="Times New Roman" w:eastAsia="仿宋"/>
      <w:sz w:val="28"/>
      <w:szCs w:val="24"/>
    </w:rPr>
  </w:style>
  <w:style w:type="paragraph" w:styleId="8">
    <w:name w:val="caption"/>
    <w:basedOn w:val="1"/>
    <w:next w:val="1"/>
    <w:unhideWhenUsed/>
    <w:qFormat/>
    <w:uiPriority w:val="35"/>
    <w:pPr>
      <w:widowControl w:val="0"/>
      <w:adjustRightInd w:val="0"/>
      <w:snapToGrid w:val="0"/>
      <w:spacing w:after="0" w:line="360" w:lineRule="auto"/>
      <w:ind w:firstLine="200" w:firstLineChars="200"/>
      <w:jc w:val="both"/>
    </w:pPr>
    <w:rPr>
      <w:rFonts w:ascii="等线 Light" w:hAnsi="等线 Light" w:eastAsia="黑体"/>
      <w:sz w:val="20"/>
      <w:szCs w:val="20"/>
    </w:rPr>
  </w:style>
  <w:style w:type="paragraph" w:styleId="9">
    <w:name w:val="annotation text"/>
    <w:basedOn w:val="1"/>
    <w:link w:val="38"/>
    <w:unhideWhenUsed/>
    <w:qFormat/>
    <w:uiPriority w:val="99"/>
  </w:style>
  <w:style w:type="paragraph" w:styleId="10">
    <w:name w:val="toc 3"/>
    <w:basedOn w:val="1"/>
    <w:next w:val="1"/>
    <w:unhideWhenUsed/>
    <w:qFormat/>
    <w:uiPriority w:val="39"/>
    <w:rPr>
      <w:rFonts w:eastAsia="仿宋"/>
      <w:kern w:val="0"/>
      <w:sz w:val="28"/>
    </w:rPr>
  </w:style>
  <w:style w:type="paragraph" w:styleId="11">
    <w:name w:val="Balloon Text"/>
    <w:basedOn w:val="1"/>
    <w:link w:val="29"/>
    <w:unhideWhenUsed/>
    <w:qFormat/>
    <w:uiPriority w:val="99"/>
    <w:rPr>
      <w:rFonts w:asciiTheme="minorHAnsi" w:hAnsiTheme="minorHAnsi" w:eastAsiaTheme="minorEastAsia" w:cstheme="minorBidi"/>
      <w:sz w:val="18"/>
      <w:szCs w:val="18"/>
    </w:rPr>
  </w:style>
  <w:style w:type="paragraph" w:styleId="12">
    <w:name w:val="footer"/>
    <w:basedOn w:val="1"/>
    <w:link w:val="34"/>
    <w:unhideWhenUsed/>
    <w:qFormat/>
    <w:uiPriority w:val="0"/>
    <w:pPr>
      <w:tabs>
        <w:tab w:val="center" w:pos="4153"/>
        <w:tab w:val="right" w:pos="8306"/>
      </w:tabs>
      <w:snapToGrid w:val="0"/>
    </w:pPr>
    <w:rPr>
      <w:rFonts w:asciiTheme="minorHAnsi" w:hAnsiTheme="minorHAnsi" w:eastAsiaTheme="minorEastAsia" w:cstheme="minorBidi"/>
      <w:sz w:val="18"/>
      <w:szCs w:val="18"/>
    </w:rPr>
  </w:style>
  <w:style w:type="paragraph" w:styleId="13">
    <w:name w:val="header"/>
    <w:basedOn w:val="1"/>
    <w:link w:val="36"/>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4">
    <w:name w:val="toc 1"/>
    <w:basedOn w:val="1"/>
    <w:next w:val="1"/>
    <w:unhideWhenUsed/>
    <w:qFormat/>
    <w:uiPriority w:val="39"/>
    <w:pPr>
      <w:tabs>
        <w:tab w:val="right" w:leader="dot" w:pos="8296"/>
      </w:tabs>
      <w:jc w:val="center"/>
    </w:pPr>
    <w:rPr>
      <w:rFonts w:ascii="仿宋" w:hAnsi="仿宋" w:eastAsia="仿宋"/>
      <w:sz w:val="28"/>
    </w:rPr>
  </w:style>
  <w:style w:type="paragraph" w:styleId="15">
    <w:name w:val="footnote text"/>
    <w:basedOn w:val="1"/>
    <w:link w:val="54"/>
    <w:semiHidden/>
    <w:unhideWhenUsed/>
    <w:qFormat/>
    <w:uiPriority w:val="99"/>
    <w:pPr>
      <w:snapToGrid w:val="0"/>
    </w:pPr>
    <w:rPr>
      <w:sz w:val="18"/>
      <w:szCs w:val="18"/>
    </w:rPr>
  </w:style>
  <w:style w:type="paragraph" w:styleId="16">
    <w:name w:val="toc 2"/>
    <w:basedOn w:val="1"/>
    <w:next w:val="1"/>
    <w:unhideWhenUsed/>
    <w:qFormat/>
    <w:uiPriority w:val="39"/>
    <w:pPr>
      <w:ind w:left="420" w:leftChars="200"/>
    </w:pPr>
    <w:rPr>
      <w:rFonts w:eastAsia="仿宋"/>
      <w:sz w:val="28"/>
    </w:rPr>
  </w:style>
  <w:style w:type="paragraph" w:styleId="17">
    <w:name w:val="Normal (Web)"/>
    <w:basedOn w:val="1"/>
    <w:unhideWhenUsed/>
    <w:qFormat/>
    <w:uiPriority w:val="99"/>
    <w:pPr>
      <w:spacing w:before="100" w:beforeAutospacing="1" w:after="100" w:afterAutospacing="1" w:line="240" w:lineRule="auto"/>
    </w:pPr>
    <w:rPr>
      <w:rFonts w:ascii="Times New Roman" w:hAnsi="Times New Roman"/>
      <w:kern w:val="0"/>
      <w:sz w:val="24"/>
      <w:szCs w:val="24"/>
    </w:rPr>
  </w:style>
  <w:style w:type="paragraph" w:styleId="18">
    <w:name w:val="annotation subject"/>
    <w:basedOn w:val="9"/>
    <w:next w:val="9"/>
    <w:link w:val="33"/>
    <w:unhideWhenUsed/>
    <w:qFormat/>
    <w:uiPriority w:val="99"/>
    <w:rPr>
      <w:rFonts w:asciiTheme="minorHAnsi" w:hAnsiTheme="minorHAnsi" w:eastAsiaTheme="minorEastAsia" w:cstheme="minorBidi"/>
      <w:b/>
      <w:bCs/>
      <w:sz w:val="21"/>
      <w:szCs w:val="24"/>
    </w:rPr>
  </w:style>
  <w:style w:type="table" w:styleId="20">
    <w:name w:val="Table Grid"/>
    <w:basedOn w:val="19"/>
    <w:unhideWhenUsed/>
    <w:qFormat/>
    <w:uiPriority w:val="9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unhideWhenUsed/>
    <w:qFormat/>
    <w:uiPriority w:val="99"/>
    <w:rPr>
      <w:color w:val="0563C1"/>
      <w:u w:val="single"/>
    </w:rPr>
  </w:style>
  <w:style w:type="character" w:styleId="23">
    <w:name w:val="annotation reference"/>
    <w:unhideWhenUsed/>
    <w:qFormat/>
    <w:uiPriority w:val="99"/>
    <w:rPr>
      <w:sz w:val="21"/>
      <w:szCs w:val="21"/>
    </w:rPr>
  </w:style>
  <w:style w:type="character" w:styleId="24">
    <w:name w:val="footnote reference"/>
    <w:basedOn w:val="21"/>
    <w:semiHidden/>
    <w:unhideWhenUsed/>
    <w:qFormat/>
    <w:uiPriority w:val="99"/>
    <w:rPr>
      <w:vertAlign w:val="superscript"/>
    </w:rPr>
  </w:style>
  <w:style w:type="character" w:customStyle="1" w:styleId="25">
    <w:name w:val="标题 1 字符"/>
    <w:basedOn w:val="21"/>
    <w:link w:val="3"/>
    <w:qFormat/>
    <w:uiPriority w:val="9"/>
    <w:rPr>
      <w:rFonts w:ascii="Calibri" w:hAnsi="Calibri" w:eastAsia="宋体" w:cs="Times New Roman"/>
      <w:b/>
      <w:bCs/>
      <w:kern w:val="44"/>
      <w:sz w:val="44"/>
      <w:szCs w:val="44"/>
    </w:rPr>
  </w:style>
  <w:style w:type="character" w:customStyle="1" w:styleId="26">
    <w:name w:val="标题 2 字符"/>
    <w:basedOn w:val="21"/>
    <w:link w:val="4"/>
    <w:qFormat/>
    <w:uiPriority w:val="9"/>
    <w:rPr>
      <w:rFonts w:ascii="仿宋" w:hAnsi="仿宋" w:eastAsia="仿宋" w:cs="Times New Roman"/>
      <w:b/>
      <w:bCs/>
      <w:sz w:val="32"/>
      <w:szCs w:val="32"/>
    </w:rPr>
  </w:style>
  <w:style w:type="character" w:customStyle="1" w:styleId="27">
    <w:name w:val="标题 3 字符"/>
    <w:basedOn w:val="21"/>
    <w:link w:val="5"/>
    <w:qFormat/>
    <w:uiPriority w:val="9"/>
    <w:rPr>
      <w:rFonts w:ascii="Calibri" w:hAnsi="Calibri" w:eastAsia="宋体" w:cs="Times New Roman"/>
      <w:b/>
      <w:bCs/>
      <w:sz w:val="32"/>
      <w:szCs w:val="32"/>
    </w:rPr>
  </w:style>
  <w:style w:type="character" w:customStyle="1" w:styleId="28">
    <w:name w:val="标题 4 字符"/>
    <w:basedOn w:val="21"/>
    <w:link w:val="6"/>
    <w:qFormat/>
    <w:uiPriority w:val="9"/>
    <w:rPr>
      <w:rFonts w:ascii="Calibri Light" w:hAnsi="Calibri Light" w:eastAsia="宋体" w:cs="Times New Roman"/>
      <w:b/>
      <w:bCs/>
      <w:sz w:val="28"/>
      <w:szCs w:val="28"/>
    </w:rPr>
  </w:style>
  <w:style w:type="character" w:customStyle="1" w:styleId="29">
    <w:name w:val="批注框文本 字符"/>
    <w:link w:val="11"/>
    <w:qFormat/>
    <w:uiPriority w:val="99"/>
    <w:rPr>
      <w:sz w:val="18"/>
      <w:szCs w:val="18"/>
    </w:rPr>
  </w:style>
  <w:style w:type="character" w:customStyle="1" w:styleId="30">
    <w:name w:val="列出段落 Char"/>
    <w:link w:val="31"/>
    <w:qFormat/>
    <w:locked/>
    <w:uiPriority w:val="34"/>
  </w:style>
  <w:style w:type="paragraph" w:customStyle="1" w:styleId="31">
    <w:name w:val="列出段落1"/>
    <w:basedOn w:val="1"/>
    <w:link w:val="30"/>
    <w:qFormat/>
    <w:uiPriority w:val="34"/>
    <w:pPr>
      <w:ind w:firstLine="420" w:firstLineChars="200"/>
    </w:pPr>
    <w:rPr>
      <w:rFonts w:asciiTheme="minorHAnsi" w:hAnsiTheme="minorHAnsi" w:eastAsiaTheme="minorEastAsia" w:cstheme="minorBidi"/>
      <w:sz w:val="21"/>
      <w:szCs w:val="24"/>
    </w:rPr>
  </w:style>
  <w:style w:type="character" w:customStyle="1" w:styleId="32">
    <w:name w:val="正文缩进 字符"/>
    <w:link w:val="7"/>
    <w:qFormat/>
    <w:locked/>
    <w:uiPriority w:val="0"/>
    <w:rPr>
      <w:rFonts w:ascii="Times New Roman" w:hAnsi="Times New Roman" w:eastAsia="仿宋" w:cs="Times New Roman"/>
      <w:sz w:val="28"/>
    </w:rPr>
  </w:style>
  <w:style w:type="character" w:customStyle="1" w:styleId="33">
    <w:name w:val="批注主题 字符"/>
    <w:link w:val="18"/>
    <w:qFormat/>
    <w:uiPriority w:val="99"/>
    <w:rPr>
      <w:b/>
      <w:bCs/>
    </w:rPr>
  </w:style>
  <w:style w:type="character" w:customStyle="1" w:styleId="34">
    <w:name w:val="页脚 字符"/>
    <w:link w:val="12"/>
    <w:qFormat/>
    <w:uiPriority w:val="0"/>
    <w:rPr>
      <w:sz w:val="18"/>
      <w:szCs w:val="18"/>
    </w:rPr>
  </w:style>
  <w:style w:type="character" w:customStyle="1" w:styleId="35">
    <w:name w:val="批注文字 字符"/>
    <w:basedOn w:val="21"/>
    <w:semiHidden/>
    <w:qFormat/>
    <w:uiPriority w:val="99"/>
  </w:style>
  <w:style w:type="character" w:customStyle="1" w:styleId="36">
    <w:name w:val="页眉 字符"/>
    <w:link w:val="13"/>
    <w:qFormat/>
    <w:uiPriority w:val="0"/>
    <w:rPr>
      <w:sz w:val="18"/>
      <w:szCs w:val="18"/>
    </w:rPr>
  </w:style>
  <w:style w:type="paragraph" w:customStyle="1" w:styleId="37">
    <w:name w:val="WPSOffice手动目录 2"/>
    <w:qFormat/>
    <w:uiPriority w:val="0"/>
    <w:pPr>
      <w:ind w:left="200" w:leftChars="200"/>
    </w:pPr>
    <w:rPr>
      <w:rFonts w:ascii="Calibri" w:hAnsi="Calibri" w:eastAsia="宋体" w:cs="Times New Roman"/>
      <w:lang w:val="en-US" w:eastAsia="zh-CN" w:bidi="ar-SA"/>
    </w:rPr>
  </w:style>
  <w:style w:type="character" w:customStyle="1" w:styleId="38">
    <w:name w:val="批注文字 字符1"/>
    <w:basedOn w:val="21"/>
    <w:link w:val="9"/>
    <w:qFormat/>
    <w:uiPriority w:val="99"/>
    <w:rPr>
      <w:rFonts w:ascii="Calibri" w:hAnsi="Calibri" w:eastAsia="宋体" w:cs="Times New Roman"/>
      <w:sz w:val="22"/>
      <w:szCs w:val="22"/>
    </w:rPr>
  </w:style>
  <w:style w:type="character" w:customStyle="1" w:styleId="39">
    <w:name w:val="批注主题 字符1"/>
    <w:basedOn w:val="38"/>
    <w:semiHidden/>
    <w:qFormat/>
    <w:uiPriority w:val="99"/>
    <w:rPr>
      <w:rFonts w:ascii="Calibri" w:hAnsi="Calibri" w:eastAsia="宋体" w:cs="Times New Roman"/>
      <w:b/>
      <w:bCs/>
      <w:sz w:val="22"/>
      <w:szCs w:val="22"/>
    </w:rPr>
  </w:style>
  <w:style w:type="character" w:customStyle="1" w:styleId="40">
    <w:name w:val="页眉 字符1"/>
    <w:basedOn w:val="21"/>
    <w:semiHidden/>
    <w:qFormat/>
    <w:uiPriority w:val="99"/>
    <w:rPr>
      <w:rFonts w:ascii="Calibri" w:hAnsi="Calibri" w:eastAsia="宋体" w:cs="Times New Roman"/>
      <w:sz w:val="18"/>
      <w:szCs w:val="18"/>
    </w:rPr>
  </w:style>
  <w:style w:type="paragraph" w:customStyle="1" w:styleId="41">
    <w:name w:val="_Style 22"/>
    <w:basedOn w:val="1"/>
    <w:next w:val="42"/>
    <w:qFormat/>
    <w:uiPriority w:val="34"/>
    <w:pPr>
      <w:widowControl w:val="0"/>
      <w:spacing w:before="120" w:after="120" w:line="240" w:lineRule="atLeast"/>
      <w:ind w:firstLine="420" w:firstLineChars="200"/>
    </w:pPr>
    <w:rPr>
      <w:sz w:val="24"/>
    </w:rPr>
  </w:style>
  <w:style w:type="paragraph" w:styleId="42">
    <w:name w:val="List Paragraph"/>
    <w:basedOn w:val="1"/>
    <w:qFormat/>
    <w:uiPriority w:val="34"/>
    <w:pPr>
      <w:ind w:firstLine="420" w:firstLineChars="200"/>
    </w:pPr>
  </w:style>
  <w:style w:type="character" w:customStyle="1" w:styleId="43">
    <w:name w:val="正文文本 字符"/>
    <w:basedOn w:val="21"/>
    <w:link w:val="2"/>
    <w:qFormat/>
    <w:uiPriority w:val="99"/>
    <w:rPr>
      <w:rFonts w:ascii="Calibri" w:hAnsi="Calibri" w:eastAsia="宋体" w:cs="Times New Roman"/>
      <w:sz w:val="22"/>
      <w:szCs w:val="22"/>
    </w:rPr>
  </w:style>
  <w:style w:type="paragraph" w:customStyle="1" w:styleId="44">
    <w:name w:val="WPSOffice手动目录 3"/>
    <w:qFormat/>
    <w:uiPriority w:val="0"/>
    <w:pPr>
      <w:ind w:left="400" w:leftChars="400"/>
    </w:pPr>
    <w:rPr>
      <w:rFonts w:ascii="Calibri" w:hAnsi="Calibri" w:eastAsia="宋体" w:cs="Times New Roman"/>
      <w:lang w:val="en-US" w:eastAsia="zh-CN" w:bidi="ar-SA"/>
    </w:rPr>
  </w:style>
  <w:style w:type="character" w:customStyle="1" w:styleId="45">
    <w:name w:val="页脚 字符1"/>
    <w:basedOn w:val="21"/>
    <w:semiHidden/>
    <w:qFormat/>
    <w:uiPriority w:val="99"/>
    <w:rPr>
      <w:rFonts w:ascii="Calibri" w:hAnsi="Calibri" w:eastAsia="宋体" w:cs="Times New Roman"/>
      <w:sz w:val="18"/>
      <w:szCs w:val="18"/>
    </w:rPr>
  </w:style>
  <w:style w:type="character" w:customStyle="1" w:styleId="46">
    <w:name w:val="批注框文本 字符1"/>
    <w:basedOn w:val="21"/>
    <w:semiHidden/>
    <w:qFormat/>
    <w:uiPriority w:val="99"/>
    <w:rPr>
      <w:rFonts w:ascii="宋体" w:hAnsi="Calibri" w:eastAsia="宋体" w:cs="Times New Roman"/>
      <w:sz w:val="18"/>
      <w:szCs w:val="18"/>
    </w:rPr>
  </w:style>
  <w:style w:type="paragraph" w:customStyle="1" w:styleId="47">
    <w:name w:val="WPSOffice手动目录 1"/>
    <w:qFormat/>
    <w:uiPriority w:val="0"/>
    <w:rPr>
      <w:rFonts w:ascii="Calibri" w:hAnsi="Calibri" w:eastAsia="宋体" w:cs="Times New Roman"/>
      <w:lang w:val="en-US" w:eastAsia="zh-CN" w:bidi="ar-SA"/>
    </w:rPr>
  </w:style>
  <w:style w:type="paragraph" w:customStyle="1" w:styleId="48">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49">
    <w:name w:val="TOC 标题1"/>
    <w:basedOn w:val="3"/>
    <w:next w:val="1"/>
    <w:unhideWhenUsed/>
    <w:qFormat/>
    <w:uiPriority w:val="39"/>
    <w:pPr>
      <w:spacing w:before="480" w:after="0" w:line="276" w:lineRule="auto"/>
      <w:outlineLvl w:val="9"/>
    </w:pPr>
    <w:rPr>
      <w:rFonts w:ascii="Calibri Light" w:hAnsi="Calibri Light"/>
      <w:color w:val="2E75B5"/>
      <w:kern w:val="0"/>
      <w:sz w:val="28"/>
      <w:szCs w:val="28"/>
    </w:rPr>
  </w:style>
  <w:style w:type="paragraph" w:customStyle="1" w:styleId="50">
    <w:name w:val="列表段落1"/>
    <w:basedOn w:val="1"/>
    <w:qFormat/>
    <w:uiPriority w:val="34"/>
  </w:style>
  <w:style w:type="paragraph" w:customStyle="1" w:styleId="51">
    <w:name w:val="列表段落2"/>
    <w:basedOn w:val="1"/>
    <w:qFormat/>
    <w:uiPriority w:val="0"/>
    <w:pPr>
      <w:widowControl w:val="0"/>
      <w:spacing w:after="0" w:line="300" w:lineRule="auto"/>
      <w:ind w:firstLine="420" w:firstLineChars="200"/>
      <w:jc w:val="both"/>
    </w:pPr>
    <w:rPr>
      <w:rFonts w:ascii="Times New Roman" w:hAnsi="Times New Roman"/>
      <w:color w:val="000000"/>
      <w:sz w:val="24"/>
      <w:szCs w:val="24"/>
    </w:rPr>
  </w:style>
  <w:style w:type="paragraph" w:customStyle="1" w:styleId="52">
    <w:name w:val="修订1"/>
    <w:hidden/>
    <w:unhideWhenUsed/>
    <w:qFormat/>
    <w:uiPriority w:val="99"/>
    <w:rPr>
      <w:rFonts w:ascii="Calibri" w:hAnsi="Calibri" w:eastAsia="宋体" w:cs="Times New Roman"/>
      <w:kern w:val="2"/>
      <w:sz w:val="22"/>
      <w:szCs w:val="22"/>
      <w:lang w:val="en-US" w:eastAsia="zh-CN" w:bidi="ar-SA"/>
    </w:rPr>
  </w:style>
  <w:style w:type="paragraph" w:customStyle="1" w:styleId="53">
    <w:name w:val="修订2"/>
    <w:hidden/>
    <w:unhideWhenUsed/>
    <w:qFormat/>
    <w:uiPriority w:val="99"/>
    <w:rPr>
      <w:rFonts w:ascii="Calibri" w:hAnsi="Calibri" w:eastAsia="宋体" w:cs="Times New Roman"/>
      <w:kern w:val="2"/>
      <w:sz w:val="22"/>
      <w:szCs w:val="22"/>
      <w:lang w:val="en-US" w:eastAsia="zh-CN" w:bidi="ar-SA"/>
    </w:rPr>
  </w:style>
  <w:style w:type="character" w:customStyle="1" w:styleId="54">
    <w:name w:val="脚注文本 字符"/>
    <w:basedOn w:val="21"/>
    <w:link w:val="15"/>
    <w:semiHidden/>
    <w:qFormat/>
    <w:uiPriority w:val="99"/>
    <w:rPr>
      <w:rFonts w:ascii="Calibri" w:hAnsi="Calibri"/>
      <w:kern w:val="2"/>
      <w:sz w:val="18"/>
      <w:szCs w:val="18"/>
    </w:rPr>
  </w:style>
  <w:style w:type="paragraph" w:customStyle="1" w:styleId="55">
    <w:name w:val="TOC 标题2"/>
    <w:basedOn w:val="3"/>
    <w:next w:val="1"/>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png"/><Relationship Id="rId18" Type="http://schemas.microsoft.com/office/2007/relationships/hdphoto" Target="media/image11.wdp"/><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emf"/><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29</Pages>
  <Words>2285</Words>
  <Characters>13029</Characters>
  <Lines>108</Lines>
  <Paragraphs>30</Paragraphs>
  <TotalTime>480</TotalTime>
  <ScaleCrop>false</ScaleCrop>
  <LinksUpToDate>false</LinksUpToDate>
  <CharactersWithSpaces>15284</CharactersWithSpaces>
  <Application>WPS Office_11.8.2.11681_F1E327BC-269C-435d-A152-05C5408002CA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2023-10-08T18:25:00Z</dcterms:created>
  <dc:creator>zheng xudong</dc:creator>
  <cp:lastModifiedBy>greatwall</cp:lastModifiedBy>
  <cp:lastPrinted>2023-12-15T09:11:00Z</cp:lastPrinted>
  <dcterms:modified xsi:type="dcterms:W3CDTF">2023-12-25T14:57:20Z</dcterms:modified>
  <cp:revision>165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2052-11.8.2.11681</vt:lpwstr>
  </property>
  <property fmtid="{D5CDD505-2E9C-101B-9397-08002B2CF9AE}" pid="3" name="ICV">
    <vt:lpwstr>24972C3D894A49EEB6A1F4E63216D016_13</vt:lpwstr>
  </property>
</Properties>
</file>