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仿宋" w:hAnsi="仿宋" w:eastAsia="仿宋"/>
          <w:color w:val="000000" w:themeColor="text1"/>
          <w:sz w:val="84"/>
          <w:szCs w:val="84"/>
          <w:highlight w:val="none"/>
          <w:u w:val="single"/>
          <w:lang w:val="en-US" w:eastAsia="zh-CN"/>
          <w14:textFill>
            <w14:solidFill>
              <w14:schemeClr w14:val="tx1"/>
            </w14:solidFill>
          </w14:textFill>
        </w:rPr>
      </w:pPr>
    </w:p>
    <w:p>
      <w:pPr>
        <w:rPr>
          <w:rFonts w:ascii="仿宋" w:hAnsi="仿宋" w:eastAsia="仿宋"/>
          <w:color w:val="000000" w:themeColor="text1"/>
          <w:sz w:val="84"/>
          <w:szCs w:val="84"/>
          <w:highlight w:val="none"/>
          <w:u w:val="single"/>
          <w14:textFill>
            <w14:solidFill>
              <w14:schemeClr w14:val="tx1"/>
            </w14:solidFill>
          </w14:textFill>
        </w:rPr>
      </w:pPr>
    </w:p>
    <w:p>
      <w:pPr>
        <w:rPr>
          <w:rFonts w:ascii="仿宋" w:hAnsi="仿宋" w:eastAsia="仿宋"/>
          <w:color w:val="000000" w:themeColor="text1"/>
          <w:sz w:val="84"/>
          <w:szCs w:val="84"/>
          <w:highlight w:val="none"/>
          <w:u w:val="single"/>
          <w14:textFill>
            <w14:solidFill>
              <w14:schemeClr w14:val="tx1"/>
            </w14:solidFill>
          </w14:textFill>
        </w:rPr>
      </w:pPr>
    </w:p>
    <w:p>
      <w:pPr>
        <w:rPr>
          <w:rFonts w:ascii="仿宋" w:hAnsi="仿宋" w:eastAsia="仿宋"/>
          <w:color w:val="000000" w:themeColor="text1"/>
          <w:sz w:val="84"/>
          <w:szCs w:val="84"/>
          <w:highlight w:val="none"/>
          <w:u w:val="single"/>
          <w14:textFill>
            <w14:solidFill>
              <w14:schemeClr w14:val="tx1"/>
            </w14:solidFill>
          </w14:textFill>
        </w:rPr>
      </w:pPr>
    </w:p>
    <w:p>
      <w:pPr>
        <w:ind w:firstLine="522" w:firstLineChars="100"/>
        <w:rPr>
          <w:rFonts w:asciiTheme="majorEastAsia" w:hAnsiTheme="majorEastAsia" w:eastAsiaTheme="majorEastAsia"/>
          <w:b/>
          <w:color w:val="000000" w:themeColor="text1"/>
          <w:sz w:val="52"/>
          <w:szCs w:val="52"/>
          <w:highlight w:val="none"/>
          <w14:textFill>
            <w14:solidFill>
              <w14:schemeClr w14:val="tx1"/>
            </w14:solidFill>
          </w14:textFill>
        </w:rPr>
      </w:pPr>
      <w:r>
        <w:rPr>
          <w:rFonts w:hint="eastAsia" w:asciiTheme="majorEastAsia" w:hAnsiTheme="majorEastAsia" w:eastAsiaTheme="majorEastAsia"/>
          <w:b/>
          <w:color w:val="000000" w:themeColor="text1"/>
          <w:sz w:val="52"/>
          <w:szCs w:val="52"/>
          <w:highlight w:val="none"/>
          <w14:textFill>
            <w14:solidFill>
              <w14:schemeClr w14:val="tx1"/>
            </w14:solidFill>
          </w14:textFill>
        </w:rPr>
        <w:t>202</w:t>
      </w:r>
      <w:r>
        <w:rPr>
          <w:rFonts w:asciiTheme="majorEastAsia" w:hAnsiTheme="majorEastAsia" w:eastAsiaTheme="majorEastAsia"/>
          <w:b/>
          <w:color w:val="000000" w:themeColor="text1"/>
          <w:sz w:val="52"/>
          <w:szCs w:val="52"/>
          <w:highlight w:val="none"/>
          <w14:textFill>
            <w14:solidFill>
              <w14:schemeClr w14:val="tx1"/>
            </w14:solidFill>
          </w14:textFill>
        </w:rPr>
        <w:t>4</w:t>
      </w:r>
      <w:r>
        <w:rPr>
          <w:rFonts w:hint="eastAsia" w:asciiTheme="majorEastAsia" w:hAnsiTheme="majorEastAsia" w:eastAsiaTheme="majorEastAsia"/>
          <w:b/>
          <w:color w:val="000000" w:themeColor="text1"/>
          <w:sz w:val="52"/>
          <w:szCs w:val="52"/>
          <w:highlight w:val="none"/>
          <w14:textFill>
            <w14:solidFill>
              <w14:schemeClr w14:val="tx1"/>
            </w14:solidFill>
          </w14:textFill>
        </w:rPr>
        <w:t>年海南师范大学（本级）预算</w:t>
      </w:r>
    </w:p>
    <w:p>
      <w:pPr>
        <w:ind w:firstLine="1680"/>
        <w:jc w:val="center"/>
        <w:rPr>
          <w:rFonts w:ascii="仿宋" w:hAnsi="仿宋" w:eastAsia="仿宋"/>
          <w:b/>
          <w:color w:val="000000" w:themeColor="text1"/>
          <w:sz w:val="84"/>
          <w:szCs w:val="84"/>
          <w:highlight w:val="none"/>
          <w14:textFill>
            <w14:solidFill>
              <w14:schemeClr w14:val="tx1"/>
            </w14:solidFill>
          </w14:textFill>
        </w:rPr>
      </w:pPr>
    </w:p>
    <w:p>
      <w:pPr>
        <w:ind w:firstLine="1680"/>
        <w:jc w:val="center"/>
        <w:rPr>
          <w:rFonts w:ascii="仿宋" w:hAnsi="仿宋" w:eastAsia="仿宋"/>
          <w:color w:val="000000" w:themeColor="text1"/>
          <w:sz w:val="84"/>
          <w:szCs w:val="84"/>
          <w:highlight w:val="none"/>
          <w14:textFill>
            <w14:solidFill>
              <w14:schemeClr w14:val="tx1"/>
            </w14:solidFill>
          </w14:textFill>
        </w:rPr>
      </w:pPr>
    </w:p>
    <w:p>
      <w:pPr>
        <w:ind w:firstLine="1680"/>
        <w:jc w:val="center"/>
        <w:rPr>
          <w:rFonts w:ascii="仿宋" w:hAnsi="仿宋" w:eastAsia="仿宋"/>
          <w:color w:val="000000" w:themeColor="text1"/>
          <w:sz w:val="84"/>
          <w:szCs w:val="84"/>
          <w:highlight w:val="none"/>
          <w14:textFill>
            <w14:solidFill>
              <w14:schemeClr w14:val="tx1"/>
            </w14:solidFill>
          </w14:textFill>
        </w:rPr>
      </w:pPr>
    </w:p>
    <w:p>
      <w:pPr>
        <w:ind w:firstLine="1680"/>
        <w:jc w:val="center"/>
        <w:rPr>
          <w:rFonts w:ascii="仿宋" w:hAnsi="仿宋" w:eastAsia="仿宋"/>
          <w:color w:val="000000" w:themeColor="text1"/>
          <w:sz w:val="84"/>
          <w:szCs w:val="84"/>
          <w:highlight w:val="none"/>
          <w14:textFill>
            <w14:solidFill>
              <w14:schemeClr w14:val="tx1"/>
            </w14:solidFill>
          </w14:textFill>
        </w:rPr>
      </w:pPr>
    </w:p>
    <w:p>
      <w:pPr>
        <w:ind w:firstLine="1680"/>
        <w:jc w:val="center"/>
        <w:rPr>
          <w:rFonts w:ascii="仿宋" w:hAnsi="仿宋" w:eastAsia="仿宋"/>
          <w:color w:val="000000" w:themeColor="text1"/>
          <w:sz w:val="84"/>
          <w:szCs w:val="84"/>
          <w:highlight w:val="none"/>
          <w14:textFill>
            <w14:solidFill>
              <w14:schemeClr w14:val="tx1"/>
            </w14:solidFill>
          </w14:textFill>
        </w:rPr>
      </w:pPr>
    </w:p>
    <w:p>
      <w:pPr>
        <w:spacing w:line="560" w:lineRule="exact"/>
        <w:jc w:val="center"/>
        <w:rPr>
          <w:rFonts w:ascii="仿宋" w:hAnsi="仿宋" w:eastAsia="仿宋"/>
          <w:color w:val="000000" w:themeColor="text1"/>
          <w:sz w:val="84"/>
          <w:szCs w:val="84"/>
          <w:highlight w:val="none"/>
          <w14:textFill>
            <w14:solidFill>
              <w14:schemeClr w14:val="tx1"/>
            </w14:solidFill>
          </w14:textFill>
        </w:rPr>
      </w:pPr>
    </w:p>
    <w:p>
      <w:pPr>
        <w:spacing w:line="560" w:lineRule="exact"/>
        <w:jc w:val="center"/>
        <w:rPr>
          <w:rFonts w:ascii="仿宋" w:hAnsi="仿宋" w:eastAsia="仿宋"/>
          <w:color w:val="000000" w:themeColor="text1"/>
          <w:sz w:val="52"/>
          <w:szCs w:val="52"/>
          <w:highlight w:val="none"/>
          <w14:textFill>
            <w14:solidFill>
              <w14:schemeClr w14:val="tx1"/>
            </w14:solidFill>
          </w14:textFill>
        </w:rPr>
      </w:pPr>
      <w:r>
        <w:rPr>
          <w:rFonts w:hint="eastAsia" w:ascii="仿宋" w:hAnsi="仿宋" w:eastAsia="仿宋"/>
          <w:color w:val="000000" w:themeColor="text1"/>
          <w:sz w:val="52"/>
          <w:szCs w:val="52"/>
          <w:highlight w:val="none"/>
          <w14:textFill>
            <w14:solidFill>
              <w14:schemeClr w14:val="tx1"/>
            </w14:solidFill>
          </w14:textFill>
        </w:rPr>
        <w:t>目    录</w:t>
      </w:r>
    </w:p>
    <w:p>
      <w:pPr>
        <w:spacing w:line="560" w:lineRule="exact"/>
        <w:jc w:val="center"/>
        <w:rPr>
          <w:rFonts w:ascii="仿宋" w:hAnsi="仿宋" w:eastAsia="仿宋"/>
          <w:color w:val="000000" w:themeColor="text1"/>
          <w:sz w:val="52"/>
          <w:szCs w:val="52"/>
          <w:highlight w:val="none"/>
          <w14:textFill>
            <w14:solidFill>
              <w14:schemeClr w14:val="tx1"/>
            </w14:solidFill>
          </w14:textFill>
        </w:rPr>
      </w:pPr>
    </w:p>
    <w:p>
      <w:pPr>
        <w:spacing w:line="560" w:lineRule="exact"/>
        <w:jc w:val="center"/>
        <w:rPr>
          <w:rFonts w:ascii="仿宋" w:hAnsi="仿宋" w:eastAsia="仿宋"/>
          <w:color w:val="000000" w:themeColor="text1"/>
          <w:sz w:val="52"/>
          <w:szCs w:val="52"/>
          <w:highlight w:val="none"/>
          <w14:textFill>
            <w14:solidFill>
              <w14:schemeClr w14:val="tx1"/>
            </w14:solidFill>
          </w14:textFill>
        </w:rPr>
      </w:pPr>
    </w:p>
    <w:p>
      <w:pPr>
        <w:pStyle w:val="13"/>
        <w:numPr>
          <w:ilvl w:val="0"/>
          <w:numId w:val="1"/>
        </w:numPr>
        <w:ind w:hanging="2030" w:firstLineChars="0"/>
        <w:jc w:val="left"/>
        <w:rPr>
          <w:rFonts w:ascii="黑体" w:hAnsi="黑体" w:eastAsia="黑体"/>
          <w:b/>
          <w:color w:val="000000" w:themeColor="text1"/>
          <w:sz w:val="32"/>
          <w:szCs w:val="32"/>
          <w:highlight w:val="none"/>
          <w14:textFill>
            <w14:solidFill>
              <w14:schemeClr w14:val="tx1"/>
            </w14:solidFill>
          </w14:textFill>
        </w:rPr>
      </w:pPr>
      <w:r>
        <w:rPr>
          <w:rFonts w:hint="eastAsia" w:ascii="黑体" w:hAnsi="黑体" w:eastAsia="黑体"/>
          <w:b/>
          <w:color w:val="000000" w:themeColor="text1"/>
          <w:sz w:val="32"/>
          <w:szCs w:val="32"/>
          <w:highlight w:val="none"/>
          <w14:textFill>
            <w14:solidFill>
              <w14:schemeClr w14:val="tx1"/>
            </w14:solidFill>
          </w14:textFill>
        </w:rPr>
        <w:t>海南师范大学（本级）概况</w:t>
      </w:r>
    </w:p>
    <w:p>
      <w:pPr>
        <w:pStyle w:val="13"/>
        <w:numPr>
          <w:ilvl w:val="0"/>
          <w:numId w:val="2"/>
        </w:numPr>
        <w:ind w:firstLineChars="0"/>
        <w:jc w:val="left"/>
        <w:rPr>
          <w:rFonts w:hint="eastAsia" w:ascii="黑体" w:hAnsi="黑体" w:eastAsia="黑体" w:cs="黑体"/>
          <w:kern w:val="2"/>
          <w:sz w:val="32"/>
          <w:szCs w:val="32"/>
          <w:u w:val="none"/>
          <w:lang w:val="en-US" w:eastAsia="zh-CN" w:bidi="ar-SA"/>
        </w:rPr>
      </w:pPr>
      <w:r>
        <w:rPr>
          <w:rFonts w:hint="eastAsia" w:ascii="仿宋" w:hAnsi="仿宋" w:eastAsia="仿宋" w:cs="黑体"/>
          <w:color w:val="000000" w:themeColor="text1"/>
          <w:kern w:val="2"/>
          <w:sz w:val="32"/>
          <w:szCs w:val="32"/>
          <w:highlight w:val="none"/>
          <w:lang w:val="en-US" w:eastAsia="zh-CN" w:bidi="ar-SA"/>
          <w14:textFill>
            <w14:solidFill>
              <w14:schemeClr w14:val="tx1"/>
            </w14:solidFill>
          </w14:textFill>
        </w:rPr>
        <w:t>主要职能</w:t>
      </w:r>
    </w:p>
    <w:p>
      <w:pPr>
        <w:pStyle w:val="18"/>
        <w:numPr>
          <w:ilvl w:val="0"/>
          <w:numId w:val="0"/>
        </w:numPr>
        <w:ind w:leftChars="0"/>
        <w:jc w:val="left"/>
        <w:rPr>
          <w:rFonts w:hint="eastAsia" w:ascii="仿宋" w:hAnsi="仿宋" w:eastAsia="仿宋" w:cs="黑体"/>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黑体"/>
          <w:color w:val="000000" w:themeColor="text1"/>
          <w:kern w:val="2"/>
          <w:sz w:val="32"/>
          <w:szCs w:val="32"/>
          <w:highlight w:val="none"/>
          <w:lang w:val="en-US" w:eastAsia="zh-CN" w:bidi="ar-SA"/>
          <w14:textFill>
            <w14:solidFill>
              <w14:schemeClr w14:val="tx1"/>
            </w14:solidFill>
          </w14:textFill>
        </w:rPr>
        <w:t>二、部门预算单位构成（单位公开没有这部分内容）</w:t>
      </w:r>
    </w:p>
    <w:p>
      <w:pPr>
        <w:pStyle w:val="13"/>
        <w:numPr>
          <w:ilvl w:val="0"/>
          <w:numId w:val="1"/>
        </w:numPr>
        <w:ind w:hanging="2030" w:firstLineChars="0"/>
        <w:jc w:val="left"/>
        <w:rPr>
          <w:rFonts w:asciiTheme="majorEastAsia" w:hAnsiTheme="majorEastAsia" w:eastAsiaTheme="majorEastAsia"/>
          <w:b/>
          <w:color w:val="000000" w:themeColor="text1"/>
          <w:sz w:val="32"/>
          <w:szCs w:val="32"/>
          <w:highlight w:val="none"/>
          <w14:textFill>
            <w14:solidFill>
              <w14:schemeClr w14:val="tx1"/>
            </w14:solidFill>
          </w14:textFill>
        </w:rPr>
      </w:pPr>
      <w:r>
        <w:rPr>
          <w:rFonts w:hint="eastAsia" w:ascii="黑体" w:hAnsi="黑体" w:eastAsia="黑体"/>
          <w:b/>
          <w:color w:val="000000" w:themeColor="text1"/>
          <w:sz w:val="32"/>
          <w:szCs w:val="32"/>
          <w:highlight w:val="none"/>
          <w14:textFill>
            <w14:solidFill>
              <w14:schemeClr w14:val="tx1"/>
            </w14:solidFill>
          </w14:textFill>
        </w:rPr>
        <w:t>海南师范大学（本级）</w:t>
      </w:r>
      <w:r>
        <w:rPr>
          <w:rFonts w:ascii="黑体" w:hAnsi="黑体" w:eastAsia="黑体"/>
          <w:b/>
          <w:color w:val="000000" w:themeColor="text1"/>
          <w:sz w:val="32"/>
          <w:szCs w:val="32"/>
          <w:highlight w:val="none"/>
          <w14:textFill>
            <w14:solidFill>
              <w14:schemeClr w14:val="tx1"/>
            </w14:solidFill>
          </w14:textFill>
        </w:rPr>
        <w:t>2024</w:t>
      </w:r>
      <w:r>
        <w:rPr>
          <w:rFonts w:hint="eastAsia" w:ascii="黑体" w:hAnsi="黑体" w:eastAsia="黑体"/>
          <w:b/>
          <w:color w:val="000000" w:themeColor="text1"/>
          <w:sz w:val="32"/>
          <w:szCs w:val="32"/>
          <w:highlight w:val="none"/>
          <w14:textFill>
            <w14:solidFill>
              <w14:schemeClr w14:val="tx1"/>
            </w14:solidFill>
          </w14:textFill>
        </w:rPr>
        <w:t>年预算表</w:t>
      </w:r>
    </w:p>
    <w:p>
      <w:pPr>
        <w:pStyle w:val="13"/>
        <w:numPr>
          <w:ilvl w:val="0"/>
          <w:numId w:val="2"/>
        </w:numPr>
        <w:ind w:firstLineChars="0"/>
        <w:jc w:val="left"/>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财政拨款收支总表</w:t>
      </w:r>
    </w:p>
    <w:p>
      <w:pPr>
        <w:pStyle w:val="13"/>
        <w:numPr>
          <w:ilvl w:val="0"/>
          <w:numId w:val="2"/>
        </w:numPr>
        <w:ind w:firstLineChars="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一般公共预算支出表</w:t>
      </w:r>
    </w:p>
    <w:p>
      <w:pPr>
        <w:pStyle w:val="13"/>
        <w:numPr>
          <w:ilvl w:val="0"/>
          <w:numId w:val="2"/>
        </w:numPr>
        <w:ind w:firstLineChars="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一般公共预算基本支出表</w:t>
      </w:r>
    </w:p>
    <w:p>
      <w:pPr>
        <w:pStyle w:val="13"/>
        <w:numPr>
          <w:ilvl w:val="0"/>
          <w:numId w:val="2"/>
        </w:numPr>
        <w:ind w:firstLineChars="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一般公共预算“三公”经费支出表</w:t>
      </w:r>
    </w:p>
    <w:p>
      <w:pPr>
        <w:pStyle w:val="13"/>
        <w:numPr>
          <w:ilvl w:val="0"/>
          <w:numId w:val="2"/>
        </w:numPr>
        <w:ind w:firstLineChars="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政府性基金预算支出表。</w:t>
      </w:r>
    </w:p>
    <w:p>
      <w:pPr>
        <w:pStyle w:val="13"/>
        <w:numPr>
          <w:ilvl w:val="0"/>
          <w:numId w:val="2"/>
        </w:numPr>
        <w:ind w:firstLineChars="0"/>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政府性基金预算“三公”经费支出表</w:t>
      </w:r>
    </w:p>
    <w:p>
      <w:pPr>
        <w:pStyle w:val="13"/>
        <w:numPr>
          <w:ilvl w:val="0"/>
          <w:numId w:val="2"/>
        </w:numPr>
        <w:ind w:firstLineChars="0"/>
        <w:jc w:val="left"/>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部门（单位）收支总表</w:t>
      </w:r>
    </w:p>
    <w:p>
      <w:pPr>
        <w:pStyle w:val="13"/>
        <w:numPr>
          <w:ilvl w:val="0"/>
          <w:numId w:val="2"/>
        </w:numPr>
        <w:ind w:firstLineChars="0"/>
        <w:jc w:val="left"/>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部门（单位）收入总表</w:t>
      </w:r>
    </w:p>
    <w:p>
      <w:pPr>
        <w:pStyle w:val="13"/>
        <w:numPr>
          <w:ilvl w:val="0"/>
          <w:numId w:val="2"/>
        </w:numPr>
        <w:ind w:firstLineChars="0"/>
        <w:jc w:val="left"/>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部门</w:t>
      </w:r>
      <w:r>
        <w:rPr>
          <w:rFonts w:hint="eastAsia" w:ascii="仿宋" w:hAnsi="仿宋" w:eastAsia="仿宋" w:cs="仿宋_GB2312"/>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单位）支出总表</w:t>
      </w:r>
    </w:p>
    <w:p>
      <w:pPr>
        <w:pStyle w:val="13"/>
        <w:numPr>
          <w:ilvl w:val="0"/>
          <w:numId w:val="0"/>
        </w:numPr>
        <w:ind w:leftChars="0"/>
        <w:jc w:val="left"/>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十一、</w:t>
      </w:r>
      <w:r>
        <w:rPr>
          <w:rFonts w:hint="eastAsia" w:ascii="仿宋" w:hAnsi="仿宋" w:eastAsia="仿宋"/>
          <w:color w:val="000000" w:themeColor="text1"/>
          <w:sz w:val="32"/>
          <w:szCs w:val="32"/>
          <w:highlight w:val="none"/>
          <w14:textFill>
            <w14:solidFill>
              <w14:schemeClr w14:val="tx1"/>
            </w14:solidFill>
          </w14:textFill>
        </w:rPr>
        <w:t>项目支出绩效信息</w:t>
      </w:r>
      <w:r>
        <w:rPr>
          <w:rFonts w:hint="eastAsia" w:ascii="仿宋" w:hAnsi="仿宋" w:eastAsia="仿宋" w:cs="仿宋_GB2312"/>
          <w:color w:val="000000" w:themeColor="text1"/>
          <w:sz w:val="32"/>
          <w:szCs w:val="32"/>
          <w:highlight w:val="none"/>
          <w14:textFill>
            <w14:solidFill>
              <w14:schemeClr w14:val="tx1"/>
            </w14:solidFill>
          </w14:textFill>
        </w:rPr>
        <w:t>表</w:t>
      </w:r>
    </w:p>
    <w:p>
      <w:pPr>
        <w:pStyle w:val="13"/>
        <w:numPr>
          <w:ilvl w:val="0"/>
          <w:numId w:val="1"/>
        </w:numPr>
        <w:ind w:hanging="2030" w:firstLineChars="0"/>
        <w:jc w:val="left"/>
        <w:rPr>
          <w:rFonts w:ascii="黑体" w:hAnsi="黑体" w:eastAsia="黑体" w:cs="仿宋_GB2312"/>
          <w:b/>
          <w:color w:val="000000" w:themeColor="text1"/>
          <w:sz w:val="32"/>
          <w:szCs w:val="32"/>
          <w:highlight w:val="none"/>
          <w14:textFill>
            <w14:solidFill>
              <w14:schemeClr w14:val="tx1"/>
            </w14:solidFill>
          </w14:textFill>
        </w:rPr>
      </w:pPr>
      <w:r>
        <w:rPr>
          <w:rFonts w:hint="eastAsia" w:ascii="黑体" w:hAnsi="黑体" w:eastAsia="黑体"/>
          <w:b/>
          <w:color w:val="000000" w:themeColor="text1"/>
          <w:sz w:val="32"/>
          <w:szCs w:val="32"/>
          <w:highlight w:val="none"/>
          <w14:textFill>
            <w14:solidFill>
              <w14:schemeClr w14:val="tx1"/>
            </w14:solidFill>
          </w14:textFill>
        </w:rPr>
        <w:t>海南师范大学（本级）</w:t>
      </w:r>
      <w:r>
        <w:rPr>
          <w:rFonts w:ascii="黑体" w:hAnsi="黑体" w:eastAsia="黑体"/>
          <w:b/>
          <w:color w:val="000000" w:themeColor="text1"/>
          <w:sz w:val="32"/>
          <w:szCs w:val="32"/>
          <w:highlight w:val="none"/>
          <w14:textFill>
            <w14:solidFill>
              <w14:schemeClr w14:val="tx1"/>
            </w14:solidFill>
          </w14:textFill>
        </w:rPr>
        <w:t>2024</w:t>
      </w:r>
      <w:r>
        <w:rPr>
          <w:rFonts w:hint="eastAsia" w:ascii="黑体" w:hAnsi="黑体" w:eastAsia="黑体"/>
          <w:b/>
          <w:color w:val="000000" w:themeColor="text1"/>
          <w:sz w:val="32"/>
          <w:szCs w:val="32"/>
          <w:highlight w:val="none"/>
          <w14:textFill>
            <w14:solidFill>
              <w14:schemeClr w14:val="tx1"/>
            </w14:solidFill>
          </w14:textFill>
        </w:rPr>
        <w:t>年预算情况说明</w:t>
      </w:r>
    </w:p>
    <w:p>
      <w:pPr>
        <w:pStyle w:val="13"/>
        <w:numPr>
          <w:ilvl w:val="0"/>
          <w:numId w:val="1"/>
        </w:numPr>
        <w:ind w:hanging="2030" w:firstLineChars="0"/>
        <w:jc w:val="left"/>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14:textFill>
            <w14:solidFill>
              <w14:schemeClr w14:val="tx1"/>
            </w14:solidFill>
          </w14:textFill>
        </w:rPr>
        <w:t>名词解释</w:t>
      </w:r>
    </w:p>
    <w:p>
      <w:pPr>
        <w:pStyle w:val="13"/>
        <w:ind w:firstLine="1863" w:firstLineChars="580"/>
        <w:jc w:val="center"/>
        <w:rPr>
          <w:rFonts w:asciiTheme="minorEastAsia" w:hAnsiTheme="minorEastAsia" w:eastAsiaTheme="minorEastAsia"/>
          <w:b/>
          <w:color w:val="000000" w:themeColor="text1"/>
          <w:sz w:val="32"/>
          <w:szCs w:val="32"/>
          <w:highlight w:val="none"/>
          <w14:textFill>
            <w14:solidFill>
              <w14:schemeClr w14:val="tx1"/>
            </w14:solidFill>
          </w14:textFill>
        </w:rPr>
      </w:pPr>
    </w:p>
    <w:p>
      <w:pPr>
        <w:pStyle w:val="13"/>
        <w:ind w:firstLine="1863" w:firstLineChars="580"/>
        <w:jc w:val="center"/>
        <w:rPr>
          <w:rFonts w:asciiTheme="minorEastAsia" w:hAnsiTheme="minorEastAsia" w:eastAsiaTheme="minorEastAsia"/>
          <w:b/>
          <w:color w:val="000000" w:themeColor="text1"/>
          <w:sz w:val="32"/>
          <w:szCs w:val="32"/>
          <w:highlight w:val="none"/>
          <w14:textFill>
            <w14:solidFill>
              <w14:schemeClr w14:val="tx1"/>
            </w14:solidFill>
          </w14:textFill>
        </w:rPr>
      </w:pPr>
    </w:p>
    <w:p>
      <w:pPr>
        <w:pStyle w:val="13"/>
        <w:ind w:firstLine="1863" w:firstLineChars="580"/>
        <w:jc w:val="center"/>
        <w:rPr>
          <w:rFonts w:asciiTheme="minorEastAsia" w:hAnsiTheme="minorEastAsia" w:eastAsiaTheme="minorEastAsia"/>
          <w:b/>
          <w:color w:val="000000" w:themeColor="text1"/>
          <w:sz w:val="32"/>
          <w:szCs w:val="32"/>
          <w:highlight w:val="none"/>
          <w14:textFill>
            <w14:solidFill>
              <w14:schemeClr w14:val="tx1"/>
            </w14:solidFill>
          </w14:textFill>
        </w:rPr>
      </w:pPr>
    </w:p>
    <w:p>
      <w:pPr>
        <w:pStyle w:val="13"/>
        <w:ind w:firstLine="0" w:firstLineChars="0"/>
        <w:jc w:val="center"/>
        <w:rPr>
          <w:rFonts w:ascii="黑体" w:hAnsi="黑体" w:eastAsia="黑体"/>
          <w:b/>
          <w:color w:val="000000" w:themeColor="text1"/>
          <w:sz w:val="32"/>
          <w:szCs w:val="32"/>
          <w:highlight w:val="none"/>
          <w14:textFill>
            <w14:solidFill>
              <w14:schemeClr w14:val="tx1"/>
            </w14:solidFill>
          </w14:textFill>
        </w:rPr>
      </w:pPr>
      <w:r>
        <w:rPr>
          <w:rFonts w:hint="eastAsia" w:ascii="黑体" w:hAnsi="黑体" w:eastAsia="黑体"/>
          <w:b/>
          <w:color w:val="000000" w:themeColor="text1"/>
          <w:sz w:val="32"/>
          <w:szCs w:val="32"/>
          <w:highlight w:val="none"/>
          <w14:textFill>
            <w14:solidFill>
              <w14:schemeClr w14:val="tx1"/>
            </w14:solidFill>
          </w14:textFill>
        </w:rPr>
        <w:t>第一部分海南师范大学</w:t>
      </w:r>
      <w:r>
        <w:rPr>
          <w:rFonts w:ascii="黑体" w:hAnsi="黑体" w:eastAsia="黑体"/>
          <w:b/>
          <w:color w:val="000000" w:themeColor="text1"/>
          <w:sz w:val="32"/>
          <w:szCs w:val="32"/>
          <w:highlight w:val="none"/>
          <w14:textFill>
            <w14:solidFill>
              <w14:schemeClr w14:val="tx1"/>
            </w14:solidFill>
          </w14:textFill>
        </w:rPr>
        <w:t>(本级)概况</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按照预算管理有关规定，目前我校预算编制实行全口径预算制度，我校机构设置有：机关教辅机构</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35</w:t>
      </w:r>
      <w:r>
        <w:rPr>
          <w:rFonts w:hint="eastAsia" w:ascii="仿宋_GB2312" w:hAnsi="仿宋_GB2312" w:eastAsia="仿宋_GB2312" w:cs="仿宋_GB2312"/>
          <w:color w:val="000000" w:themeColor="text1"/>
          <w:sz w:val="32"/>
          <w:szCs w:val="32"/>
          <w:highlight w:val="none"/>
          <w14:textFill>
            <w14:solidFill>
              <w14:schemeClr w14:val="tx1"/>
            </w14:solidFill>
          </w14:textFill>
        </w:rPr>
        <w:t>个、群团组织3个、教学单位23个、下属（附属）单位6个。</w:t>
      </w:r>
    </w:p>
    <w:p>
      <w:pPr>
        <w:bidi w:val="0"/>
        <w:ind w:firstLine="643" w:firstLineChars="200"/>
        <w:rPr>
          <w:rStyle w:val="9"/>
          <w:rFonts w:hint="eastAsia" w:ascii="仿宋_GB2312" w:hAnsi="仿宋_GB2312" w:eastAsia="仿宋_GB2312" w:cs="仿宋_GB2312"/>
          <w:b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一、主要职能</w:t>
      </w:r>
      <w:r>
        <w:rPr>
          <w:rStyle w:val="9"/>
          <w:rFonts w:hint="eastAsia" w:ascii="仿宋_GB2312" w:hAnsi="仿宋_GB2312" w:eastAsia="仿宋_GB2312" w:cs="仿宋_GB2312"/>
          <w:b w:val="0"/>
          <w:color w:val="000000" w:themeColor="text1"/>
          <w:sz w:val="32"/>
          <w:szCs w:val="32"/>
          <w:highlight w:val="none"/>
          <w14:textFill>
            <w14:solidFill>
              <w14:schemeClr w14:val="tx1"/>
            </w14:solidFill>
          </w14:textFill>
        </w:rPr>
        <w:t>   </w:t>
      </w:r>
    </w:p>
    <w:p>
      <w:pPr>
        <w:spacing w:line="560" w:lineRule="atLeast"/>
        <w:ind w:firstLine="643"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Style w:val="9"/>
          <w:rFonts w:hint="eastAsia" w:ascii="仿宋_GB2312" w:hAnsi="仿宋_GB2312" w:eastAsia="仿宋_GB2312" w:cs="仿宋_GB2312"/>
          <w:color w:val="000000" w:themeColor="text1"/>
          <w:sz w:val="32"/>
          <w:szCs w:val="32"/>
          <w:highlight w:val="none"/>
          <w14:textFill>
            <w14:solidFill>
              <w14:schemeClr w14:val="tx1"/>
            </w14:solidFill>
          </w14:textFill>
        </w:rPr>
        <w:t> </w:t>
      </w:r>
      <w:r>
        <w:rPr>
          <w:rFonts w:hint="eastAsia" w:ascii="仿宋_GB2312" w:hAnsi="仿宋_GB2312" w:eastAsia="仿宋_GB2312" w:cs="仿宋_GB2312"/>
          <w:color w:val="000000" w:themeColor="text1"/>
          <w:sz w:val="32"/>
          <w:szCs w:val="32"/>
          <w:highlight w:val="none"/>
          <w14:textFill>
            <w14:solidFill>
              <w14:schemeClr w14:val="tx1"/>
            </w14:solidFill>
          </w14:textFill>
        </w:rPr>
        <w:t>（一）坚持社会主义办学方向，全面贯彻执行党的教育方针，坚持教育为社会主义现代化建设服务、为人民服务，把立德树人作为教育的根本任务，培养德、智、体、美</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劳</w:t>
      </w:r>
      <w:r>
        <w:rPr>
          <w:rFonts w:hint="eastAsia" w:ascii="仿宋_GB2312" w:hAnsi="仿宋_GB2312" w:eastAsia="仿宋_GB2312" w:cs="仿宋_GB2312"/>
          <w:color w:val="000000" w:themeColor="text1"/>
          <w:sz w:val="32"/>
          <w:szCs w:val="32"/>
          <w:highlight w:val="none"/>
          <w14:textFill>
            <w14:solidFill>
              <w14:schemeClr w14:val="tx1"/>
            </w14:solidFill>
          </w14:textFill>
        </w:rPr>
        <w:t>全面发展的中国特色社会主义事业的合格建设者和可靠接班人。</w:t>
      </w:r>
    </w:p>
    <w:p>
      <w:pPr>
        <w:spacing w:line="560" w:lineRule="atLeas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二）实施普通高等教育，包括全日制本科生、研究生教育，积极开展教师在职培训，适度开展非全日制学历教育和非学历教育培训等多种形式的教育服务。对完成学业的受教育者颁发学业证书或相应的学习证明，对满足学校学位授予规定者授予其相应的学士、硕士或博士学位。</w:t>
      </w:r>
    </w:p>
    <w:p>
      <w:pPr>
        <w:spacing w:line="560" w:lineRule="atLeas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（三）以教师教育为主要办学特色和办学任务，为海南省基础教育培养优秀教师，为海南省自由贸易港建设和经济社会发展提供人才保障。</w:t>
      </w:r>
    </w:p>
    <w:p>
      <w:pPr>
        <w:spacing w:line="560" w:lineRule="atLeas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（四）开展科学研究，建立科技协同创新机制，促进知识创新和技术创新。</w:t>
      </w:r>
    </w:p>
    <w:p>
      <w:pPr>
        <w:spacing w:line="560" w:lineRule="atLeas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（五）开展社会服务工作，推进产学研用结合，促进科技成果转化，充分发挥思想库和智囊团作用，为国家和地方经济社会发展提供科技服务与智力支持。</w:t>
      </w:r>
    </w:p>
    <w:p>
      <w:pPr>
        <w:spacing w:line="560" w:lineRule="atLeas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（六）加强中国特色社会主义理论体系教育，培育和践行社会主义核心价值观；积极弘扬民族精神和时代精神，推进中华优秀传统文化和社会主义先进文化的传承与创新, 推进中国先进文化与世界先进文化的交流与创新；建设体现时代特征和学校特色的大学文化，以先进文化引领人才培养、科学研究和社会服务。</w:t>
      </w:r>
    </w:p>
    <w:p>
      <w:pPr>
        <w:spacing w:line="560" w:lineRule="atLeas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（七）实施国际化发展战略，培养具有国际视野和竞争力的人才及教师队伍，产出具有国际影响力的成果。</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八）</w:t>
      </w:r>
      <w:r>
        <w:rPr>
          <w:rFonts w:hint="eastAsia" w:ascii="仿宋_GB2312" w:hAnsi="仿宋_GB2312" w:eastAsia="仿宋_GB2312" w:cs="仿宋_GB2312"/>
          <w:color w:val="000000" w:themeColor="text1"/>
          <w:sz w:val="32"/>
          <w:szCs w:val="32"/>
          <w:highlight w:val="none"/>
          <w14:textFill>
            <w14:solidFill>
              <w14:schemeClr w14:val="tx1"/>
            </w14:solidFill>
          </w14:textFill>
        </w:rPr>
        <w:t>纳入我校预算编制范围的部门包括：</w:t>
      </w:r>
    </w:p>
    <w:p>
      <w:pPr>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机关教辅单位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35</w:t>
      </w:r>
      <w:r>
        <w:rPr>
          <w:rFonts w:hint="eastAsia" w:ascii="仿宋_GB2312" w:hAnsi="仿宋_GB2312" w:eastAsia="仿宋_GB2312" w:cs="仿宋_GB2312"/>
          <w:color w:val="000000" w:themeColor="text1"/>
          <w:sz w:val="32"/>
          <w:szCs w:val="32"/>
          <w:highlight w:val="none"/>
          <w14:textFill>
            <w14:solidFill>
              <w14:schemeClr w14:val="tx1"/>
            </w14:solidFill>
          </w14:textFill>
        </w:rPr>
        <w:t>个：党政办公室（督查督导办公室）、组织部（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离退休工作办公室、机关党委</w:t>
      </w:r>
      <w:r>
        <w:rPr>
          <w:rFonts w:hint="eastAsia" w:ascii="仿宋_GB2312" w:hAnsi="仿宋_GB2312" w:eastAsia="仿宋_GB2312" w:cs="仿宋_GB2312"/>
          <w:color w:val="000000" w:themeColor="text1"/>
          <w:sz w:val="32"/>
          <w:szCs w:val="32"/>
          <w:highlight w:val="none"/>
          <w14:textFill>
            <w14:solidFill>
              <w14:schemeClr w14:val="tx1"/>
            </w14:solidFill>
          </w14:textFill>
        </w:rPr>
        <w:t>）、宣传部、统战部、人事处（教师工作部）、学生工作部（学生工作处、人民武装部）、纪检监察一处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审计处）</w:t>
      </w:r>
      <w:r>
        <w:rPr>
          <w:rFonts w:hint="eastAsia" w:ascii="仿宋_GB2312" w:hAnsi="仿宋_GB2312" w:eastAsia="仿宋_GB2312" w:cs="仿宋_GB2312"/>
          <w:color w:val="000000" w:themeColor="text1"/>
          <w:sz w:val="32"/>
          <w:szCs w:val="32"/>
          <w:highlight w:val="none"/>
          <w14:textFill>
            <w14:solidFill>
              <w14:schemeClr w14:val="tx1"/>
            </w14:solidFill>
          </w14:textFill>
        </w:rPr>
        <w:t>、纪检监察二处（巡</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32"/>
          <w:szCs w:val="32"/>
          <w:highlight w:val="none"/>
          <w14:textFill>
            <w14:solidFill>
              <w14:schemeClr w14:val="tx1"/>
            </w14:solidFill>
          </w14:textFill>
        </w:rPr>
        <w:t>工作办公室）、教务处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采购与招投标管理处、后勤管理处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基建处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、国际合作与交流处、国内合作与发展处、财务处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国有资产管理处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、招生就业处（学生创新创业指导中心）、保卫处（应急管理办公室）、图书馆（档案馆、馆藏中心）、学报编辑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部</w:t>
      </w:r>
      <w:r>
        <w:rPr>
          <w:rFonts w:hint="eastAsia" w:ascii="仿宋_GB2312" w:hAnsi="仿宋_GB2312" w:eastAsia="仿宋_GB2312" w:cs="仿宋_GB2312"/>
          <w:color w:val="000000" w:themeColor="text1"/>
          <w:sz w:val="32"/>
          <w:szCs w:val="32"/>
          <w:highlight w:val="none"/>
          <w14:textFill>
            <w14:solidFill>
              <w14:schemeClr w14:val="tx1"/>
            </w14:solidFill>
          </w14:textFill>
        </w:rPr>
        <w:t>、信息网络与数据中心（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省教育网络中心、</w:t>
      </w:r>
      <w:r>
        <w:rPr>
          <w:rFonts w:hint="eastAsia" w:ascii="仿宋_GB2312" w:hAnsi="仿宋_GB2312" w:eastAsia="仿宋_GB2312" w:cs="仿宋_GB2312"/>
          <w:color w:val="000000" w:themeColor="text1"/>
          <w:sz w:val="32"/>
          <w:szCs w:val="32"/>
          <w:highlight w:val="none"/>
          <w14:textFill>
            <w14:solidFill>
              <w14:schemeClr w14:val="tx1"/>
            </w14:solidFill>
          </w14:textFill>
        </w:rPr>
        <w:t>信息办公室）、继续教育学院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高校师资培训中心、职教师资培训中心）、</w:t>
      </w:r>
      <w:r>
        <w:rPr>
          <w:rFonts w:hint="eastAsia" w:ascii="仿宋_GB2312" w:hAnsi="仿宋_GB2312" w:eastAsia="仿宋_GB2312" w:cs="仿宋_GB2312"/>
          <w:color w:val="000000" w:themeColor="text1"/>
          <w:sz w:val="32"/>
          <w:szCs w:val="32"/>
          <w:highlight w:val="none"/>
          <w14:textFill>
            <w14:solidFill>
              <w14:schemeClr w14:val="tx1"/>
            </w14:solidFill>
          </w14:textFill>
        </w:rPr>
        <w:t>发展规划与学科建设中心、研究生学院（研究生工作部）、海南教育改革与发展研究院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基础教育课程与教学研究基地）</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人才服务中心、党委党校、</w:t>
      </w:r>
      <w:r>
        <w:rPr>
          <w:rFonts w:hint="eastAsia" w:ascii="仿宋_GB2312" w:hAnsi="仿宋_GB2312" w:eastAsia="仿宋_GB2312" w:cs="仿宋_GB2312"/>
          <w:color w:val="000000" w:themeColor="text1"/>
          <w:sz w:val="32"/>
          <w:szCs w:val="32"/>
          <w:highlight w:val="none"/>
          <w14:textFill>
            <w14:solidFill>
              <w14:schemeClr w14:val="tx1"/>
            </w14:solidFill>
          </w14:textFill>
        </w:rPr>
        <w:t>通识教育中心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东坡书院、科学技术院、人文社会科学院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实验室建设与管理中心、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非学历教育管理中心、</w:t>
      </w:r>
      <w:r>
        <w:rPr>
          <w:rFonts w:hint="eastAsia" w:ascii="仿宋_GB2312" w:hAnsi="仿宋_GB2312" w:eastAsia="仿宋_GB2312" w:cs="仿宋_GB2312"/>
          <w:color w:val="000000" w:themeColor="text1"/>
          <w:sz w:val="32"/>
          <w:szCs w:val="32"/>
          <w:highlight w:val="none"/>
          <w14:textFill>
            <w14:solidFill>
              <w14:schemeClr w14:val="tx1"/>
            </w14:solidFill>
          </w14:textFill>
        </w:rPr>
        <w:t>基础教育集团、财务服务中心、教学质量监控与评价中心、创新教育与实践教学中心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2.群团组织3个：教育工会、</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共青</w:t>
      </w:r>
      <w:r>
        <w:rPr>
          <w:rFonts w:hint="eastAsia" w:ascii="仿宋_GB2312" w:hAnsi="仿宋_GB2312" w:eastAsia="仿宋_GB2312" w:cs="仿宋_GB2312"/>
          <w:color w:val="000000" w:themeColor="text1"/>
          <w:sz w:val="32"/>
          <w:szCs w:val="32"/>
          <w:highlight w:val="none"/>
          <w14:textFill>
            <w14:solidFill>
              <w14:schemeClr w14:val="tx1"/>
            </w14:solidFill>
          </w14:textFill>
        </w:rPr>
        <w:t>团、妇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女</w:t>
      </w:r>
      <w:r>
        <w:rPr>
          <w:rFonts w:hint="eastAsia" w:ascii="仿宋_GB2312" w:hAnsi="仿宋_GB2312" w:eastAsia="仿宋_GB2312" w:cs="仿宋_GB2312"/>
          <w:color w:val="000000" w:themeColor="text1"/>
          <w:sz w:val="32"/>
          <w:szCs w:val="32"/>
          <w:highlight w:val="none"/>
          <w14:textFill>
            <w14:solidFill>
              <w14:schemeClr w14:val="tx1"/>
            </w14:solidFill>
          </w14:textFill>
        </w:rPr>
        <w:t>联</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合会</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3.教学单位23个学院：初等教育学院、文学院、新闻传播与影视学院、经济与管理学院、音乐学院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民族民间文艺发展中心南海音乐文化研究基地）</w:t>
      </w:r>
      <w:r>
        <w:rPr>
          <w:rFonts w:hint="eastAsia" w:ascii="仿宋_GB2312" w:hAnsi="仿宋_GB2312" w:eastAsia="仿宋_GB2312" w:cs="仿宋_GB2312"/>
          <w:color w:val="000000" w:themeColor="text1"/>
          <w:sz w:val="32"/>
          <w:szCs w:val="32"/>
          <w:highlight w:val="none"/>
          <w14:textFill>
            <w14:solidFill>
              <w14:schemeClr w14:val="tx1"/>
            </w14:solidFill>
          </w14:textFill>
        </w:rPr>
        <w:t>、美术学院、物理与电子工程学院、信息科学技术学院、化学与化工学院、生命科学学院（生物多样性博物馆）、地理与环境科学学院、马克思主义学院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中国特色社会主义理论研究中心、生态文明研究中心</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马克思主义理论研究和建设的协同创新基地、海上丝绸之路研究院）、</w:t>
      </w:r>
      <w:r>
        <w:rPr>
          <w:rFonts w:hint="eastAsia" w:ascii="仿宋_GB2312" w:hAnsi="仿宋_GB2312" w:eastAsia="仿宋_GB2312" w:cs="仿宋_GB2312"/>
          <w:color w:val="000000" w:themeColor="text1"/>
          <w:sz w:val="32"/>
          <w:szCs w:val="32"/>
          <w:highlight w:val="none"/>
          <w14:textFill>
            <w14:solidFill>
              <w14:schemeClr w14:val="tx1"/>
            </w14:solidFill>
          </w14:textFill>
        </w:rPr>
        <w:t>法学院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海南经济特区法治战略研究基地、海南省廉洁文化研究基地）</w:t>
      </w:r>
      <w:r>
        <w:rPr>
          <w:rFonts w:hint="eastAsia" w:ascii="仿宋_GB2312" w:hAnsi="仿宋_GB2312" w:eastAsia="仿宋_GB2312" w:cs="仿宋_GB2312"/>
          <w:color w:val="000000" w:themeColor="text1"/>
          <w:sz w:val="32"/>
          <w:szCs w:val="32"/>
          <w:highlight w:val="none"/>
          <w14:textFill>
            <w14:solidFill>
              <w14:schemeClr w14:val="tx1"/>
            </w14:solidFill>
          </w14:textFill>
        </w:rPr>
        <w:t>、外国语学院（</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出国人员外语培训中心、国际语言服务学院</w:t>
      </w:r>
      <w:r>
        <w:rPr>
          <w:rFonts w:hint="eastAsia" w:ascii="仿宋_GB2312" w:hAnsi="仿宋_GB2312" w:eastAsia="仿宋_GB2312" w:cs="仿宋_GB2312"/>
          <w:color w:val="000000" w:themeColor="text1"/>
          <w:sz w:val="32"/>
          <w:szCs w:val="32"/>
          <w:highlight w:val="none"/>
          <w14:textFill>
            <w14:solidFill>
              <w14:schemeClr w14:val="tx1"/>
            </w14:solidFill>
          </w14:textFill>
        </w:rPr>
        <w:t>）、数学与统计学院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数据科学与智慧教育教育部重点实验室）</w:t>
      </w:r>
      <w:r>
        <w:rPr>
          <w:rFonts w:hint="eastAsia" w:ascii="仿宋_GB2312" w:hAnsi="仿宋_GB2312" w:eastAsia="仿宋_GB2312" w:cs="仿宋_GB2312"/>
          <w:color w:val="000000" w:themeColor="text1"/>
          <w:sz w:val="32"/>
          <w:szCs w:val="32"/>
          <w:highlight w:val="none"/>
          <w14:textFill>
            <w14:solidFill>
              <w14:schemeClr w14:val="tx1"/>
            </w14:solidFill>
          </w14:textFill>
        </w:rPr>
        <w:t>、体育学院、旅游学院、国际教育学院（</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东南亚汉语推广师资培训基地、华文教育基地、</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海南来琼国际学生预科教育学院）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足球学院、教育学院、心理学院、教师教育学院（海南省中学教师继续教育培训中心）、历史文化学院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南海区域文化研究中心）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4.下属（附属）单位6个：</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海南师范大学</w:t>
      </w:r>
      <w:r>
        <w:rPr>
          <w:rFonts w:hint="eastAsia" w:ascii="仿宋_GB2312" w:hAnsi="仿宋_GB2312" w:eastAsia="仿宋_GB2312" w:cs="仿宋_GB2312"/>
          <w:color w:val="000000" w:themeColor="text1"/>
          <w:sz w:val="32"/>
          <w:szCs w:val="32"/>
          <w:highlight w:val="none"/>
          <w14:textFill>
            <w14:solidFill>
              <w14:schemeClr w14:val="tx1"/>
            </w14:solidFill>
          </w14:textFill>
        </w:rPr>
        <w:t>附属中学、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海南师范大学</w:t>
      </w:r>
      <w:r>
        <w:rPr>
          <w:rFonts w:hint="eastAsia" w:ascii="仿宋_GB2312" w:hAnsi="仿宋_GB2312" w:eastAsia="仿宋_GB2312" w:cs="仿宋_GB2312"/>
          <w:color w:val="000000" w:themeColor="text1"/>
          <w:sz w:val="32"/>
          <w:szCs w:val="32"/>
          <w:highlight w:val="none"/>
          <w14:textFill>
            <w14:solidFill>
              <w14:schemeClr w14:val="tx1"/>
            </w14:solidFill>
          </w14:textFill>
        </w:rPr>
        <w:t>附属小学、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海南师范大学</w:t>
      </w:r>
      <w:r>
        <w:rPr>
          <w:rFonts w:hint="eastAsia" w:ascii="仿宋_GB2312" w:hAnsi="仿宋_GB2312" w:eastAsia="仿宋_GB2312" w:cs="仿宋_GB2312"/>
          <w:color w:val="000000" w:themeColor="text1"/>
          <w:sz w:val="32"/>
          <w:szCs w:val="32"/>
          <w:highlight w:val="none"/>
          <w14:textFill>
            <w14:solidFill>
              <w14:schemeClr w14:val="tx1"/>
            </w14:solidFill>
          </w14:textFill>
        </w:rPr>
        <w:t>附属幼儿园、</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海南师范大学</w:t>
      </w:r>
      <w:r>
        <w:rPr>
          <w:rFonts w:hint="eastAsia" w:ascii="仿宋_GB2312" w:hAnsi="仿宋_GB2312" w:eastAsia="仿宋_GB2312" w:cs="仿宋_GB2312"/>
          <w:color w:val="000000" w:themeColor="text1"/>
          <w:sz w:val="32"/>
          <w:szCs w:val="32"/>
          <w:highlight w:val="none"/>
          <w14:textFill>
            <w14:solidFill>
              <w14:schemeClr w14:val="tx1"/>
            </w14:solidFill>
          </w14:textFill>
        </w:rPr>
        <w:t>医院、海南教育期刊社、资产经营管理有限公司</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职业技能培训中心）</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pStyle w:val="18"/>
        <w:numPr>
          <w:ilvl w:val="0"/>
          <w:numId w:val="0"/>
        </w:numPr>
        <w:ind w:firstLine="640" w:firstLineChars="200"/>
        <w:jc w:val="left"/>
        <w:rPr>
          <w:rFonts w:hint="eastAsia" w:ascii="黑体" w:hAnsi="黑体" w:eastAsia="黑体"/>
          <w:sz w:val="32"/>
          <w:szCs w:val="32"/>
          <w:u w:val="none"/>
        </w:rPr>
      </w:pPr>
      <w:r>
        <w:rPr>
          <w:rFonts w:hint="eastAsia" w:ascii="黑体" w:hAnsi="黑体" w:eastAsia="黑体"/>
          <w:sz w:val="32"/>
          <w:szCs w:val="32"/>
          <w:u w:val="none"/>
          <w:lang w:eastAsia="zh-CN"/>
        </w:rPr>
        <w:t>二、</w:t>
      </w:r>
      <w:r>
        <w:rPr>
          <w:rFonts w:hint="eastAsia" w:ascii="黑体" w:hAnsi="黑体" w:eastAsia="黑体"/>
          <w:sz w:val="32"/>
          <w:szCs w:val="32"/>
          <w:u w:val="none"/>
        </w:rPr>
        <w:t>部门预算单位构成（单位公开没有这部分内容）</w:t>
      </w:r>
    </w:p>
    <w:p>
      <w:pPr>
        <w:ind w:firstLine="640" w:firstLineChars="200"/>
        <w:jc w:val="both"/>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无此类情况。</w:t>
      </w:r>
    </w:p>
    <w:p>
      <w:pPr>
        <w:ind w:firstLine="640" w:firstLineChars="200"/>
        <w:jc w:val="both"/>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p>
    <w:p>
      <w:pPr>
        <w:ind w:firstLine="643" w:firstLineChars="200"/>
        <w:jc w:val="center"/>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14:textFill>
            <w14:solidFill>
              <w14:schemeClr w14:val="tx1"/>
            </w14:solidFill>
          </w14:textFill>
        </w:rPr>
        <w:t>第二部分 海南师范大学（本级）2024年预算表</w:t>
      </w:r>
    </w:p>
    <w:p>
      <w:pPr>
        <w:jc w:val="center"/>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jc w:val="center"/>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color w:val="000000" w:themeColor="text1"/>
          <w:sz w:val="32"/>
          <w:szCs w:val="32"/>
          <w:highlight w:val="none"/>
          <w14:textFill>
            <w14:solidFill>
              <w14:schemeClr w14:val="tx1"/>
            </w14:solidFill>
          </w14:textFill>
        </w:rPr>
        <w:t>此部分内容即为部门或单位预算公开表</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ind w:firstLine="643" w:firstLineChars="200"/>
        <w:jc w:val="center"/>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14:textFill>
            <w14:solidFill>
              <w14:schemeClr w14:val="tx1"/>
            </w14:solidFill>
          </w14:textFill>
        </w:rPr>
        <w:t>第三部分海南师范大学（本级）2024年预算情况说明</w:t>
      </w:r>
    </w:p>
    <w:p>
      <w:pPr>
        <w:rPr>
          <w:rFonts w:hint="eastAsia" w:ascii="仿宋_GB2312" w:hAnsi="仿宋_GB2312" w:eastAsia="仿宋_GB2312" w:cs="仿宋_GB2312"/>
          <w:b/>
          <w:color w:val="000000" w:themeColor="text1"/>
          <w:sz w:val="32"/>
          <w:szCs w:val="32"/>
          <w:highlight w:val="none"/>
          <w14:textFill>
            <w14:solidFill>
              <w14:schemeClr w14:val="tx1"/>
            </w14:solidFill>
          </w14:textFill>
        </w:rPr>
      </w:pP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一、关于海南师范大学（本级）2024年财政拨款收支预算情况的总体说明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本级）2024年财政拨款收支总预算75,642.89万元，比上年增加506.16万元，主要是一般公共服务支出增加12.20万元，教育支出减少1,713.00万元、科学技术支出增加1,066.65万元、社会保障和就业支出增加696.63万元、卫生健康支出增加205.98万元、住房保障支出增加255.83万元、其他支出减少18.13万元。其中，收入总计75,642.89万元，包括一般公共预算本年收入66,190.75万元、政府性基金预算本年收入20.00万元、上年一般公共预算拨款结转9,395.74万元、上年结转政府性基金拨款结转36.40万元；支出总计75,642.89万元，包括一般公共服务支出59.00万元、教育支出63,892.56万元、科学技术支出3,854.23万元、社会保障和就业支出4,296.14万元、卫生健康支出1,307.59万元、住房保障支出2,176.97万元、其他支出56.4</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二、关于海南师范大学（本级）2024年一般公共预算当年拨款情况说明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（一）一般公共预算当年规模变化情况</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海南师范大学（本级）2024年一般公共预算当年拨款75,</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586</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48</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万元，比上年预算数增加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524.28</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万元。主要是一般公共服务支出增加12.20万元，教育支出减少1,713.00万元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科学技术支出增加1,066.65万元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社会保障和就业支出增加696.63万元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卫生健康支出增加205.98万元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住房保障支出增加255.8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（二）一般公共预算当年拨款结构情况</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一般公共服务支出59.00万元，占0.08%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教育（类）支出63,892.56万元，占84.</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53</w:t>
      </w:r>
      <w:r>
        <w:rPr>
          <w:rFonts w:hint="eastAsia" w:ascii="仿宋_GB2312" w:hAnsi="仿宋_GB2312" w:eastAsia="仿宋_GB2312" w:cs="仿宋_GB2312"/>
          <w:color w:val="000000" w:themeColor="text1"/>
          <w:sz w:val="32"/>
          <w:szCs w:val="32"/>
          <w:highlight w:val="none"/>
          <w14:textFill>
            <w14:solidFill>
              <w14:schemeClr w14:val="tx1"/>
            </w14:solidFill>
          </w14:textFill>
        </w:rPr>
        <w:t>%；科学技术（类）支出3,854.23万元，占5.1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highlight w:val="none"/>
          <w14:textFill>
            <w14:solidFill>
              <w14:schemeClr w14:val="tx1"/>
            </w14:solidFill>
          </w14:textFill>
        </w:rPr>
        <w:t>%；社会保障和就业支出4,296.1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万元，占5.68%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卫生健康支出1,307.59万元，占1.73%</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住房保障支出2,176.9</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万元，2.8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（三）一般公共预算当年拨款具体使用情况</w:t>
      </w:r>
      <w:bookmarkStart w:id="0" w:name="_GoBack"/>
      <w:bookmarkEnd w:id="0"/>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1.一般公共服务支出（类）知识产权事务（款）其他知识产权事务支出（项）2024年预算数为59.00万元，比去年增加12.20万元，主要用于国外授权的专利和国内授权的发明专利奖励增多。</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2.教育支出（类）普通教育（款）高等教育（项）2024年预算数为63,264.36万元，比去年减少13.40万元，主要是基本支出增加2,299.25万元，项目支出减少2,312.65万元。</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3.教育支出（类）留学教育（款）来华留学教育（项）2024年预算数为628.20万元，比去年减少191.00万元 ,主要是2023年度22人未获奖学金</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海南省政府奖学金生有4人未按时报到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及</w:t>
      </w:r>
      <w:r>
        <w:rPr>
          <w:rFonts w:hint="eastAsia" w:ascii="仿宋_GB2312" w:hAnsi="仿宋_GB2312" w:eastAsia="仿宋_GB2312" w:cs="仿宋_GB2312"/>
          <w:color w:val="000000" w:themeColor="text1"/>
          <w:sz w:val="32"/>
          <w:szCs w:val="32"/>
          <w:highlight w:val="none"/>
          <w14:textFill>
            <w14:solidFill>
              <w14:schemeClr w14:val="tx1"/>
            </w14:solidFill>
          </w14:textFill>
        </w:rPr>
        <w:t>2023年毕业人数比2022年毕业人数多33人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造成2024年</w:t>
      </w:r>
      <w:r>
        <w:rPr>
          <w:rFonts w:hint="eastAsia" w:ascii="仿宋_GB2312" w:hAnsi="仿宋_GB2312" w:eastAsia="仿宋_GB2312" w:cs="仿宋_GB2312"/>
          <w:color w:val="000000" w:themeColor="text1"/>
          <w:sz w:val="32"/>
          <w:szCs w:val="32"/>
          <w:highlight w:val="none"/>
          <w14:textFill>
            <w14:solidFill>
              <w14:schemeClr w14:val="tx1"/>
            </w14:solidFill>
          </w14:textFill>
        </w:rPr>
        <w:t>获批奖学金额度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较2023年</w:t>
      </w:r>
      <w:r>
        <w:rPr>
          <w:rFonts w:hint="eastAsia" w:ascii="仿宋_GB2312" w:hAnsi="仿宋_GB2312" w:eastAsia="仿宋_GB2312" w:cs="仿宋_GB2312"/>
          <w:color w:val="000000" w:themeColor="text1"/>
          <w:sz w:val="32"/>
          <w:szCs w:val="32"/>
          <w:highlight w:val="none"/>
          <w14:textFill>
            <w14:solidFill>
              <w14:schemeClr w14:val="tx1"/>
            </w14:solidFill>
          </w14:textFill>
        </w:rPr>
        <w:t>减少。</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4.科学技术支出（类）基础研究（款）自然科学基金（项）2024年预算数为812.24万元，比去年增加23.98万元 ，主要是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获批的</w:t>
      </w:r>
      <w:r>
        <w:rPr>
          <w:rFonts w:hint="eastAsia" w:ascii="仿宋_GB2312" w:hAnsi="仿宋_GB2312" w:eastAsia="仿宋_GB2312" w:cs="仿宋_GB2312"/>
          <w:color w:val="000000" w:themeColor="text1"/>
          <w:sz w:val="32"/>
          <w:szCs w:val="32"/>
          <w:highlight w:val="none"/>
          <w14:textFill>
            <w14:solidFill>
              <w14:schemeClr w14:val="tx1"/>
            </w14:solidFill>
          </w14:textFill>
        </w:rPr>
        <w:t>科技厅项目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较2023年有所</w:t>
      </w:r>
      <w:r>
        <w:rPr>
          <w:rFonts w:hint="eastAsia" w:ascii="仿宋_GB2312" w:hAnsi="仿宋_GB2312" w:eastAsia="仿宋_GB2312" w:cs="仿宋_GB2312"/>
          <w:color w:val="000000" w:themeColor="text1"/>
          <w:sz w:val="32"/>
          <w:szCs w:val="32"/>
          <w:highlight w:val="none"/>
          <w14:textFill>
            <w14:solidFill>
              <w14:schemeClr w14:val="tx1"/>
            </w14:solidFill>
          </w14:textFill>
        </w:rPr>
        <w:t>增</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5.科学技术支出（类）基础研究（款）科技人才队伍建设（项）2024年预算数为289.52万元，比去年增加202.47万元，主要是科技项目获奖奖励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金较2023年有所增加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6.科学技术支出（类）应用研究（款）其他应用研究支出（项）2024年预算数为773.00万元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比去年增加773.00万元，主要是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新增了</w:t>
      </w:r>
      <w:r>
        <w:rPr>
          <w:rFonts w:hint="eastAsia" w:ascii="仿宋_GB2312" w:hAnsi="仿宋_GB2312" w:eastAsia="仿宋_GB2312" w:cs="仿宋_GB2312"/>
          <w:color w:val="000000" w:themeColor="text1"/>
          <w:sz w:val="32"/>
          <w:szCs w:val="32"/>
          <w:highlight w:val="none"/>
          <w14:textFill>
            <w14:solidFill>
              <w14:schemeClr w14:val="tx1"/>
            </w14:solidFill>
          </w14:textFill>
        </w:rPr>
        <w:t>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02</w:t>
      </w:r>
      <w:r>
        <w:rPr>
          <w:rFonts w:hint="eastAsia" w:ascii="仿宋_GB2312" w:hAnsi="仿宋_GB2312" w:eastAsia="仿宋_GB2312" w:cs="仿宋_GB2312"/>
          <w:color w:val="000000" w:themeColor="text1"/>
          <w:sz w:val="32"/>
          <w:szCs w:val="32"/>
          <w:highlight w:val="none"/>
          <w14:textFill>
            <w14:solidFill>
              <w14:schemeClr w14:val="tx1"/>
            </w14:solidFill>
          </w14:textFill>
        </w:rPr>
        <w:t>3年重点研发项目及院士创新平台科研项目获奖奖励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金</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7.科学技术支出（类）技术研究与开发（款）其他技术研究与开支出（项）2024年预算数为64.00万，比去年增加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64</w:t>
      </w:r>
      <w:r>
        <w:rPr>
          <w:rFonts w:hint="eastAsia" w:ascii="仿宋_GB2312" w:hAnsi="仿宋_GB2312" w:eastAsia="仿宋_GB2312" w:cs="仿宋_GB2312"/>
          <w:color w:val="000000" w:themeColor="text1"/>
          <w:sz w:val="32"/>
          <w:szCs w:val="32"/>
          <w:highlight w:val="none"/>
          <w14:textFill>
            <w14:solidFill>
              <w14:schemeClr w14:val="tx1"/>
            </w14:solidFill>
          </w14:textFill>
        </w:rPr>
        <w:t>.00万元，主要是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新增了</w:t>
      </w:r>
      <w:r>
        <w:rPr>
          <w:rFonts w:hint="eastAsia" w:ascii="仿宋_GB2312" w:hAnsi="仿宋_GB2312" w:eastAsia="仿宋_GB2312" w:cs="仿宋_GB2312"/>
          <w:color w:val="000000" w:themeColor="text1"/>
          <w:sz w:val="32"/>
          <w:szCs w:val="32"/>
          <w:highlight w:val="none"/>
          <w14:textFill>
            <w14:solidFill>
              <w14:schemeClr w14:val="tx1"/>
            </w14:solidFill>
          </w14:textFill>
        </w:rPr>
        <w:t>中国</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工程科技发展战略研究项目的配套经费。</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8.科学技术支出（类）科技条件与服务（款）科技条件专项（项）2024年预算数为298.42万元，比去年减少353.61万元。</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9.科学技术支出（类）科技条件与服务（款）其他科技条件与服务支出（项）2024年预算数为633.19万元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比去年增加633.19</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万元。主要是新增了重点实验室、院士团队创新中心建设经费及</w:t>
      </w:r>
      <w:r>
        <w:rPr>
          <w:rFonts w:hint="eastAsia" w:ascii="仿宋_GB2312" w:hAnsi="仿宋_GB2312" w:eastAsia="仿宋_GB2312" w:cs="仿宋_GB2312"/>
          <w:color w:val="000000" w:themeColor="text1"/>
          <w:sz w:val="32"/>
          <w:szCs w:val="32"/>
          <w:highlight w:val="none"/>
          <w14:textFill>
            <w14:solidFill>
              <w14:schemeClr w14:val="tx1"/>
            </w14:solidFill>
          </w14:textFill>
        </w:rPr>
        <w:t>大型科学仪器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购置费</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10.科学技术支出（类）科学技术普及 (款)科普活动（项）</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2024年预算数16.00万元，比去年增加16.00万元。主要是新增</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了</w:t>
      </w:r>
      <w:r>
        <w:rPr>
          <w:rFonts w:hint="eastAsia" w:ascii="仿宋_GB2312" w:hAnsi="仿宋_GB2312" w:eastAsia="仿宋_GB2312" w:cs="仿宋_GB2312"/>
          <w:color w:val="000000" w:themeColor="text1"/>
          <w:sz w:val="32"/>
          <w:szCs w:val="32"/>
          <w:highlight w:val="none"/>
          <w14:textFill>
            <w14:solidFill>
              <w14:schemeClr w14:val="tx1"/>
            </w14:solidFill>
          </w14:textFill>
        </w:rPr>
        <w:t>两个科普馆</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highlight w:val="none"/>
          <w14:textFill>
            <w14:solidFill>
              <w14:schemeClr w14:val="tx1"/>
            </w14:solidFill>
          </w14:textFill>
        </w:rPr>
        <w:t>获奖</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奖励金</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11.科学技术支出（类）科学技术普及（款）其他科学技术普及出（项）2024年预算为1.20万元，比去年减少8.80万元。</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12.科学技术支出（类）科技重大项目（款）科技重大专项（项）2024年预算数为116.83万元，比去年减少33.49万元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13.科学技术支出（类）科技重大项目（款）重点研发计划（项）2024年预算数为450.72万元，比去年减少230.62万元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14.科学技术支出（类）其他科学技术支出（款）科技奖励（项）2024年预算数为28.00万元，比去年增加20.00万元，主要是老师获得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highlight w:val="none"/>
          <w14:textFill>
            <w14:solidFill>
              <w14:schemeClr w14:val="tx1"/>
            </w14:solidFill>
          </w14:textFill>
        </w:rPr>
        <w:t>技术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奖励金较2023年有所增加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15.科学技术支出（类）其他科学技术支出（款）其他科学技术支出（项）2024年预算数为371.11万元，比去年减少39.47万元。</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16.社会保障和就业支出(类)行政事业单位养老支出(款)事业单位离退休(项)2024年预算数为53.37万元，比去年增加3.57万元，主要是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离休费标准较2023年有所增加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17.社会保障和就业支出(类)行政事业单位养老支出(款)机关事业单位基本养老保险缴费支出(项)2024年预算数为2,729.76万元，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比</w:t>
      </w:r>
      <w:r>
        <w:rPr>
          <w:rFonts w:hint="eastAsia" w:ascii="仿宋_GB2312" w:hAnsi="仿宋_GB2312" w:eastAsia="仿宋_GB2312" w:cs="仿宋_GB2312"/>
          <w:color w:val="000000" w:themeColor="text1"/>
          <w:sz w:val="32"/>
          <w:szCs w:val="32"/>
          <w:highlight w:val="none"/>
          <w14:textFill>
            <w14:solidFill>
              <w14:schemeClr w14:val="tx1"/>
            </w14:solidFill>
          </w14:textFill>
        </w:rPr>
        <w:t>去年增加38</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14:textFill>
            <w14:solidFill>
              <w14:schemeClr w14:val="tx1"/>
            </w14:solidFill>
          </w14:textFill>
        </w:rPr>
        <w:t>.73万元，主要是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机</w:t>
      </w:r>
      <w:r>
        <w:rPr>
          <w:rFonts w:hint="eastAsia" w:ascii="仿宋_GB2312" w:hAnsi="仿宋_GB2312" w:eastAsia="仿宋_GB2312" w:cs="仿宋_GB2312"/>
          <w:color w:val="000000" w:themeColor="text1"/>
          <w:sz w:val="32"/>
          <w:szCs w:val="32"/>
          <w:highlight w:val="none"/>
          <w14:textFill>
            <w14:solidFill>
              <w14:schemeClr w14:val="tx1"/>
            </w14:solidFill>
          </w14:textFill>
        </w:rPr>
        <w:t>关事业单位基本养老保险缴费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基数较2023年有所增加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18. 社会保障和就业支出(类)行政事业单位养老支出(款)事业单位职业年金缴费支出(项)2024年预算数为1,364.88万元，比去年增加193.86万元，主要是职业年金缴费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基数较2023年有所增加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19.社会保障和就业支出(类)抚恤(款)死亡抚恤（项）2024年预算数为97.71万元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比去年增加97.71万元，主要是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核实并安排了</w:t>
      </w:r>
      <w:r>
        <w:rPr>
          <w:rFonts w:hint="eastAsia" w:ascii="仿宋_GB2312" w:hAnsi="仿宋_GB2312" w:eastAsia="仿宋_GB2312" w:cs="仿宋_GB2312"/>
          <w:color w:val="000000" w:themeColor="text1"/>
          <w:sz w:val="32"/>
          <w:szCs w:val="32"/>
          <w:highlight w:val="none"/>
          <w14:textFill>
            <w14:solidFill>
              <w14:schemeClr w14:val="tx1"/>
            </w14:solidFill>
          </w14:textFill>
        </w:rPr>
        <w:t>2020年-2023年死亡抚恤金。</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20.社会保障和就业支出（类）抚恤(款)其他优抚支出（项）2024年预算数为50.41万元，比去年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13.74万元，主要遗属生活补助</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标准较2023年有所增加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21.卫生健康支出(类)行政事业单位医疗(款)事来单位医疗(项)2024年预算数为1,307.59万元，比去年增加205.98万元，主要是职工基本医疗保险缴费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基数较2023年有所增加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22.住房保障支出(类)住房改革支出(款)住房公积金(项)2024年预算数为2,176.97万元，比去年增加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255.82</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万元，主要是机关事业单位住房公积金缴费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基数较2023年有所增加</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三、关于海南师范大学（本级）2024年一般公共预算基本支出情况说明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海南师范大学2024年一般公共预算基本支出为38,097.33万元，其中：</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人员经费27,620.61万元，主要包括：基本工资、津贴补贴、绩效工资、机关事业单位基本养老保险缴费、职业年金缴费、职工基本医疗保险缴费、其他社会保障缴费、住房公积金、医疗费、其他工资福利支出、商品和服务支出（邮电费、其他交通费）、离休费、抚恤金、生活补助、奖励金、其他对个人和家庭的补助支出等。</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公用经费10,476.72万元，主要包括：其他工资福利支出、办公费、印刷费、咨询费、手续费、水费、电费、邮电费、物业管理费、差旅费、维修（护）费、租赁费、会议费、培训费、专用材料费、劳务费、委托业务费、工会经费、其他商品和服务支出、资本性支出（办公设备购置费）。</w:t>
      </w: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四、海南师范大学2024年“三公”经费预算情况说明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海南师范大学2024年“三公”经费预算数为295.00万元与去年持平。其中：</w:t>
      </w:r>
    </w:p>
    <w:p>
      <w:pPr>
        <w:spacing w:line="600" w:lineRule="exact"/>
        <w:ind w:firstLine="63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1.因公出国（境）经费100.00万元，与上年预算持平。</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我校将在严格遵守国家及省委、省政府的要求的前提下，继续做好国际交流活动计划安排，加强因公出国（境）团组的申报和审批，对因公出国（境）的人员、出访计划、资金支出预算安排等方面从严控制。海南师范大学安排的2024年出国计划，拟安排出国（境）团（组）7次，出国（境）29人。单位拟实</w:t>
      </w:r>
      <w:r>
        <w:rPr>
          <w:rFonts w:hint="eastAsia" w:ascii="仿宋_GB2312" w:hAnsi="仿宋_GB2312" w:eastAsia="仿宋_GB2312" w:cs="仿宋_GB2312"/>
          <w:color w:val="000000" w:themeColor="text1"/>
          <w:sz w:val="32"/>
          <w:szCs w:val="32"/>
          <w:highlight w:val="none"/>
          <w14:textFill>
            <w14:solidFill>
              <w14:schemeClr w14:val="tx1"/>
            </w14:solidFill>
          </w14:textFill>
        </w:rPr>
        <w:t>施的因公出国（境）计划如下：</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赴马来西亚、缅甸、老挝洽谈国际中文教育本硕博联合培养及华文教育基地建设访问团（地点：马来西亚吉隆坡、新山，缅甸仰光、老挝万象；人数：5人；时间10天；事由：国际中文教育本硕博联合培养及华文教育基地建设访问团）</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240" w:lineRule="auto"/>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海南师范大学赴英国哈德斯菲尔德大学、西苏格兰大学访问团（地点：英国伦敦、哈德斯菲尔德市；人数：5人；天数：5天；事由：洽谈中外合作办学项目）。  </w:t>
      </w:r>
    </w:p>
    <w:p>
      <w:pPr>
        <w:spacing w:line="240" w:lineRule="auto"/>
        <w:ind w:firstLine="640" w:firstLineChars="200"/>
        <w:jc w:val="left"/>
        <w:rPr>
          <w:rFonts w:hint="eastAsia" w:ascii="仿宋_GB2312" w:hAnsi="仿宋_GB2312" w:eastAsia="仿宋_GB2312" w:cs="仿宋_GB2312"/>
          <w:color w:val="000000" w:themeColor="text1"/>
          <w:sz w:val="32"/>
          <w:szCs w:val="32"/>
          <w:highlight w:val="yellow"/>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海南师范大学赴荷兰、</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德国</w:t>
      </w:r>
      <w:r>
        <w:rPr>
          <w:rFonts w:hint="eastAsia" w:ascii="仿宋_GB2312" w:hAnsi="仿宋_GB2312" w:eastAsia="仿宋_GB2312" w:cs="仿宋_GB2312"/>
          <w:color w:val="000000" w:themeColor="text1"/>
          <w:sz w:val="32"/>
          <w:szCs w:val="32"/>
          <w:highlight w:val="none"/>
          <w14:textFill>
            <w14:solidFill>
              <w14:schemeClr w14:val="tx1"/>
            </w14:solidFill>
          </w14:textFill>
        </w:rPr>
        <w:t>、瑞士关于国际人才工作站设立访问团（地点：荷兰鹿特丹、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德国</w:t>
      </w:r>
      <w:r>
        <w:rPr>
          <w:rFonts w:hint="eastAsia" w:ascii="仿宋_GB2312" w:hAnsi="仿宋_GB2312" w:eastAsia="仿宋_GB2312" w:cs="仿宋_GB2312"/>
          <w:color w:val="000000" w:themeColor="text1"/>
          <w:sz w:val="32"/>
          <w:szCs w:val="32"/>
          <w:highlight w:val="none"/>
          <w14:textFill>
            <w14:solidFill>
              <w14:schemeClr w14:val="tx1"/>
            </w14:solidFill>
          </w14:textFill>
        </w:rPr>
        <w:t>海德堡、瑞士伯尔尼</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人数：5人；天数：10天；事由：建立海南师范大学国际人才站）。</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海南师范大学赴印尼、泰国、澳大利亚访问团（地点：泰国曼谷、印尼雅加达、澳大利亚悉尼、堪培拉；人数：4人；天数：10天；事由：参加AACSB国际认证、洽谈合作办学项目、参加泰国校友会成立大会）。 </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海南师范大学赴美国徳保罗大学、凯泽大学访问团（地点：美国芝加哥、佛罗里达；人数：5人；天数：5天；事由：洽谈中外合作办学课程优化方案和体育专业高尔夫方向中外合作办学项目）。</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海南师范大学赴英国参加名校暑期学术课程（地点：英国伦敦；人数：1人；天数：20天；事由：带队学生团队参加英国名校暑期学术课程）。</w:t>
      </w:r>
    </w:p>
    <w:p>
      <w:pPr>
        <w:spacing w:line="600" w:lineRule="exact"/>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 海南师范大学赴新西兰奥克兰大学、怀卡托大学访问团（地点：新西兰奥克兰、怀卡托；人数：4人；天数：5天；事由：洽谈特殊教育、民族教育合作项目)。</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2.公务用车购置及运行费95.00万元（其中，公务用车购置费0万元，公务用车运行费95.00万元），与上年预算持平。公务用车保有存量9辆。</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3.公务接待费是100.00万元，与上年预算持平。2024年我校计划接待50批500人。</w:t>
      </w: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五、大学（本级）2024年政府性基金预算当年拨款情况说明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（一）政府性基金预算当年规模变化情况</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海南师范大学2024年政府性基金预算当年拨款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含上年结转）</w:t>
      </w:r>
      <w:r>
        <w:rPr>
          <w:rFonts w:hint="eastAsia" w:ascii="仿宋_GB2312" w:hAnsi="仿宋_GB2312" w:eastAsia="仿宋_GB2312" w:cs="仿宋_GB2312"/>
          <w:color w:val="000000" w:themeColor="text1"/>
          <w:sz w:val="32"/>
          <w:szCs w:val="32"/>
          <w:highlight w:val="none"/>
          <w14:textFill>
            <w14:solidFill>
              <w14:schemeClr w14:val="tx1"/>
            </w14:solidFill>
          </w14:textFill>
        </w:rPr>
        <w:t>56.40万元，比上年预算数减少18.13万元，主要是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该项目经</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海南省教育厅综合评估后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获批资金较2023年有所减少</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（二）政府性基金预算当年拨款结构情况</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其他支出（类）2024年预算数</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含上年结转）</w:t>
      </w:r>
      <w:r>
        <w:rPr>
          <w:rFonts w:hint="eastAsia" w:ascii="仿宋_GB2312" w:hAnsi="仿宋_GB2312" w:eastAsia="仿宋_GB2312" w:cs="仿宋_GB2312"/>
          <w:color w:val="000000" w:themeColor="text1"/>
          <w:sz w:val="32"/>
          <w:szCs w:val="32"/>
          <w:highlight w:val="none"/>
          <w14:textFill>
            <w14:solidFill>
              <w14:schemeClr w14:val="tx1"/>
            </w14:solidFill>
          </w14:textFill>
        </w:rPr>
        <w:t>为56.40万元，占100%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ind w:firstLine="800" w:firstLineChars="25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（三）政府性基金当年拨款具体使用情况</w:t>
      </w:r>
    </w:p>
    <w:p>
      <w:pPr>
        <w:ind w:firstLine="800" w:firstLineChars="25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其他支出（类）彩票公益金安排的支出（款）用于教育事业的彩票公益金支出（项）2024年预算数</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含上年结转）</w:t>
      </w:r>
      <w:r>
        <w:rPr>
          <w:rFonts w:hint="eastAsia" w:ascii="仿宋_GB2312" w:hAnsi="仿宋_GB2312" w:eastAsia="仿宋_GB2312" w:cs="仿宋_GB2312"/>
          <w:color w:val="000000" w:themeColor="text1"/>
          <w:sz w:val="32"/>
          <w:szCs w:val="32"/>
          <w:highlight w:val="none"/>
          <w14:textFill>
            <w14:solidFill>
              <w14:schemeClr w14:val="tx1"/>
            </w14:solidFill>
          </w14:textFill>
        </w:rPr>
        <w:t>为56.40万元，比上年预算减少18.13万元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主要是用于教育实践基地建设，开展省内高校大学生创新创业训练，创新创业项目筛选、培育孵化落地等工作</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六、关于海南师范大学2024年收支预算情况的总体说明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按照综合预算原则，海南师范大学所有收入和支出均纳入部门预算管理。收入包括：一般公共预算收入、政府性基金预算拨款收入、财政专户管理资金收入、事业收入、上年结转；支出包括：教育支出、科学技术支出、文化旅游体育与传媒支出、社会保障和就业支出、卫生健康支出、住房保障支出及其他支出。</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海南师范大学（本级）2024年收入总预算124,304.89万元。</w:t>
      </w: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七、关于海南师范大学（本级）2024年收入预算情况说明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本级）2024年收入预算124,304.89万元，其中：一般公共预算拨款收入66,190.75万元，占53.25%；政府性基金预算拨款收入20.00万元，占0.02%；财政专户管理资金收入23,322万元占18.76%；事业收入17,340.00万元，占13.95% ，上年结转17,432.14万元，占14.02%</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2024年收入预算</w:t>
      </w:r>
      <w:r>
        <w:rPr>
          <w:rFonts w:hint="eastAsia" w:ascii="仿宋_GB2312" w:hAnsi="仿宋_GB2312" w:eastAsia="仿宋_GB2312" w:cs="仿宋_GB2312"/>
          <w:color w:val="000000" w:themeColor="text1"/>
          <w:sz w:val="32"/>
          <w:szCs w:val="32"/>
          <w:highlight w:val="none"/>
          <w14:textFill>
            <w14:solidFill>
              <w14:schemeClr w14:val="tx1"/>
            </w14:solidFill>
          </w14:textFill>
        </w:rPr>
        <w:t>比上年增加3</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300.93万元，主要是2024年一般公共预算比上年减少6</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937.94万元；政府性基金预算比上年减少15.00万元；财政专户比上年增加2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712.50万元；事业收入与上年持平；上年结转数比2023年上年结转数增加7</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541.37万元。</w:t>
      </w: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八、关于海南师范大学（本级）2024年支出预算情况说明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海南师范大学（本级）2024年支出预算124,304.89万元，其中：基本支出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68,022.33</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54.72</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%；项目支出56,282.56万元，占45.28%。比上年预算数增加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3,300.93</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万元，主要是教育支出</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科学技术支出、</w:t>
      </w:r>
      <w:r>
        <w:rPr>
          <w:rFonts w:hint="eastAsia" w:ascii="仿宋_GB2312" w:hAnsi="仿宋_GB2312" w:eastAsia="仿宋_GB2312" w:cs="仿宋_GB2312"/>
          <w:color w:val="000000" w:themeColor="text1"/>
          <w:sz w:val="32"/>
          <w:szCs w:val="32"/>
          <w:highlight w:val="none"/>
          <w14:textFill>
            <w14:solidFill>
              <w14:schemeClr w14:val="tx1"/>
            </w14:solidFill>
          </w14:textFill>
        </w:rPr>
        <w:t>社会保障和就业支出</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卫生健康支出</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住房保障支出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等方面较2023年均有增长</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3" w:firstLineChars="200"/>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九、其他重要事项的情况说明</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（一）政府采购情况</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2024年海南师范大学（本级）政府采购预算总额5,168.85万元，其中：政府采购货物预算</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4,9</w:t>
      </w:r>
      <w:r>
        <w:rPr>
          <w:rFonts w:hint="eastAsia" w:ascii="仿宋_GB2312" w:hAnsi="仿宋_GB2312" w:eastAsia="仿宋_GB2312" w:cs="仿宋_GB2312"/>
          <w:color w:val="000000" w:themeColor="text1"/>
          <w:sz w:val="32"/>
          <w:szCs w:val="32"/>
          <w:highlight w:val="none"/>
          <w14:textFill>
            <w14:solidFill>
              <w14:schemeClr w14:val="tx1"/>
            </w14:solidFill>
          </w14:textFill>
        </w:rPr>
        <w:t>68.85万元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,采购服务预算200.00万元</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（二）国有资产占有使用情况</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截至2023年12月31日，海南师范大学本级共有车辆9辆，其中，其他用车 8辆、特种专业技术用车1辆。单位价值100.00万元以上设备18台（套）。</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（三）绩效目标设置情况</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2024年海南师范大学（本级）有45个项目实行绩效目标管理，涉及一般公共预算收入66,190.75万元、政府性基金预算收入20.00万元、财政专户管理资金收入23,322.00万元、事业收入17,340.00万元、上年结转</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8,000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其中，重点项目预算绩效情况：</w:t>
      </w:r>
    </w:p>
    <w:p>
      <w:pPr>
        <w:numPr>
          <w:ilvl w:val="0"/>
          <w:numId w:val="0"/>
        </w:num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海南师范大学学生事务补助项目，预算安排1,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14:textFill>
            <w14:solidFill>
              <w14:schemeClr w14:val="tx1"/>
            </w14:solidFill>
          </w14:textFill>
        </w:rPr>
        <w:t>27.00万元。主要用于为在校本科生按月发放副食品补贴，为师范生发放师范院校奖学金，为勤工助学学生发放勤工助学补助。绩效目标是:</w:t>
      </w:r>
    </w:p>
    <w:p>
      <w:pPr>
        <w:numPr>
          <w:ilvl w:val="0"/>
          <w:numId w:val="0"/>
        </w:numPr>
        <w:spacing w:line="560" w:lineRule="exact"/>
        <w:ind w:firstLine="320" w:firstLineChars="1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根据在校生人数，按月足额发放副食品补贴；根据在校师范生人数，按月足额发放师范生奖学金；根据适合学生个人提出申请，由学校设定勤工助学岗位予以安排，并按月结算劳动报酬。</w:t>
      </w:r>
    </w:p>
    <w:p>
      <w:pPr>
        <w:numPr>
          <w:ilvl w:val="0"/>
          <w:numId w:val="0"/>
        </w:numPr>
        <w:spacing w:line="560" w:lineRule="exact"/>
        <w:ind w:firstLine="320" w:firstLineChars="1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选派500名优秀师范生顶替我省中西部市县乡镇中学250名教师的岗位，完成两个月的顶岗实习工作：开展专业实习、见习，师范专业学生实践技能大幅度提高，从教情意明显增强。</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人才引进与培养项目，预算安排1,100.00万元。主要用于搭建聚才平台，提升服务水平，加强师资队伍建设，优化师资队伍梯队的打造，畅通人才发展渠道，营造人才终身学习的良好环境，使我校的人才梯队更加合理。绩效目标是：</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1）引进</w:t>
      </w:r>
      <w:r>
        <w:rPr>
          <w:rFonts w:hint="eastAsia" w:ascii="仿宋_GB2312" w:hAnsi="仿宋_GB2312" w:eastAsia="仿宋_GB2312" w:cs="仿宋_GB2312"/>
          <w:color w:val="000000" w:themeColor="text1"/>
          <w:sz w:val="32"/>
          <w:szCs w:val="32"/>
          <w:highlight w:val="none"/>
          <w14:textFill>
            <w14:solidFill>
              <w14:schemeClr w14:val="tx1"/>
            </w14:solidFill>
          </w14:textFill>
        </w:rPr>
        <w:t>学术带头人3</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名</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2）引进</w:t>
      </w:r>
      <w:r>
        <w:rPr>
          <w:rFonts w:hint="eastAsia" w:ascii="仿宋_GB2312" w:hAnsi="仿宋_GB2312" w:eastAsia="仿宋_GB2312" w:cs="仿宋_GB2312"/>
          <w:color w:val="000000" w:themeColor="text1"/>
          <w:sz w:val="32"/>
          <w:szCs w:val="32"/>
          <w:highlight w:val="none"/>
          <w14:textFill>
            <w14:solidFill>
              <w14:schemeClr w14:val="tx1"/>
            </w14:solidFill>
          </w14:textFill>
        </w:rPr>
        <w:t>博士、副教授以上高层次人才</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23名</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海南师范大学学生资助补助项目（高校），预算安排5,185.26万元，主要用于高中阶段和高等教育学生资助（省级资金及中央资金）、来琼留学生省政府奖学金。绩效目标是</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确保国家资助政策实施，评审时间内公平公正组织评选，确保按时、足额发放。</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资助海南省各高校面向我省部分友好省市、城市，以及一带一路沿线国家等目标国招收国际学生，促进我省与各友好省市以及一带一路沿线国家等招收目标国之间的文化及教育交流，以推进海南自由贸易港建设及一带一路发展战略进程。</w:t>
      </w:r>
    </w:p>
    <w:p>
      <w:pPr>
        <w:widowControl/>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高等学校发展资金项目，预算安排2,414.40万元。主要用于：大学生创新创业计划、高校教育教学改革项目、高校科研项目资助、2024年教学创新比赛、龙昆南校区、桂林洋校区水电基础设施改造项目。绩效目标是：</w:t>
      </w:r>
    </w:p>
    <w:p>
      <w:pPr>
        <w:widowControl/>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14:textFill>
            <w14:solidFill>
              <w14:schemeClr w14:val="tx1"/>
            </w14:solidFill>
          </w14:textFill>
        </w:rPr>
        <w:t>高校科研提升项目：2024年建设省级教育教学改革研究项目不少于38项、立项资助12个研究生教育教学改革目标，其中重点项目3个（每个3万元），一般项目9个（每个1.5万元）。自然科学类立项资助9个自然科学类高等学校科学研究项目，其中重点项目2个（每个3万元），一般项目7个（每个1.5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w:t>
      </w:r>
    </w:p>
    <w:p>
      <w:pPr>
        <w:widowControl/>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高校教育教学改革项目：建设一批省级一流本科课程，为冲击国家级一流本科课程打下基础,力争2024建成省级精品开放课程4门以上；第四届“高校教师教学创新大赛”、第十三届“青年教师教学大赛 ”活动顺利组织、圆满完成。</w:t>
      </w:r>
    </w:p>
    <w:p>
      <w:pPr>
        <w:widowControl/>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大学生创新创业计划：资助100项研究生创新科研课题和113项国家级省级创新创业项目（84.50万），遴选优秀项目参加各种创新创业大赛。</w:t>
      </w:r>
    </w:p>
    <w:p>
      <w:pPr>
        <w:widowControl/>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14:textFill>
            <w14:solidFill>
              <w14:schemeClr w14:val="tx1"/>
            </w14:solidFill>
          </w14:textFill>
        </w:rPr>
        <w:t>校园基础设施建设：根据财政资金和双方合同约定，按时支付工程款。</w:t>
      </w:r>
    </w:p>
    <w:p>
      <w:pPr>
        <w:widowControl/>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highlight w:val="none"/>
          <w14:textFill>
            <w14:solidFill>
              <w14:schemeClr w14:val="tx1"/>
            </w14:solidFill>
          </w14:textFill>
        </w:rPr>
        <w:t>举办全省教学创新比赛。</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教师队伍建设资金项目，预算安排2,358.18万元。主要用于：海南省乡村小学教师定向培养计划、海南省“乡村强师工程”项目（基层教育人才激励引育专项计划项目）、“双五百”人才工程项目、海南省乡镇骨干教师培训、海南省好校长好教师培养工程、乡镇小学骨干教师学科专业能力提升培训。绩效目标是:</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双五百”人才工程：采取U-G-S（大学—政府—中小学）协同机制，实现教师职前培养与职后培训一体化，强调理论学习与实践体验相结合，体现“学”、“思”、“悟”、“行”合一，分阶段开展“诊、引、研、导、修”一体混合式培训，即在岗带徒反思、问题诊断与理论研修、跟岗体验、校本研修与跟踪指导等进阶式培训，促进乡镇教师对于课堂教学的理解和把握，全面提升教师的课堂教学能力。</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（2）海南省乡村小学教师定向培养计划：海南省乡村教师定向公培生（含地方优师）计划学生报到率和毕业率均超过85%。</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（3）海南省“乡村强师工程”项目：采取高校集中强化培训( 15 天，安排培训任务) +省内外名校跟岗学习(省内优质学校10个月+高校理论学习15 天+省外优质学校1个月)+总结考核展示(2天) +返岗实践(2年，在实践和反思中完成培训任务) +驻校指导(1周，中期检查+终期考核)，着力提升参训人员的常规教学管理力、学科课程领导力、校本教研指导力、课堂教学改革力、区域团队建设力，推动其迅速成长为乡村教学名师。</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4）海南省乡镇骨干教师培训：海南省乡镇小学音乐、美术骨干教师教学能力提升培训项目主要一是了解小学科学教育课程目标和前沿发展动态，开拓学科视野，更新教育教学理念。二是深刻理解小学科学课程标准的理念、内涵，提升教材分析能力和教学设计能力，并能在课堂教学中进行很好地展示。三是能够设计和组织科学课堂探究活动和课外科学实践活动，充分激发学生对科学学习的兴趣，培养学生的科学思维。</w:t>
      </w:r>
    </w:p>
    <w:p>
      <w:pPr>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5）海南省好校长好教师培养工程：充分依托我校学科优势、师资优势和服务优势，分层分类开展教师教育创新计划、好校长全员培训示范性项目、好校长全员培训示范性项目、卓越校长领航项目、好教师人人行动计划、卓越教师成长计划等18个子项目，目坚持骨干培养与引领辐射相结合，打造一流好校长、好教师培训品牌项目，逐步提升我省骨干校长教师的国际素养，提升未来教育精英能力素质，为自由贸易港建设贡献卓越人才力量。</w:t>
      </w:r>
    </w:p>
    <w:p>
      <w:pPr>
        <w:numPr>
          <w:ilvl w:val="0"/>
          <w:numId w:val="0"/>
        </w:numPr>
        <w:spacing w:line="560" w:lineRule="exact"/>
        <w:ind w:firstLine="640" w:firstLineChars="200"/>
        <w:jc w:val="left"/>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海南师范大学支持地方高校改革发展项目，预算安排7,402.00万元。绩效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目标</w:t>
      </w:r>
      <w:r>
        <w:rPr>
          <w:rFonts w:hint="eastAsia" w:ascii="仿宋_GB2312" w:hAnsi="仿宋_GB2312" w:eastAsia="仿宋_GB2312" w:cs="仿宋_GB2312"/>
          <w:color w:val="000000" w:themeColor="text1"/>
          <w:sz w:val="32"/>
          <w:szCs w:val="32"/>
          <w:highlight w:val="none"/>
          <w14:textFill>
            <w14:solidFill>
              <w14:schemeClr w14:val="tx1"/>
            </w14:solidFill>
          </w14:textFill>
        </w:rPr>
        <w:t>是</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numPr>
          <w:ilvl w:val="0"/>
          <w:numId w:val="0"/>
        </w:numPr>
        <w:spacing w:line="240" w:lineRule="auto"/>
        <w:ind w:left="0" w:leftChars="0"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（1）公办本科高校生均拨款水平不低于12,000.00元的水平。</w:t>
      </w:r>
    </w:p>
    <w:p>
      <w:pPr>
        <w:numPr>
          <w:ilvl w:val="0"/>
          <w:numId w:val="0"/>
        </w:numPr>
        <w:spacing w:line="240" w:lineRule="auto"/>
        <w:ind w:left="0" w:leftChars="0"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（2）推动公办本科高等院校双一流学校建设，学科建设达到一流学科建设目标，学科科研实验条件明显改善，人才培养能力和科学研究水平明显提升。研究生培养规模得到进一步扩大。</w:t>
      </w:r>
    </w:p>
    <w:p>
      <w:pPr>
        <w:numPr>
          <w:ilvl w:val="0"/>
          <w:numId w:val="0"/>
        </w:numPr>
        <w:spacing w:line="240" w:lineRule="auto"/>
        <w:ind w:left="0" w:leftChars="0"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（3）支持的学科数量超过9个；支持的教学实验室数量超过9个。</w:t>
      </w:r>
    </w:p>
    <w:p>
      <w:pPr>
        <w:numPr>
          <w:ilvl w:val="0"/>
          <w:numId w:val="0"/>
        </w:numPr>
        <w:spacing w:line="240" w:lineRule="auto"/>
        <w:ind w:left="0" w:leftChars="0"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（4）支持的科研基地和实训中心数量超过4个。</w:t>
      </w:r>
    </w:p>
    <w:p>
      <w:pPr>
        <w:numPr>
          <w:ilvl w:val="0"/>
          <w:numId w:val="0"/>
        </w:numPr>
        <w:spacing w:line="240" w:lineRule="auto"/>
        <w:ind w:left="0" w:leftChars="0"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（5）支持创新团队数量6个。</w:t>
      </w:r>
    </w:p>
    <w:p>
      <w:pPr>
        <w:numPr>
          <w:ilvl w:val="0"/>
          <w:numId w:val="0"/>
        </w:numPr>
        <w:spacing w:line="240" w:lineRule="auto"/>
        <w:ind w:left="0" w:leftChars="0"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（6）完成支持地方高校改革发展资金确定的项目。                                         </w:t>
      </w:r>
    </w:p>
    <w:p>
      <w:pPr>
        <w:spacing w:line="560" w:lineRule="exact"/>
        <w:ind w:firstLine="640" w:firstLineChars="20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海南师范大学桂林校区二期学生公寓（18#-22#）及配套三期学生食堂基本项目，预算安排2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000.00万元。主要用于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学</w:t>
      </w:r>
      <w:r>
        <w:rPr>
          <w:rFonts w:hint="eastAsia" w:ascii="仿宋_GB2312" w:hAnsi="仿宋_GB2312" w:eastAsia="仿宋_GB2312" w:cs="仿宋_GB2312"/>
          <w:color w:val="000000" w:themeColor="text1"/>
          <w:sz w:val="32"/>
          <w:szCs w:val="32"/>
          <w:highlight w:val="none"/>
          <w14:textFill>
            <w14:solidFill>
              <w14:schemeClr w14:val="tx1"/>
            </w14:solidFill>
          </w14:textFill>
        </w:rPr>
        <w:t>生公寓建筑面积77</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000平方米，学生食堂建筑面积4</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500平方米，地下室（含人防）建筑面积7</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000平方米。建设内容包含土建工程，安装工程，道路硬化、绿化、消防、照明等室外配套工程，购置设备等。绩效目标是完成二期学生公寓及三期食堂建筑面积88,500平方米；建设工程数量2个；项目收益人数6,550人；收益群体满意度90%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该项目已于2024年1月份完成了主体工程竣工验收，预计2024年第一季度投入使用。</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桂林洋校区综合足球场及室内训练馆项目，预算安排2,000.00万元。该项目主要分两部分建设，第一部分用地面积为69,990.96平方米，建设9座足球场地，其中1座11人制丙级足球比赛足球场地，1座11人制、4座5人制、2座7人制足球专业训练场地，1座沙滩足球专业训练场地，看台及附属用房建筑面积1,500平方米，同时配套建设2处遮阳膜、绿化、道路及硬化场地、给排水及电力系统等。第二部分建设1栋室内训练馆，用地面积为7,997.20平方米，建筑面积为8,199.83平方米。绩效目标是：目前初步设计及概算已报发改委，正在走审批流程；预计2024年5月份完成全部前期申报工作。计划2024年6月份开工；预计2025年3月份竣工。</w:t>
      </w:r>
    </w:p>
    <w:p>
      <w:pPr>
        <w:pStyle w:val="2"/>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海南师范大学教育合作与交流项目财政专户管理资金安排1,000.00万元，主要用于</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合作办学项目支付给合作方的教学管理费。</w:t>
      </w:r>
      <w:r>
        <w:rPr>
          <w:rFonts w:hint="eastAsia" w:ascii="仿宋_GB2312" w:hAnsi="仿宋_GB2312" w:eastAsia="仿宋_GB2312" w:cs="仿宋_GB2312"/>
          <w:color w:val="000000" w:themeColor="text1"/>
          <w:sz w:val="32"/>
          <w:szCs w:val="32"/>
          <w:highlight w:val="none"/>
          <w14:textFill>
            <w14:solidFill>
              <w14:schemeClr w14:val="tx1"/>
            </w14:solidFill>
          </w14:textFill>
        </w:rPr>
        <w:t>绩效目标是：</w:t>
      </w:r>
    </w:p>
    <w:p>
      <w:pPr>
        <w:pStyle w:val="2"/>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巩固加强</w:t>
      </w:r>
      <w:r>
        <w:rPr>
          <w:rFonts w:hint="eastAsia" w:ascii="仿宋_GB2312" w:hAnsi="仿宋_GB2312" w:eastAsia="仿宋_GB2312" w:cs="仿宋_GB2312"/>
          <w:color w:val="000000" w:themeColor="text1"/>
          <w:sz w:val="32"/>
          <w:szCs w:val="32"/>
          <w:highlight w:val="none"/>
          <w14:textFill>
            <w14:solidFill>
              <w14:schemeClr w14:val="tx1"/>
            </w14:solidFill>
          </w14:textFill>
        </w:rPr>
        <w:t>4个合作办学点，分别是中美合作办学、中印合作办学、中俄合作办学和中意合作办学。</w:t>
      </w:r>
    </w:p>
    <w:p>
      <w:pPr>
        <w:pStyle w:val="2"/>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（2）按时支付4项外方管理费。</w:t>
      </w:r>
    </w:p>
    <w:p>
      <w:pPr>
        <w:pStyle w:val="2"/>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（3）提高合作办学水平。</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highlight w:val="none"/>
          <w14:textFill>
            <w14:solidFill>
              <w14:schemeClr w14:val="tx1"/>
            </w14:solidFill>
          </w14:textFill>
        </w:rPr>
        <w:t>海南师范大学教育教学与科研经费项目，单位资金17,340.00万元。主要用于代管项目、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科研</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项目、往来款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32"/>
          <w:szCs w:val="32"/>
          <w:highlight w:val="none"/>
          <w14:textFill>
            <w14:solidFill>
              <w14:schemeClr w14:val="tx1"/>
            </w14:solidFill>
          </w14:textFill>
        </w:rPr>
        <w:t>。绩效目标是：</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（1）确保学校1月-12月实有账户资金正常支付。</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（2）确保学校实有账户3类项目资金正常支付。</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（3）提高学校资金支付效率。</w:t>
      </w:r>
    </w:p>
    <w:p>
      <w:pPr>
        <w:spacing w:line="560" w:lineRule="exact"/>
        <w:jc w:val="center"/>
        <w:rPr>
          <w:rFonts w:hint="eastAsia" w:ascii="黑体" w:hAnsi="黑体" w:eastAsia="黑体" w:cs="黑体"/>
          <w:b/>
          <w:color w:val="000000" w:themeColor="text1"/>
          <w:sz w:val="32"/>
          <w:szCs w:val="32"/>
          <w:highlight w:val="none"/>
          <w14:textFill>
            <w14:solidFill>
              <w14:schemeClr w14:val="tx1"/>
            </w14:solidFill>
          </w14:textFill>
        </w:rPr>
      </w:pPr>
      <w:r>
        <w:rPr>
          <w:rFonts w:hint="eastAsia" w:ascii="黑体" w:hAnsi="黑体" w:eastAsia="黑体" w:cs="黑体"/>
          <w:b/>
          <w:color w:val="000000" w:themeColor="text1"/>
          <w:sz w:val="32"/>
          <w:szCs w:val="32"/>
          <w:highlight w:val="none"/>
          <w14:textFill>
            <w14:solidFill>
              <w14:schemeClr w14:val="tx1"/>
            </w14:solidFill>
          </w14:textFill>
        </w:rPr>
        <w:t>第四部分  名词解释</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一、财政拨款收入：指本级财政当年拨付的资金。</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三、政府性基金预算拨款收入：指是用于反映政府为支持某项事业发展或特定基础设施建设，依法依规向公民、法人和其他组织征收的以及出让土地、发行彩票等方式取得的具有专门用途的资金</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 xml:space="preserve">四、事业收入：指用于反映事业单位开展专业业务活动及辅助活动所取得的收入。 </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五、事业单位经营收入：指用于反映事业单位在专业活动及辅助活动之外开展非独立核算经营活动取得的收入。</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六、其他收入：指除上述“财政拨款收入”“事业收入”“经营收入”等以外的收入。</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七、上年结转：指以前年度尚未完成、结转到本年按有关规定继续使用的资金。</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八、基本支出：指行政事业单位用于为保障其机构正常运转、完成日常工作任务而发生的人员支出和公用支出。</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九、工资福利支出：反映单位开支的在职职工和编制外长期聘用人员的各类劳动报酬，以及为上述人员缴纳的各项社会保险费等。</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十二、项目支出：指各部门、各单位为完成其特定的工作任务和事业发展目标所发生的支出。</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line="56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640"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ind w:firstLine="640"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p>
    <w:sectPr>
      <w:pgSz w:w="11906" w:h="16838"/>
      <w:pgMar w:top="1985" w:right="1418" w:bottom="170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203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520"/>
    <w:rsid w:val="00001E1B"/>
    <w:rsid w:val="000079F2"/>
    <w:rsid w:val="00012A02"/>
    <w:rsid w:val="00023449"/>
    <w:rsid w:val="0002676F"/>
    <w:rsid w:val="00046137"/>
    <w:rsid w:val="00072C98"/>
    <w:rsid w:val="00077631"/>
    <w:rsid w:val="00092F7A"/>
    <w:rsid w:val="000A5E23"/>
    <w:rsid w:val="000B38CC"/>
    <w:rsid w:val="000C2574"/>
    <w:rsid w:val="000C6654"/>
    <w:rsid w:val="000D11FD"/>
    <w:rsid w:val="000D655B"/>
    <w:rsid w:val="000E771A"/>
    <w:rsid w:val="000F118D"/>
    <w:rsid w:val="000F458E"/>
    <w:rsid w:val="000F7A58"/>
    <w:rsid w:val="00122AD8"/>
    <w:rsid w:val="00125CEC"/>
    <w:rsid w:val="001414CD"/>
    <w:rsid w:val="00144922"/>
    <w:rsid w:val="00150A27"/>
    <w:rsid w:val="00154058"/>
    <w:rsid w:val="001729E5"/>
    <w:rsid w:val="00176E42"/>
    <w:rsid w:val="00193866"/>
    <w:rsid w:val="001967BF"/>
    <w:rsid w:val="001A069A"/>
    <w:rsid w:val="001A3025"/>
    <w:rsid w:val="001A4C19"/>
    <w:rsid w:val="001A72F3"/>
    <w:rsid w:val="001C4610"/>
    <w:rsid w:val="001C6B35"/>
    <w:rsid w:val="001F7821"/>
    <w:rsid w:val="00203832"/>
    <w:rsid w:val="00207904"/>
    <w:rsid w:val="00211E95"/>
    <w:rsid w:val="00213695"/>
    <w:rsid w:val="00217E50"/>
    <w:rsid w:val="0024465C"/>
    <w:rsid w:val="0024489B"/>
    <w:rsid w:val="00244B0C"/>
    <w:rsid w:val="00245982"/>
    <w:rsid w:val="00254281"/>
    <w:rsid w:val="00256062"/>
    <w:rsid w:val="002613DD"/>
    <w:rsid w:val="00266552"/>
    <w:rsid w:val="002768B3"/>
    <w:rsid w:val="00280582"/>
    <w:rsid w:val="00284E8C"/>
    <w:rsid w:val="0029744D"/>
    <w:rsid w:val="0029766B"/>
    <w:rsid w:val="002A67CC"/>
    <w:rsid w:val="002C00F7"/>
    <w:rsid w:val="002C1510"/>
    <w:rsid w:val="002C3FC1"/>
    <w:rsid w:val="002C5C48"/>
    <w:rsid w:val="002C6270"/>
    <w:rsid w:val="002D13A1"/>
    <w:rsid w:val="002D649C"/>
    <w:rsid w:val="002E4AAF"/>
    <w:rsid w:val="002E5B17"/>
    <w:rsid w:val="002F1F26"/>
    <w:rsid w:val="002F6B89"/>
    <w:rsid w:val="002F6BFF"/>
    <w:rsid w:val="003219D8"/>
    <w:rsid w:val="00322B21"/>
    <w:rsid w:val="00341407"/>
    <w:rsid w:val="003455F4"/>
    <w:rsid w:val="003558E2"/>
    <w:rsid w:val="003605B5"/>
    <w:rsid w:val="003617E3"/>
    <w:rsid w:val="00363529"/>
    <w:rsid w:val="00366B1C"/>
    <w:rsid w:val="00372A37"/>
    <w:rsid w:val="00376B55"/>
    <w:rsid w:val="00397CEF"/>
    <w:rsid w:val="003A13C9"/>
    <w:rsid w:val="003A6C27"/>
    <w:rsid w:val="003B2496"/>
    <w:rsid w:val="003B3CED"/>
    <w:rsid w:val="003C5D22"/>
    <w:rsid w:val="003D1924"/>
    <w:rsid w:val="003D4058"/>
    <w:rsid w:val="003E4DE5"/>
    <w:rsid w:val="003E683E"/>
    <w:rsid w:val="003F57EC"/>
    <w:rsid w:val="003F7A53"/>
    <w:rsid w:val="00400A1A"/>
    <w:rsid w:val="00404692"/>
    <w:rsid w:val="004250BB"/>
    <w:rsid w:val="00441D9F"/>
    <w:rsid w:val="00444F33"/>
    <w:rsid w:val="0044579D"/>
    <w:rsid w:val="0046172C"/>
    <w:rsid w:val="004632F9"/>
    <w:rsid w:val="00470033"/>
    <w:rsid w:val="00480255"/>
    <w:rsid w:val="004920CA"/>
    <w:rsid w:val="004A6121"/>
    <w:rsid w:val="004A6563"/>
    <w:rsid w:val="004E5603"/>
    <w:rsid w:val="0051419F"/>
    <w:rsid w:val="005152A4"/>
    <w:rsid w:val="0052213D"/>
    <w:rsid w:val="00522DF9"/>
    <w:rsid w:val="00527EB4"/>
    <w:rsid w:val="00535354"/>
    <w:rsid w:val="005450CB"/>
    <w:rsid w:val="005548FD"/>
    <w:rsid w:val="00557E85"/>
    <w:rsid w:val="00564762"/>
    <w:rsid w:val="00572925"/>
    <w:rsid w:val="00573972"/>
    <w:rsid w:val="0057446E"/>
    <w:rsid w:val="00576CE7"/>
    <w:rsid w:val="00576D08"/>
    <w:rsid w:val="0057745F"/>
    <w:rsid w:val="00581F18"/>
    <w:rsid w:val="00587859"/>
    <w:rsid w:val="005A0589"/>
    <w:rsid w:val="005A09D4"/>
    <w:rsid w:val="005B6B10"/>
    <w:rsid w:val="005D04A2"/>
    <w:rsid w:val="005D2ED9"/>
    <w:rsid w:val="005E1822"/>
    <w:rsid w:val="005E1FB3"/>
    <w:rsid w:val="005E3D54"/>
    <w:rsid w:val="005E77D2"/>
    <w:rsid w:val="005F1487"/>
    <w:rsid w:val="00610F53"/>
    <w:rsid w:val="00612962"/>
    <w:rsid w:val="00623BD3"/>
    <w:rsid w:val="00627E8F"/>
    <w:rsid w:val="006335E4"/>
    <w:rsid w:val="00640D79"/>
    <w:rsid w:val="006436D5"/>
    <w:rsid w:val="00646C33"/>
    <w:rsid w:val="006471E5"/>
    <w:rsid w:val="00652DED"/>
    <w:rsid w:val="006555D6"/>
    <w:rsid w:val="00655DF4"/>
    <w:rsid w:val="00660D35"/>
    <w:rsid w:val="00663AA6"/>
    <w:rsid w:val="0066505D"/>
    <w:rsid w:val="00666C48"/>
    <w:rsid w:val="00674585"/>
    <w:rsid w:val="006939AA"/>
    <w:rsid w:val="006949BF"/>
    <w:rsid w:val="006974F9"/>
    <w:rsid w:val="006A2060"/>
    <w:rsid w:val="006A58B0"/>
    <w:rsid w:val="006B2E7C"/>
    <w:rsid w:val="006B4202"/>
    <w:rsid w:val="006C3F9E"/>
    <w:rsid w:val="006F4520"/>
    <w:rsid w:val="00700287"/>
    <w:rsid w:val="00704C5D"/>
    <w:rsid w:val="007058B9"/>
    <w:rsid w:val="00705C53"/>
    <w:rsid w:val="0071128D"/>
    <w:rsid w:val="00720119"/>
    <w:rsid w:val="00726165"/>
    <w:rsid w:val="00741854"/>
    <w:rsid w:val="007502AB"/>
    <w:rsid w:val="00755CC0"/>
    <w:rsid w:val="00756732"/>
    <w:rsid w:val="00766FFC"/>
    <w:rsid w:val="00784948"/>
    <w:rsid w:val="00786BC7"/>
    <w:rsid w:val="00796700"/>
    <w:rsid w:val="007B6D12"/>
    <w:rsid w:val="007C4A61"/>
    <w:rsid w:val="007D716A"/>
    <w:rsid w:val="007E2E24"/>
    <w:rsid w:val="007E38D7"/>
    <w:rsid w:val="007E763D"/>
    <w:rsid w:val="008068A0"/>
    <w:rsid w:val="00816E50"/>
    <w:rsid w:val="00827348"/>
    <w:rsid w:val="0086127F"/>
    <w:rsid w:val="0086524D"/>
    <w:rsid w:val="00874D69"/>
    <w:rsid w:val="00880E09"/>
    <w:rsid w:val="0088602B"/>
    <w:rsid w:val="008A6786"/>
    <w:rsid w:val="008B5B86"/>
    <w:rsid w:val="008D0A41"/>
    <w:rsid w:val="008D3436"/>
    <w:rsid w:val="008E49EE"/>
    <w:rsid w:val="008E7CA0"/>
    <w:rsid w:val="009356B5"/>
    <w:rsid w:val="0095259E"/>
    <w:rsid w:val="00955356"/>
    <w:rsid w:val="009608C3"/>
    <w:rsid w:val="00972454"/>
    <w:rsid w:val="00977332"/>
    <w:rsid w:val="009852D4"/>
    <w:rsid w:val="0098752B"/>
    <w:rsid w:val="00994BAD"/>
    <w:rsid w:val="009A01FE"/>
    <w:rsid w:val="009B0985"/>
    <w:rsid w:val="009B4279"/>
    <w:rsid w:val="009B4493"/>
    <w:rsid w:val="009C193C"/>
    <w:rsid w:val="009C7075"/>
    <w:rsid w:val="009D0B2E"/>
    <w:rsid w:val="009E0672"/>
    <w:rsid w:val="009E4D50"/>
    <w:rsid w:val="009E657D"/>
    <w:rsid w:val="00A03E9A"/>
    <w:rsid w:val="00A06F97"/>
    <w:rsid w:val="00A07CAE"/>
    <w:rsid w:val="00A109DA"/>
    <w:rsid w:val="00A36861"/>
    <w:rsid w:val="00A44297"/>
    <w:rsid w:val="00A55D08"/>
    <w:rsid w:val="00A6302F"/>
    <w:rsid w:val="00A65087"/>
    <w:rsid w:val="00A655E6"/>
    <w:rsid w:val="00A945B9"/>
    <w:rsid w:val="00AA3117"/>
    <w:rsid w:val="00AB6C9E"/>
    <w:rsid w:val="00AC1D0E"/>
    <w:rsid w:val="00AC6300"/>
    <w:rsid w:val="00AC730E"/>
    <w:rsid w:val="00AC75ED"/>
    <w:rsid w:val="00AD317A"/>
    <w:rsid w:val="00AD5173"/>
    <w:rsid w:val="00AD6DF0"/>
    <w:rsid w:val="00AF07E3"/>
    <w:rsid w:val="00AF34C2"/>
    <w:rsid w:val="00AF7EA4"/>
    <w:rsid w:val="00B018A3"/>
    <w:rsid w:val="00B14504"/>
    <w:rsid w:val="00B278B2"/>
    <w:rsid w:val="00B52477"/>
    <w:rsid w:val="00B549C7"/>
    <w:rsid w:val="00B6604F"/>
    <w:rsid w:val="00B87E4F"/>
    <w:rsid w:val="00B903D3"/>
    <w:rsid w:val="00B963E8"/>
    <w:rsid w:val="00BA0E55"/>
    <w:rsid w:val="00BB2966"/>
    <w:rsid w:val="00BB2ECD"/>
    <w:rsid w:val="00BC3CE6"/>
    <w:rsid w:val="00BD6C43"/>
    <w:rsid w:val="00BE0F41"/>
    <w:rsid w:val="00BF783A"/>
    <w:rsid w:val="00C04C66"/>
    <w:rsid w:val="00C3099A"/>
    <w:rsid w:val="00C337A5"/>
    <w:rsid w:val="00C422B8"/>
    <w:rsid w:val="00C638FC"/>
    <w:rsid w:val="00C73F4F"/>
    <w:rsid w:val="00C75CA4"/>
    <w:rsid w:val="00C76D84"/>
    <w:rsid w:val="00C76FB7"/>
    <w:rsid w:val="00C90BA2"/>
    <w:rsid w:val="00CA1927"/>
    <w:rsid w:val="00CB5DFD"/>
    <w:rsid w:val="00CD53E6"/>
    <w:rsid w:val="00CE777C"/>
    <w:rsid w:val="00CF3517"/>
    <w:rsid w:val="00CF471C"/>
    <w:rsid w:val="00D12066"/>
    <w:rsid w:val="00D316D9"/>
    <w:rsid w:val="00D43CDA"/>
    <w:rsid w:val="00D53465"/>
    <w:rsid w:val="00D53AF9"/>
    <w:rsid w:val="00D7185B"/>
    <w:rsid w:val="00D73CE5"/>
    <w:rsid w:val="00D8133D"/>
    <w:rsid w:val="00D821A1"/>
    <w:rsid w:val="00D94D3B"/>
    <w:rsid w:val="00D966ED"/>
    <w:rsid w:val="00D97D0D"/>
    <w:rsid w:val="00DA332C"/>
    <w:rsid w:val="00DA3552"/>
    <w:rsid w:val="00DA4BB4"/>
    <w:rsid w:val="00DB5665"/>
    <w:rsid w:val="00DC4C91"/>
    <w:rsid w:val="00DE0DE1"/>
    <w:rsid w:val="00DE4BE7"/>
    <w:rsid w:val="00E0732C"/>
    <w:rsid w:val="00E11205"/>
    <w:rsid w:val="00E22E94"/>
    <w:rsid w:val="00E3018B"/>
    <w:rsid w:val="00E37859"/>
    <w:rsid w:val="00E40D05"/>
    <w:rsid w:val="00E52FC6"/>
    <w:rsid w:val="00E54DD3"/>
    <w:rsid w:val="00E55AAC"/>
    <w:rsid w:val="00E71625"/>
    <w:rsid w:val="00E80228"/>
    <w:rsid w:val="00E86ABA"/>
    <w:rsid w:val="00E879AC"/>
    <w:rsid w:val="00E9326C"/>
    <w:rsid w:val="00EB2F38"/>
    <w:rsid w:val="00ED2411"/>
    <w:rsid w:val="00ED67F4"/>
    <w:rsid w:val="00ED7F7E"/>
    <w:rsid w:val="00EE2EDC"/>
    <w:rsid w:val="00EE7FD5"/>
    <w:rsid w:val="00EF5348"/>
    <w:rsid w:val="00F073ED"/>
    <w:rsid w:val="00F13322"/>
    <w:rsid w:val="00F233D7"/>
    <w:rsid w:val="00F33F9C"/>
    <w:rsid w:val="00F45A92"/>
    <w:rsid w:val="00F46233"/>
    <w:rsid w:val="00F75F98"/>
    <w:rsid w:val="00F900B0"/>
    <w:rsid w:val="00F93812"/>
    <w:rsid w:val="00FA179B"/>
    <w:rsid w:val="00FA5A85"/>
    <w:rsid w:val="00FA650C"/>
    <w:rsid w:val="00FC15AB"/>
    <w:rsid w:val="00FF27F5"/>
    <w:rsid w:val="010C6E9D"/>
    <w:rsid w:val="03DD1FDA"/>
    <w:rsid w:val="06D41BB7"/>
    <w:rsid w:val="06FD7517"/>
    <w:rsid w:val="070C34A0"/>
    <w:rsid w:val="079B012D"/>
    <w:rsid w:val="09435587"/>
    <w:rsid w:val="0D463A6B"/>
    <w:rsid w:val="0DB673CF"/>
    <w:rsid w:val="0DCA0B38"/>
    <w:rsid w:val="0E483BDE"/>
    <w:rsid w:val="0ECC254B"/>
    <w:rsid w:val="118971BA"/>
    <w:rsid w:val="11EE2068"/>
    <w:rsid w:val="14883E42"/>
    <w:rsid w:val="15011344"/>
    <w:rsid w:val="1537775D"/>
    <w:rsid w:val="15453276"/>
    <w:rsid w:val="15976AD0"/>
    <w:rsid w:val="15D52E03"/>
    <w:rsid w:val="15E42BA8"/>
    <w:rsid w:val="184C3A41"/>
    <w:rsid w:val="194D204C"/>
    <w:rsid w:val="1A100C19"/>
    <w:rsid w:val="1A2D12B9"/>
    <w:rsid w:val="1AD30C61"/>
    <w:rsid w:val="1BAC1018"/>
    <w:rsid w:val="1BF92547"/>
    <w:rsid w:val="1CF308F9"/>
    <w:rsid w:val="1D2B48D2"/>
    <w:rsid w:val="1EFA75A0"/>
    <w:rsid w:val="1F950110"/>
    <w:rsid w:val="223F4A8A"/>
    <w:rsid w:val="23673947"/>
    <w:rsid w:val="243E39C7"/>
    <w:rsid w:val="244467FE"/>
    <w:rsid w:val="2550112A"/>
    <w:rsid w:val="25FC780C"/>
    <w:rsid w:val="26B22FFD"/>
    <w:rsid w:val="26BB3129"/>
    <w:rsid w:val="281A2361"/>
    <w:rsid w:val="282A5125"/>
    <w:rsid w:val="289B603E"/>
    <w:rsid w:val="298E4478"/>
    <w:rsid w:val="2A793AC8"/>
    <w:rsid w:val="2A9B4D05"/>
    <w:rsid w:val="2C162016"/>
    <w:rsid w:val="2CFD05D0"/>
    <w:rsid w:val="2E385701"/>
    <w:rsid w:val="2F1D3759"/>
    <w:rsid w:val="2F657B23"/>
    <w:rsid w:val="328855B3"/>
    <w:rsid w:val="340A3C21"/>
    <w:rsid w:val="342B6DEE"/>
    <w:rsid w:val="3499116F"/>
    <w:rsid w:val="37213B29"/>
    <w:rsid w:val="37544C5A"/>
    <w:rsid w:val="3AED3ABB"/>
    <w:rsid w:val="3BD2348C"/>
    <w:rsid w:val="3D0057B0"/>
    <w:rsid w:val="3DE525EB"/>
    <w:rsid w:val="3EE1473F"/>
    <w:rsid w:val="3F392320"/>
    <w:rsid w:val="4131037C"/>
    <w:rsid w:val="4143192B"/>
    <w:rsid w:val="41473FCE"/>
    <w:rsid w:val="417D2843"/>
    <w:rsid w:val="41BC0A7B"/>
    <w:rsid w:val="43CB5193"/>
    <w:rsid w:val="44380F44"/>
    <w:rsid w:val="453C43BE"/>
    <w:rsid w:val="453E5C83"/>
    <w:rsid w:val="45DA1EFF"/>
    <w:rsid w:val="46F038F9"/>
    <w:rsid w:val="47C36A7E"/>
    <w:rsid w:val="47C76774"/>
    <w:rsid w:val="47D431F8"/>
    <w:rsid w:val="491931B0"/>
    <w:rsid w:val="49AB525A"/>
    <w:rsid w:val="4AC95F9C"/>
    <w:rsid w:val="4AD8621E"/>
    <w:rsid w:val="4C447170"/>
    <w:rsid w:val="4C9F6DCB"/>
    <w:rsid w:val="4CB44D26"/>
    <w:rsid w:val="4CB64BE3"/>
    <w:rsid w:val="4FDB2719"/>
    <w:rsid w:val="51283A7F"/>
    <w:rsid w:val="514F2DB9"/>
    <w:rsid w:val="51502D1A"/>
    <w:rsid w:val="516046C6"/>
    <w:rsid w:val="516048A4"/>
    <w:rsid w:val="51613B0C"/>
    <w:rsid w:val="526E590A"/>
    <w:rsid w:val="547750ED"/>
    <w:rsid w:val="54A1090F"/>
    <w:rsid w:val="55D53598"/>
    <w:rsid w:val="55FC4D1E"/>
    <w:rsid w:val="56C630A3"/>
    <w:rsid w:val="56E148AD"/>
    <w:rsid w:val="5828238E"/>
    <w:rsid w:val="58627478"/>
    <w:rsid w:val="5907174D"/>
    <w:rsid w:val="59BA277B"/>
    <w:rsid w:val="59E20EC6"/>
    <w:rsid w:val="5A0A6D75"/>
    <w:rsid w:val="5A2738F6"/>
    <w:rsid w:val="5ADB7221"/>
    <w:rsid w:val="5B604585"/>
    <w:rsid w:val="5BAC364F"/>
    <w:rsid w:val="5C446D3A"/>
    <w:rsid w:val="5D6015FB"/>
    <w:rsid w:val="5DD848F0"/>
    <w:rsid w:val="5E6F6865"/>
    <w:rsid w:val="61BC1D22"/>
    <w:rsid w:val="625F0B0D"/>
    <w:rsid w:val="634E3538"/>
    <w:rsid w:val="641C6C8A"/>
    <w:rsid w:val="6615466E"/>
    <w:rsid w:val="67247460"/>
    <w:rsid w:val="675D1AF8"/>
    <w:rsid w:val="67653D9B"/>
    <w:rsid w:val="68632059"/>
    <w:rsid w:val="69CC0861"/>
    <w:rsid w:val="6B5D0FE8"/>
    <w:rsid w:val="6C782FE6"/>
    <w:rsid w:val="6CC31803"/>
    <w:rsid w:val="6DAE0205"/>
    <w:rsid w:val="6E987154"/>
    <w:rsid w:val="6FDB1131"/>
    <w:rsid w:val="712D7A50"/>
    <w:rsid w:val="73373577"/>
    <w:rsid w:val="73FF71AB"/>
    <w:rsid w:val="746247CA"/>
    <w:rsid w:val="759E5A72"/>
    <w:rsid w:val="77803DC5"/>
    <w:rsid w:val="77856693"/>
    <w:rsid w:val="77E40FE9"/>
    <w:rsid w:val="793A5994"/>
    <w:rsid w:val="7A0E7E47"/>
    <w:rsid w:val="7B485AD3"/>
    <w:rsid w:val="7B9154AD"/>
    <w:rsid w:val="7BF736D2"/>
    <w:rsid w:val="7CFD0783"/>
    <w:rsid w:val="7E287536"/>
    <w:rsid w:val="7E375573"/>
    <w:rsid w:val="7EFDD520"/>
    <w:rsid w:val="7F6E3C1F"/>
    <w:rsid w:val="7F780D14"/>
    <w:rsid w:val="7FE5342A"/>
    <w:rsid w:val="ABBF3834"/>
    <w:rsid w:val="D97F626E"/>
    <w:rsid w:val="FC6FBB23"/>
    <w:rsid w:val="FF5F5C3D"/>
    <w:rsid w:val="FF7C1A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Balloon Text"/>
    <w:basedOn w:val="1"/>
    <w:link w:val="17"/>
    <w:semiHidden/>
    <w:unhideWhenUsed/>
    <w:qFormat/>
    <w:uiPriority w:val="0"/>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jc w:val="left"/>
    </w:pPr>
    <w:rPr>
      <w:rFonts w:cs="Times New Roman"/>
      <w:kern w:val="0"/>
      <w:szCs w:val="21"/>
    </w:rPr>
  </w:style>
  <w:style w:type="character" w:styleId="9">
    <w:name w:val="Strong"/>
    <w:basedOn w:val="8"/>
    <w:qFormat/>
    <w:uiPriority w:val="22"/>
    <w:rPr>
      <w:b/>
    </w:rPr>
  </w:style>
  <w:style w:type="character" w:styleId="10">
    <w:name w:val="FollowedHyperlink"/>
    <w:basedOn w:val="8"/>
    <w:semiHidden/>
    <w:unhideWhenUsed/>
    <w:qFormat/>
    <w:uiPriority w:val="0"/>
    <w:rPr>
      <w:color w:val="555555"/>
      <w:u w:val="none"/>
    </w:rPr>
  </w:style>
  <w:style w:type="character" w:styleId="11">
    <w:name w:val="Emphasis"/>
    <w:basedOn w:val="8"/>
    <w:qFormat/>
    <w:uiPriority w:val="20"/>
  </w:style>
  <w:style w:type="character" w:styleId="12">
    <w:name w:val="Hyperlink"/>
    <w:basedOn w:val="8"/>
    <w:semiHidden/>
    <w:unhideWhenUsed/>
    <w:qFormat/>
    <w:uiPriority w:val="0"/>
    <w:rPr>
      <w:color w:val="555555"/>
      <w:u w:val="none"/>
    </w:rPr>
  </w:style>
  <w:style w:type="paragraph" w:customStyle="1" w:styleId="13">
    <w:name w:val="列出段落1"/>
    <w:basedOn w:val="1"/>
    <w:qFormat/>
    <w:uiPriority w:val="34"/>
    <w:pPr>
      <w:ind w:firstLine="420" w:firstLineChars="200"/>
    </w:pPr>
  </w:style>
  <w:style w:type="paragraph" w:customStyle="1" w:styleId="14">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15">
    <w:name w:val="页眉 字符"/>
    <w:basedOn w:val="8"/>
    <w:link w:val="5"/>
    <w:qFormat/>
    <w:uiPriority w:val="99"/>
    <w:rPr>
      <w:sz w:val="18"/>
      <w:szCs w:val="18"/>
    </w:rPr>
  </w:style>
  <w:style w:type="character" w:customStyle="1" w:styleId="16">
    <w:name w:val="页脚 字符"/>
    <w:basedOn w:val="8"/>
    <w:link w:val="4"/>
    <w:qFormat/>
    <w:uiPriority w:val="99"/>
    <w:rPr>
      <w:sz w:val="18"/>
      <w:szCs w:val="18"/>
    </w:rPr>
  </w:style>
  <w:style w:type="character" w:customStyle="1" w:styleId="17">
    <w:name w:val="批注框文本 字符"/>
    <w:basedOn w:val="8"/>
    <w:link w:val="3"/>
    <w:semiHidden/>
    <w:qFormat/>
    <w:uiPriority w:val="0"/>
    <w:rPr>
      <w:rFonts w:ascii="Calibri" w:hAnsi="Calibri" w:cs="黑体"/>
      <w:kern w:val="2"/>
      <w:sz w:val="18"/>
      <w:szCs w:val="18"/>
    </w:rPr>
  </w:style>
  <w:style w:type="paragraph" w:styleId="18">
    <w:name w:val="List Paragraph"/>
    <w:basedOn w:val="1"/>
    <w:unhideWhenUsed/>
    <w:qFormat/>
    <w:uiPriority w:val="99"/>
    <w:pPr>
      <w:ind w:firstLine="420" w:firstLineChars="200"/>
    </w:pPr>
  </w:style>
  <w:style w:type="character" w:customStyle="1" w:styleId="19">
    <w:name w:val="hover8"/>
    <w:basedOn w:val="8"/>
    <w:qFormat/>
    <w:uiPriority w:val="0"/>
    <w:rPr>
      <w:color w:val="FFFFFF"/>
      <w:shd w:val="clear" w:color="auto" w:fill="F1430E"/>
    </w:rPr>
  </w:style>
  <w:style w:type="character" w:customStyle="1" w:styleId="20">
    <w:name w:val="on"/>
    <w:basedOn w:val="8"/>
    <w:qFormat/>
    <w:uiPriority w:val="0"/>
    <w:rPr>
      <w:color w:val="FFFFFF"/>
      <w:shd w:val="clear" w:color="auto" w:fill="F1430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595B5-A958-4DB2-90BD-0A0EE8CCD4AA}">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23</Pages>
  <Words>1823</Words>
  <Characters>10397</Characters>
  <Lines>86</Lines>
  <Paragraphs>24</Paragraphs>
  <TotalTime>12</TotalTime>
  <ScaleCrop>false</ScaleCrop>
  <LinksUpToDate>false</LinksUpToDate>
  <CharactersWithSpaces>12196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2022-02-25T04:05:00Z</dcterms:created>
  <dc:creator>null,null,总收发</dc:creator>
  <cp:lastModifiedBy>lenovo</cp:lastModifiedBy>
  <cp:lastPrinted>2022-02-24T01:36:00Z</cp:lastPrinted>
  <dcterms:modified xsi:type="dcterms:W3CDTF">2024-02-21T09:45:05Z</dcterms:modified>
  <dc:title>××年××部门（单位）预算</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FBDE059AA2EF4589A1467D24A9AE1029</vt:lpwstr>
  </property>
</Properties>
</file>