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olor w:val="000000" w:themeColor="text1"/>
          <w:sz w:val="84"/>
          <w:szCs w:val="84"/>
          <w:u w:val="single"/>
          <w14:textFill>
            <w14:solidFill>
              <w14:schemeClr w14:val="tx1"/>
            </w14:solidFill>
          </w14:textFill>
        </w:rPr>
      </w:pPr>
    </w:p>
    <w:p>
      <w:pPr>
        <w:rPr>
          <w:rFonts w:ascii="仿宋" w:hAnsi="仿宋" w:eastAsia="仿宋"/>
          <w:color w:val="000000" w:themeColor="text1"/>
          <w:sz w:val="84"/>
          <w:szCs w:val="84"/>
          <w:u w:val="single"/>
          <w14:textFill>
            <w14:solidFill>
              <w14:schemeClr w14:val="tx1"/>
            </w14:solidFill>
          </w14:textFill>
        </w:rPr>
      </w:pPr>
    </w:p>
    <w:p>
      <w:pPr>
        <w:rPr>
          <w:rFonts w:ascii="仿宋" w:hAnsi="仿宋" w:eastAsia="仿宋"/>
          <w:color w:val="000000" w:themeColor="text1"/>
          <w:sz w:val="84"/>
          <w:szCs w:val="84"/>
          <w:u w:val="single"/>
          <w14:textFill>
            <w14:solidFill>
              <w14:schemeClr w14:val="tx1"/>
            </w14:solidFill>
          </w14:textFill>
        </w:rPr>
      </w:pPr>
    </w:p>
    <w:p>
      <w:pPr>
        <w:rPr>
          <w:rFonts w:ascii="仿宋" w:hAnsi="仿宋" w:eastAsia="仿宋"/>
          <w:color w:val="000000" w:themeColor="text1"/>
          <w:sz w:val="84"/>
          <w:szCs w:val="84"/>
          <w:u w:val="single"/>
          <w14:textFill>
            <w14:solidFill>
              <w14:schemeClr w14:val="tx1"/>
            </w14:solidFill>
          </w14:textFill>
        </w:rPr>
      </w:pPr>
    </w:p>
    <w:p>
      <w:pPr>
        <w:rPr>
          <w:rFonts w:asciiTheme="majorEastAsia" w:hAnsiTheme="majorEastAsia" w:eastAsiaTheme="majorEastAsia"/>
          <w:b/>
          <w:color w:val="000000" w:themeColor="text1"/>
          <w:sz w:val="52"/>
          <w:szCs w:val="52"/>
          <w14:textFill>
            <w14:solidFill>
              <w14:schemeClr w14:val="tx1"/>
            </w14:solidFill>
          </w14:textFill>
        </w:rPr>
      </w:pPr>
      <w:r>
        <w:rPr>
          <w:rFonts w:hint="eastAsia" w:asciiTheme="majorEastAsia" w:hAnsiTheme="majorEastAsia" w:eastAsiaTheme="majorEastAsia"/>
          <w:b/>
          <w:color w:val="000000" w:themeColor="text1"/>
          <w:sz w:val="52"/>
          <w:szCs w:val="52"/>
          <w14:textFill>
            <w14:solidFill>
              <w14:schemeClr w14:val="tx1"/>
            </w14:solidFill>
          </w14:textFill>
        </w:rPr>
        <w:t>202</w:t>
      </w:r>
      <w:r>
        <w:rPr>
          <w:rFonts w:asciiTheme="majorEastAsia" w:hAnsiTheme="majorEastAsia" w:eastAsiaTheme="majorEastAsia"/>
          <w:b/>
          <w:color w:val="000000" w:themeColor="text1"/>
          <w:sz w:val="52"/>
          <w:szCs w:val="52"/>
          <w14:textFill>
            <w14:solidFill>
              <w14:schemeClr w14:val="tx1"/>
            </w14:solidFill>
          </w14:textFill>
        </w:rPr>
        <w:t>4</w:t>
      </w:r>
      <w:r>
        <w:rPr>
          <w:rFonts w:hint="eastAsia" w:asciiTheme="majorEastAsia" w:hAnsiTheme="majorEastAsia" w:eastAsiaTheme="majorEastAsia"/>
          <w:b/>
          <w:color w:val="000000" w:themeColor="text1"/>
          <w:sz w:val="52"/>
          <w:szCs w:val="52"/>
          <w14:textFill>
            <w14:solidFill>
              <w14:schemeClr w14:val="tx1"/>
            </w14:solidFill>
          </w14:textFill>
        </w:rPr>
        <w:t>年海南师范大学</w:t>
      </w:r>
      <w:r>
        <w:rPr>
          <w:rFonts w:hint="eastAsia" w:asciiTheme="majorEastAsia" w:hAnsiTheme="majorEastAsia" w:eastAsiaTheme="majorEastAsia"/>
          <w:b/>
          <w:color w:val="000000" w:themeColor="text1"/>
          <w:sz w:val="52"/>
          <w:szCs w:val="52"/>
          <w:lang w:val="en-US" w:eastAsia="zh-CN"/>
          <w14:textFill>
            <w14:solidFill>
              <w14:schemeClr w14:val="tx1"/>
            </w14:solidFill>
          </w14:textFill>
        </w:rPr>
        <w:t>附属小学</w:t>
      </w:r>
      <w:r>
        <w:rPr>
          <w:rFonts w:hint="eastAsia" w:asciiTheme="majorEastAsia" w:hAnsiTheme="majorEastAsia" w:eastAsiaTheme="majorEastAsia"/>
          <w:b/>
          <w:color w:val="000000" w:themeColor="text1"/>
          <w:sz w:val="52"/>
          <w:szCs w:val="52"/>
          <w14:textFill>
            <w14:solidFill>
              <w14:schemeClr w14:val="tx1"/>
            </w14:solidFill>
          </w14:textFill>
        </w:rPr>
        <w:t>预算</w:t>
      </w:r>
    </w:p>
    <w:p>
      <w:pPr>
        <w:ind w:firstLine="1680"/>
        <w:jc w:val="center"/>
        <w:rPr>
          <w:rFonts w:ascii="仿宋" w:hAnsi="仿宋" w:eastAsia="仿宋"/>
          <w:b/>
          <w:color w:val="000000" w:themeColor="text1"/>
          <w:sz w:val="84"/>
          <w:szCs w:val="84"/>
          <w14:textFill>
            <w14:solidFill>
              <w14:schemeClr w14:val="tx1"/>
            </w14:solidFill>
          </w14:textFill>
        </w:rPr>
      </w:pPr>
    </w:p>
    <w:p>
      <w:pPr>
        <w:ind w:firstLine="1680"/>
        <w:jc w:val="center"/>
        <w:rPr>
          <w:rFonts w:ascii="仿宋" w:hAnsi="仿宋" w:eastAsia="仿宋"/>
          <w:color w:val="000000" w:themeColor="text1"/>
          <w:sz w:val="84"/>
          <w:szCs w:val="84"/>
          <w14:textFill>
            <w14:solidFill>
              <w14:schemeClr w14:val="tx1"/>
            </w14:solidFill>
          </w14:textFill>
        </w:rPr>
      </w:pPr>
    </w:p>
    <w:p>
      <w:pPr>
        <w:ind w:firstLine="1680"/>
        <w:jc w:val="center"/>
        <w:rPr>
          <w:rFonts w:ascii="仿宋" w:hAnsi="仿宋" w:eastAsia="仿宋"/>
          <w:color w:val="000000" w:themeColor="text1"/>
          <w:sz w:val="84"/>
          <w:szCs w:val="84"/>
          <w14:textFill>
            <w14:solidFill>
              <w14:schemeClr w14:val="tx1"/>
            </w14:solidFill>
          </w14:textFill>
        </w:rPr>
      </w:pPr>
    </w:p>
    <w:p>
      <w:pPr>
        <w:ind w:firstLine="1680"/>
        <w:jc w:val="center"/>
        <w:rPr>
          <w:rFonts w:ascii="仿宋" w:hAnsi="仿宋" w:eastAsia="仿宋"/>
          <w:color w:val="000000" w:themeColor="text1"/>
          <w:sz w:val="84"/>
          <w:szCs w:val="84"/>
          <w14:textFill>
            <w14:solidFill>
              <w14:schemeClr w14:val="tx1"/>
            </w14:solidFill>
          </w14:textFill>
        </w:rPr>
      </w:pPr>
    </w:p>
    <w:p>
      <w:pPr>
        <w:ind w:firstLine="1680"/>
        <w:jc w:val="center"/>
        <w:rPr>
          <w:rFonts w:ascii="仿宋" w:hAnsi="仿宋" w:eastAsia="仿宋"/>
          <w:color w:val="000000" w:themeColor="text1"/>
          <w:sz w:val="84"/>
          <w:szCs w:val="84"/>
          <w14:textFill>
            <w14:solidFill>
              <w14:schemeClr w14:val="tx1"/>
            </w14:solidFill>
          </w14:textFill>
        </w:rPr>
      </w:pPr>
    </w:p>
    <w:p>
      <w:pPr>
        <w:spacing w:line="560" w:lineRule="exact"/>
        <w:jc w:val="center"/>
        <w:rPr>
          <w:rFonts w:ascii="仿宋" w:hAnsi="仿宋" w:eastAsia="仿宋"/>
          <w:color w:val="000000" w:themeColor="text1"/>
          <w:sz w:val="84"/>
          <w:szCs w:val="84"/>
          <w14:textFill>
            <w14:solidFill>
              <w14:schemeClr w14:val="tx1"/>
            </w14:solidFill>
          </w14:textFill>
        </w:rPr>
      </w:pPr>
    </w:p>
    <w:p>
      <w:pPr>
        <w:spacing w:line="560" w:lineRule="exact"/>
        <w:jc w:val="center"/>
        <w:rPr>
          <w:rFonts w:ascii="仿宋" w:hAnsi="仿宋" w:eastAsia="仿宋"/>
          <w:color w:val="000000" w:themeColor="text1"/>
          <w:sz w:val="52"/>
          <w:szCs w:val="52"/>
          <w14:textFill>
            <w14:solidFill>
              <w14:schemeClr w14:val="tx1"/>
            </w14:solidFill>
          </w14:textFill>
        </w:rPr>
      </w:pPr>
      <w:r>
        <w:rPr>
          <w:rFonts w:hint="eastAsia" w:ascii="仿宋" w:hAnsi="仿宋" w:eastAsia="仿宋"/>
          <w:color w:val="000000" w:themeColor="text1"/>
          <w:sz w:val="52"/>
          <w:szCs w:val="52"/>
          <w14:textFill>
            <w14:solidFill>
              <w14:schemeClr w14:val="tx1"/>
            </w14:solidFill>
          </w14:textFill>
        </w:rPr>
        <w:t>目    录</w:t>
      </w:r>
    </w:p>
    <w:p>
      <w:pPr>
        <w:spacing w:line="560" w:lineRule="exact"/>
        <w:jc w:val="center"/>
        <w:rPr>
          <w:rFonts w:ascii="仿宋" w:hAnsi="仿宋" w:eastAsia="仿宋"/>
          <w:color w:val="000000" w:themeColor="text1"/>
          <w:sz w:val="52"/>
          <w:szCs w:val="52"/>
          <w14:textFill>
            <w14:solidFill>
              <w14:schemeClr w14:val="tx1"/>
            </w14:solidFill>
          </w14:textFill>
        </w:rPr>
      </w:pPr>
    </w:p>
    <w:p>
      <w:pPr>
        <w:spacing w:line="560" w:lineRule="exact"/>
        <w:jc w:val="center"/>
        <w:rPr>
          <w:rFonts w:ascii="仿宋" w:hAnsi="仿宋" w:eastAsia="仿宋"/>
          <w:color w:val="000000" w:themeColor="text1"/>
          <w:sz w:val="52"/>
          <w:szCs w:val="52"/>
          <w14:textFill>
            <w14:solidFill>
              <w14:schemeClr w14:val="tx1"/>
            </w14:solidFill>
          </w14:textFill>
        </w:rPr>
      </w:pPr>
    </w:p>
    <w:p>
      <w:pPr>
        <w:pStyle w:val="12"/>
        <w:numPr>
          <w:ilvl w:val="0"/>
          <w:numId w:val="1"/>
        </w:numPr>
        <w:ind w:hanging="2030" w:firstLineChars="0"/>
        <w:jc w:val="left"/>
        <w:rPr>
          <w:rFonts w:ascii="黑体" w:hAnsi="黑体" w:eastAsia="黑体"/>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海南师范大学</w:t>
      </w:r>
      <w:r>
        <w:rPr>
          <w:rFonts w:hint="eastAsia" w:ascii="黑体" w:hAnsi="黑体" w:eastAsia="黑体"/>
          <w:b/>
          <w:color w:val="000000" w:themeColor="text1"/>
          <w:sz w:val="32"/>
          <w:szCs w:val="32"/>
          <w:lang w:val="en-US" w:eastAsia="zh-CN"/>
          <w14:textFill>
            <w14:solidFill>
              <w14:schemeClr w14:val="tx1"/>
            </w14:solidFill>
          </w14:textFill>
        </w:rPr>
        <w:t>附属小学单位</w:t>
      </w:r>
      <w:r>
        <w:rPr>
          <w:rFonts w:hint="eastAsia" w:ascii="黑体" w:hAnsi="黑体" w:eastAsia="黑体"/>
          <w:b/>
          <w:color w:val="000000" w:themeColor="text1"/>
          <w:sz w:val="32"/>
          <w:szCs w:val="32"/>
          <w14:textFill>
            <w14:solidFill>
              <w14:schemeClr w14:val="tx1"/>
            </w14:solidFill>
          </w14:textFill>
        </w:rPr>
        <w:t>概况</w:t>
      </w:r>
    </w:p>
    <w:p>
      <w:pPr>
        <w:pStyle w:val="17"/>
        <w:numPr>
          <w:ilvl w:val="0"/>
          <w:numId w:val="2"/>
        </w:numPr>
        <w:ind w:firstLineChars="0"/>
        <w:jc w:val="left"/>
        <w:rPr>
          <w:rFonts w:hint="eastAsia" w:ascii="黑体" w:hAnsi="黑体" w:eastAsia="黑体"/>
          <w:sz w:val="32"/>
          <w:szCs w:val="32"/>
          <w:u w:val="none"/>
        </w:rPr>
      </w:pPr>
      <w:r>
        <w:rPr>
          <w:rFonts w:hint="eastAsia" w:ascii="黑体" w:hAnsi="黑体" w:eastAsia="黑体"/>
          <w:sz w:val="32"/>
          <w:szCs w:val="32"/>
          <w:u w:val="none"/>
        </w:rPr>
        <w:t>主要职能</w:t>
      </w:r>
    </w:p>
    <w:p>
      <w:pPr>
        <w:pStyle w:val="17"/>
        <w:numPr>
          <w:ilvl w:val="0"/>
          <w:numId w:val="2"/>
        </w:numPr>
        <w:ind w:firstLineChars="0"/>
        <w:jc w:val="left"/>
        <w:rPr>
          <w:rFonts w:hint="eastAsia"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12"/>
        <w:numPr>
          <w:ilvl w:val="0"/>
          <w:numId w:val="1"/>
        </w:numPr>
        <w:ind w:hanging="2030" w:firstLineChars="0"/>
        <w:jc w:val="left"/>
        <w:rPr>
          <w:rFonts w:asciiTheme="majorEastAsia" w:hAnsiTheme="majorEastAsia" w:eastAsiaTheme="majorEastAsia"/>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海南师范大学</w:t>
      </w:r>
      <w:r>
        <w:rPr>
          <w:rFonts w:hint="eastAsia" w:ascii="黑体" w:hAnsi="黑体" w:eastAsia="黑体"/>
          <w:b/>
          <w:color w:val="000000" w:themeColor="text1"/>
          <w:sz w:val="32"/>
          <w:szCs w:val="32"/>
          <w:lang w:val="en-US" w:eastAsia="zh-CN"/>
          <w14:textFill>
            <w14:solidFill>
              <w14:schemeClr w14:val="tx1"/>
            </w14:solidFill>
          </w14:textFill>
        </w:rPr>
        <w:t>附属小学单位</w:t>
      </w:r>
      <w:r>
        <w:rPr>
          <w:rFonts w:ascii="黑体" w:hAnsi="黑体" w:eastAsia="黑体"/>
          <w:b/>
          <w:color w:val="000000" w:themeColor="text1"/>
          <w:sz w:val="32"/>
          <w:szCs w:val="32"/>
          <w14:textFill>
            <w14:solidFill>
              <w14:schemeClr w14:val="tx1"/>
            </w14:solidFill>
          </w14:textFill>
        </w:rPr>
        <w:t>2024</w:t>
      </w:r>
      <w:r>
        <w:rPr>
          <w:rFonts w:hint="eastAsia" w:ascii="黑体" w:hAnsi="黑体" w:eastAsia="黑体"/>
          <w:b/>
          <w:color w:val="000000" w:themeColor="text1"/>
          <w:sz w:val="32"/>
          <w:szCs w:val="32"/>
          <w14:textFill>
            <w14:solidFill>
              <w14:schemeClr w14:val="tx1"/>
            </w14:solidFill>
          </w14:textFill>
        </w:rPr>
        <w:t>年</w:t>
      </w:r>
      <w:r>
        <w:rPr>
          <w:rFonts w:hint="eastAsia" w:ascii="黑体" w:hAnsi="黑体" w:eastAsia="黑体"/>
          <w:b/>
          <w:color w:val="000000" w:themeColor="text1"/>
          <w:sz w:val="32"/>
          <w:szCs w:val="32"/>
          <w:lang w:eastAsia="zh-CN"/>
          <w14:textFill>
            <w14:solidFill>
              <w14:schemeClr w14:val="tx1"/>
            </w14:solidFill>
          </w14:textFill>
        </w:rPr>
        <w:t>单位</w:t>
      </w:r>
      <w:r>
        <w:rPr>
          <w:rFonts w:hint="eastAsia" w:ascii="黑体" w:hAnsi="黑体" w:eastAsia="黑体"/>
          <w:b/>
          <w:color w:val="000000" w:themeColor="text1"/>
          <w:sz w:val="32"/>
          <w:szCs w:val="32"/>
          <w14:textFill>
            <w14:solidFill>
              <w14:schemeClr w14:val="tx1"/>
            </w14:solidFill>
          </w14:textFill>
        </w:rPr>
        <w:t>预算表</w:t>
      </w:r>
    </w:p>
    <w:p>
      <w:pPr>
        <w:pStyle w:val="12"/>
        <w:numPr>
          <w:ilvl w:val="0"/>
          <w:numId w:val="3"/>
        </w:numPr>
        <w:ind w:firstLineChars="0"/>
        <w:jc w:val="lef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财政拨款收支总表</w:t>
      </w:r>
    </w:p>
    <w:p>
      <w:pPr>
        <w:pStyle w:val="12"/>
        <w:numPr>
          <w:ilvl w:val="0"/>
          <w:numId w:val="3"/>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一般公共预算支出表</w:t>
      </w:r>
    </w:p>
    <w:p>
      <w:pPr>
        <w:pStyle w:val="12"/>
        <w:numPr>
          <w:ilvl w:val="0"/>
          <w:numId w:val="3"/>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一般公共预算基本支出表</w:t>
      </w:r>
    </w:p>
    <w:p>
      <w:pPr>
        <w:pStyle w:val="12"/>
        <w:numPr>
          <w:ilvl w:val="0"/>
          <w:numId w:val="3"/>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一般公共预算“三公”经费支出表</w:t>
      </w:r>
    </w:p>
    <w:p>
      <w:pPr>
        <w:pStyle w:val="12"/>
        <w:numPr>
          <w:ilvl w:val="0"/>
          <w:numId w:val="3"/>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政府性基金预算支出表。</w:t>
      </w:r>
    </w:p>
    <w:p>
      <w:pPr>
        <w:pStyle w:val="12"/>
        <w:numPr>
          <w:ilvl w:val="0"/>
          <w:numId w:val="3"/>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政府性基金预算“三公”经费支出表</w:t>
      </w:r>
    </w:p>
    <w:p>
      <w:pPr>
        <w:pStyle w:val="12"/>
        <w:numPr>
          <w:ilvl w:val="0"/>
          <w:numId w:val="3"/>
        </w:numPr>
        <w:ind w:firstLineChars="0"/>
        <w:jc w:val="lef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部门（单位）收支总表</w:t>
      </w:r>
    </w:p>
    <w:p>
      <w:pPr>
        <w:pStyle w:val="12"/>
        <w:numPr>
          <w:ilvl w:val="0"/>
          <w:numId w:val="3"/>
        </w:numPr>
        <w:ind w:firstLineChars="0"/>
        <w:jc w:val="lef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部门（单位）收入总表</w:t>
      </w:r>
    </w:p>
    <w:p>
      <w:pPr>
        <w:pStyle w:val="12"/>
        <w:numPr>
          <w:ilvl w:val="0"/>
          <w:numId w:val="3"/>
        </w:numPr>
        <w:ind w:firstLineChars="0"/>
        <w:jc w:val="lef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部门</w:t>
      </w:r>
      <w:r>
        <w:rPr>
          <w:rFonts w:hint="eastAsia" w:ascii="仿宋" w:hAnsi="仿宋" w:eastAsia="仿宋" w:cs="仿宋_GB2312"/>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单位）支出总表</w:t>
      </w:r>
    </w:p>
    <w:p>
      <w:pPr>
        <w:pStyle w:val="12"/>
        <w:numPr>
          <w:ilvl w:val="0"/>
          <w:numId w:val="3"/>
        </w:numPr>
        <w:ind w:firstLineChars="0"/>
        <w:jc w:val="lef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项目支出绩效信息</w:t>
      </w:r>
      <w:r>
        <w:rPr>
          <w:rFonts w:hint="eastAsia" w:ascii="仿宋" w:hAnsi="仿宋" w:eastAsia="仿宋" w:cs="仿宋_GB2312"/>
          <w:color w:val="000000" w:themeColor="text1"/>
          <w:sz w:val="32"/>
          <w:szCs w:val="32"/>
          <w14:textFill>
            <w14:solidFill>
              <w14:schemeClr w14:val="tx1"/>
            </w14:solidFill>
          </w14:textFill>
        </w:rPr>
        <w:t>表</w:t>
      </w:r>
    </w:p>
    <w:p>
      <w:pPr>
        <w:pStyle w:val="12"/>
        <w:numPr>
          <w:ilvl w:val="0"/>
          <w:numId w:val="1"/>
        </w:numPr>
        <w:ind w:hanging="2030" w:firstLineChars="0"/>
        <w:jc w:val="left"/>
        <w:rPr>
          <w:rFonts w:ascii="黑体" w:hAnsi="黑体" w:eastAsia="黑体" w:cs="仿宋_GB2312"/>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海南师范大学</w:t>
      </w:r>
      <w:r>
        <w:rPr>
          <w:rFonts w:hint="eastAsia" w:ascii="黑体" w:hAnsi="黑体" w:eastAsia="黑体"/>
          <w:b/>
          <w:color w:val="000000" w:themeColor="text1"/>
          <w:sz w:val="32"/>
          <w:szCs w:val="32"/>
          <w:lang w:val="en-US" w:eastAsia="zh-CN"/>
          <w14:textFill>
            <w14:solidFill>
              <w14:schemeClr w14:val="tx1"/>
            </w14:solidFill>
          </w14:textFill>
        </w:rPr>
        <w:t>附属小学单位</w:t>
      </w:r>
      <w:r>
        <w:rPr>
          <w:rFonts w:ascii="黑体" w:hAnsi="黑体" w:eastAsia="黑体"/>
          <w:b/>
          <w:color w:val="000000" w:themeColor="text1"/>
          <w:sz w:val="32"/>
          <w:szCs w:val="32"/>
          <w14:textFill>
            <w14:solidFill>
              <w14:schemeClr w14:val="tx1"/>
            </w14:solidFill>
          </w14:textFill>
        </w:rPr>
        <w:t>2024</w:t>
      </w:r>
      <w:r>
        <w:rPr>
          <w:rFonts w:hint="eastAsia" w:ascii="黑体" w:hAnsi="黑体" w:eastAsia="黑体"/>
          <w:b/>
          <w:color w:val="000000" w:themeColor="text1"/>
          <w:sz w:val="32"/>
          <w:szCs w:val="32"/>
          <w14:textFill>
            <w14:solidFill>
              <w14:schemeClr w14:val="tx1"/>
            </w14:solidFill>
          </w14:textFill>
        </w:rPr>
        <w:t>年</w:t>
      </w:r>
      <w:r>
        <w:rPr>
          <w:rFonts w:hint="eastAsia" w:ascii="黑体" w:hAnsi="黑体" w:eastAsia="黑体"/>
          <w:b/>
          <w:color w:val="000000" w:themeColor="text1"/>
          <w:sz w:val="32"/>
          <w:szCs w:val="32"/>
          <w:lang w:eastAsia="zh-CN"/>
          <w14:textFill>
            <w14:solidFill>
              <w14:schemeClr w14:val="tx1"/>
            </w14:solidFill>
          </w14:textFill>
        </w:rPr>
        <w:t>单位</w:t>
      </w:r>
      <w:r>
        <w:rPr>
          <w:rFonts w:hint="eastAsia" w:ascii="黑体" w:hAnsi="黑体" w:eastAsia="黑体"/>
          <w:b/>
          <w:color w:val="000000" w:themeColor="text1"/>
          <w:sz w:val="32"/>
          <w:szCs w:val="32"/>
          <w14:textFill>
            <w14:solidFill>
              <w14:schemeClr w14:val="tx1"/>
            </w14:solidFill>
          </w14:textFill>
        </w:rPr>
        <w:t>预算情况说明</w:t>
      </w:r>
    </w:p>
    <w:p>
      <w:pPr>
        <w:pStyle w:val="12"/>
        <w:numPr>
          <w:ilvl w:val="0"/>
          <w:numId w:val="1"/>
        </w:numPr>
        <w:ind w:hanging="2030" w:firstLineChars="0"/>
        <w:jc w:val="left"/>
        <w:rPr>
          <w:rFonts w:asciiTheme="majorEastAsia" w:hAnsiTheme="majorEastAsia" w:eastAsiaTheme="majorEastAsia"/>
          <w:b/>
          <w:color w:val="000000" w:themeColor="text1"/>
          <w:sz w:val="32"/>
          <w:szCs w:val="32"/>
          <w14:textFill>
            <w14:solidFill>
              <w14:schemeClr w14:val="tx1"/>
            </w14:solidFill>
          </w14:textFill>
        </w:rPr>
      </w:pPr>
      <w:r>
        <w:rPr>
          <w:rFonts w:hint="eastAsia" w:asciiTheme="majorEastAsia" w:hAnsiTheme="majorEastAsia" w:eastAsiaTheme="majorEastAsia"/>
          <w:b/>
          <w:color w:val="000000" w:themeColor="text1"/>
          <w:sz w:val="32"/>
          <w:szCs w:val="32"/>
          <w14:textFill>
            <w14:solidFill>
              <w14:schemeClr w14:val="tx1"/>
            </w14:solidFill>
          </w14:textFill>
        </w:rPr>
        <w:t>名词解释</w:t>
      </w:r>
    </w:p>
    <w:p>
      <w:pPr>
        <w:pStyle w:val="12"/>
        <w:ind w:firstLine="1863" w:firstLineChars="580"/>
        <w:jc w:val="center"/>
        <w:rPr>
          <w:rFonts w:asciiTheme="minorEastAsia" w:hAnsiTheme="minorEastAsia" w:eastAsiaTheme="minorEastAsia"/>
          <w:b/>
          <w:color w:val="000000" w:themeColor="text1"/>
          <w:sz w:val="32"/>
          <w:szCs w:val="32"/>
          <w14:textFill>
            <w14:solidFill>
              <w14:schemeClr w14:val="tx1"/>
            </w14:solidFill>
          </w14:textFill>
        </w:rPr>
      </w:pPr>
    </w:p>
    <w:p>
      <w:pPr>
        <w:pStyle w:val="12"/>
        <w:ind w:firstLine="1863" w:firstLineChars="580"/>
        <w:jc w:val="center"/>
        <w:rPr>
          <w:rFonts w:asciiTheme="minorEastAsia" w:hAnsiTheme="minorEastAsia" w:eastAsiaTheme="minorEastAsia"/>
          <w:b/>
          <w:color w:val="000000" w:themeColor="text1"/>
          <w:sz w:val="32"/>
          <w:szCs w:val="32"/>
          <w14:textFill>
            <w14:solidFill>
              <w14:schemeClr w14:val="tx1"/>
            </w14:solidFill>
          </w14:textFill>
        </w:rPr>
      </w:pPr>
    </w:p>
    <w:p>
      <w:pPr>
        <w:pStyle w:val="12"/>
        <w:ind w:firstLine="1863" w:firstLineChars="580"/>
        <w:jc w:val="center"/>
        <w:rPr>
          <w:rFonts w:asciiTheme="minorEastAsia" w:hAnsiTheme="minorEastAsia" w:eastAsiaTheme="minorEastAsia"/>
          <w:b/>
          <w:color w:val="000000" w:themeColor="text1"/>
          <w:sz w:val="32"/>
          <w:szCs w:val="32"/>
          <w14:textFill>
            <w14:solidFill>
              <w14:schemeClr w14:val="tx1"/>
            </w14:solidFill>
          </w14:textFill>
        </w:rPr>
      </w:pPr>
    </w:p>
    <w:p>
      <w:pPr>
        <w:pStyle w:val="12"/>
        <w:ind w:firstLine="0" w:firstLineChars="0"/>
        <w:jc w:val="center"/>
        <w:rPr>
          <w:rFonts w:ascii="黑体" w:hAnsi="黑体" w:eastAsia="黑体"/>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第一部分</w:t>
      </w:r>
      <w:r>
        <w:rPr>
          <w:rFonts w:hint="eastAsia" w:ascii="黑体" w:hAnsi="黑体" w:eastAsia="黑体"/>
          <w:b/>
          <w:color w:val="000000" w:themeColor="text1"/>
          <w:sz w:val="32"/>
          <w:szCs w:val="32"/>
          <w:lang w:val="en-US" w:eastAsia="zh-CN"/>
          <w14:textFill>
            <w14:solidFill>
              <w14:schemeClr w14:val="tx1"/>
            </w14:solidFill>
          </w14:textFill>
        </w:rPr>
        <w:t xml:space="preserve">  </w:t>
      </w:r>
      <w:r>
        <w:rPr>
          <w:rFonts w:hint="eastAsia" w:ascii="黑体" w:hAnsi="黑体" w:eastAsia="黑体"/>
          <w:b/>
          <w:color w:val="000000" w:themeColor="text1"/>
          <w:sz w:val="32"/>
          <w:szCs w:val="32"/>
          <w14:textFill>
            <w14:solidFill>
              <w14:schemeClr w14:val="tx1"/>
            </w14:solidFill>
          </w14:textFill>
        </w:rPr>
        <w:t>海南师范大学</w:t>
      </w:r>
      <w:r>
        <w:rPr>
          <w:rFonts w:hint="eastAsia" w:ascii="黑体" w:hAnsi="黑体" w:eastAsia="黑体"/>
          <w:b/>
          <w:color w:val="000000" w:themeColor="text1"/>
          <w:sz w:val="32"/>
          <w:szCs w:val="32"/>
          <w:lang w:val="en-US" w:eastAsia="zh-CN"/>
          <w14:textFill>
            <w14:solidFill>
              <w14:schemeClr w14:val="tx1"/>
            </w14:solidFill>
          </w14:textFill>
        </w:rPr>
        <w:t>附属小学单位</w:t>
      </w:r>
      <w:r>
        <w:rPr>
          <w:rFonts w:ascii="黑体" w:hAnsi="黑体" w:eastAsia="黑体"/>
          <w:b/>
          <w:color w:val="000000" w:themeColor="text1"/>
          <w:sz w:val="32"/>
          <w:szCs w:val="32"/>
          <w14:textFill>
            <w14:solidFill>
              <w14:schemeClr w14:val="tx1"/>
            </w14:solidFill>
          </w14:textFill>
        </w:rPr>
        <w:t>概况</w:t>
      </w:r>
    </w:p>
    <w:p>
      <w:pPr>
        <w:jc w:val="left"/>
        <w:rPr>
          <w:rFonts w:cs="仿宋_GB2312" w:asciiTheme="minorEastAsia" w:hAnsiTheme="minorEastAsia" w:eastAsiaTheme="minorEastAsia"/>
          <w:b/>
          <w:color w:val="FF0000"/>
          <w:sz w:val="32"/>
          <w:szCs w:val="32"/>
        </w:rPr>
      </w:pPr>
    </w:p>
    <w:p>
      <w:pPr>
        <w:pStyle w:val="5"/>
        <w:widowControl/>
        <w:jc w:val="both"/>
        <w:rPr>
          <w:rStyle w:val="8"/>
          <w:rFonts w:ascii="仿宋" w:hAnsi="仿宋" w:eastAsia="仿宋"/>
          <w:b w:val="0"/>
          <w:color w:val="000000" w:themeColor="text1"/>
          <w:sz w:val="32"/>
          <w:szCs w:val="32"/>
          <w14:textFill>
            <w14:solidFill>
              <w14:schemeClr w14:val="tx1"/>
            </w14:solidFill>
          </w14:textFill>
        </w:rPr>
      </w:pPr>
      <w:r>
        <w:rPr>
          <w:rFonts w:hint="eastAsia" w:ascii="仿宋" w:hAnsi="仿宋" w:eastAsia="仿宋" w:cs="仿宋_GB2312"/>
          <w:b/>
          <w:color w:val="000000" w:themeColor="text1"/>
          <w:sz w:val="32"/>
          <w:szCs w:val="32"/>
          <w14:textFill>
            <w14:solidFill>
              <w14:schemeClr w14:val="tx1"/>
            </w14:solidFill>
          </w14:textFill>
        </w:rPr>
        <w:t>一、主要职能</w:t>
      </w:r>
      <w:r>
        <w:rPr>
          <w:rStyle w:val="8"/>
          <w:rFonts w:ascii="仿宋" w:hAnsi="仿宋" w:eastAsia="仿宋"/>
          <w:b w:val="0"/>
          <w:color w:val="000000" w:themeColor="text1"/>
          <w:sz w:val="32"/>
          <w:szCs w:val="32"/>
          <w14:textFill>
            <w14:solidFill>
              <w14:schemeClr w14:val="tx1"/>
            </w14:solidFill>
          </w14:textFill>
        </w:rPr>
        <w:t>   </w:t>
      </w:r>
    </w:p>
    <w:p>
      <w:pPr>
        <w:spacing w:line="560" w:lineRule="atLeast"/>
        <w:ind w:firstLine="640" w:firstLineChars="200"/>
        <w:rPr>
          <w:rFonts w:ascii="仿宋" w:hAnsi="仿宋" w:eastAsia="仿宋" w:cs="仿宋_GB2312"/>
          <w:b w:val="0"/>
          <w:bCs w:val="0"/>
          <w:color w:val="000000" w:themeColor="text1"/>
          <w:sz w:val="32"/>
          <w:szCs w:val="32"/>
          <w14:textFill>
            <w14:solidFill>
              <w14:schemeClr w14:val="tx1"/>
            </w14:solidFill>
          </w14:textFill>
        </w:rPr>
      </w:pPr>
      <w:r>
        <w:rPr>
          <w:rFonts w:hint="eastAsia" w:ascii="仿宋" w:hAnsi="仿宋" w:eastAsia="仿宋" w:cs="仿宋_GB2312"/>
          <w:b w:val="0"/>
          <w:bCs w:val="0"/>
          <w:color w:val="000000" w:themeColor="text1"/>
          <w:sz w:val="32"/>
          <w:szCs w:val="32"/>
          <w14:textFill>
            <w14:solidFill>
              <w14:schemeClr w14:val="tx1"/>
            </w14:solidFill>
          </w14:textFill>
        </w:rPr>
        <w:t>（</w:t>
      </w:r>
      <w:r>
        <w:rPr>
          <w:rFonts w:hint="eastAsia" w:ascii="仿宋" w:hAnsi="仿宋" w:eastAsia="仿宋" w:cs="仿宋_GB2312"/>
          <w:b w:val="0"/>
          <w:bCs w:val="0"/>
          <w:color w:val="000000" w:themeColor="text1"/>
          <w:sz w:val="32"/>
          <w:szCs w:val="32"/>
          <w:lang w:val="en-US" w:eastAsia="zh-CN"/>
          <w14:textFill>
            <w14:solidFill>
              <w14:schemeClr w14:val="tx1"/>
            </w14:solidFill>
          </w14:textFill>
        </w:rPr>
        <w:t>一</w:t>
      </w:r>
      <w:r>
        <w:rPr>
          <w:rFonts w:hint="eastAsia" w:ascii="仿宋" w:hAnsi="仿宋" w:eastAsia="仿宋" w:cs="仿宋_GB2312"/>
          <w:b w:val="0"/>
          <w:bCs w:val="0"/>
          <w:color w:val="000000" w:themeColor="text1"/>
          <w:sz w:val="32"/>
          <w:szCs w:val="32"/>
          <w14:textFill>
            <w14:solidFill>
              <w14:schemeClr w14:val="tx1"/>
            </w14:solidFill>
          </w14:textFill>
        </w:rPr>
        <w:t>）贯彻执行党、国家和省市有关教育工作的方针政策法律、法规和规章;组织制订并实施学校发展规划和学年度工作计划。小学义务教育、素质教育依法实施</w:t>
      </w:r>
      <w:r>
        <w:rPr>
          <w:rFonts w:hint="eastAsia" w:ascii="仿宋" w:hAnsi="仿宋" w:eastAsia="仿宋" w:cs="仿宋_GB2312"/>
          <w:b w:val="0"/>
          <w:bCs w:val="0"/>
          <w:color w:val="000000" w:themeColor="text1"/>
          <w:sz w:val="32"/>
          <w:szCs w:val="32"/>
          <w:lang w:eastAsia="zh-CN"/>
          <w14:textFill>
            <w14:solidFill>
              <w14:schemeClr w14:val="tx1"/>
            </w14:solidFill>
          </w14:textFill>
        </w:rPr>
        <w:t>、</w:t>
      </w:r>
      <w:r>
        <w:rPr>
          <w:rFonts w:hint="eastAsia" w:ascii="仿宋" w:hAnsi="仿宋" w:eastAsia="仿宋" w:cs="仿宋_GB2312"/>
          <w:b w:val="0"/>
          <w:bCs w:val="0"/>
          <w:color w:val="000000" w:themeColor="text1"/>
          <w:sz w:val="32"/>
          <w:szCs w:val="32"/>
          <w14:textFill>
            <w14:solidFill>
              <w14:schemeClr w14:val="tx1"/>
            </w14:solidFill>
          </w14:textFill>
        </w:rPr>
        <w:t>基础教育发展</w:t>
      </w:r>
      <w:r>
        <w:rPr>
          <w:rFonts w:hint="eastAsia" w:ascii="仿宋" w:hAnsi="仿宋" w:eastAsia="仿宋" w:cs="仿宋_GB2312"/>
          <w:b w:val="0"/>
          <w:bCs w:val="0"/>
          <w:color w:val="000000" w:themeColor="text1"/>
          <w:sz w:val="32"/>
          <w:szCs w:val="32"/>
          <w:lang w:eastAsia="zh-CN"/>
          <w14:textFill>
            <w14:solidFill>
              <w14:schemeClr w14:val="tx1"/>
            </w14:solidFill>
          </w14:textFill>
        </w:rPr>
        <w:t>、</w:t>
      </w:r>
      <w:r>
        <w:rPr>
          <w:rFonts w:hint="eastAsia" w:ascii="仿宋" w:hAnsi="仿宋" w:eastAsia="仿宋" w:cs="仿宋_GB2312"/>
          <w:b w:val="0"/>
          <w:bCs w:val="0"/>
          <w:color w:val="000000" w:themeColor="text1"/>
          <w:sz w:val="32"/>
          <w:szCs w:val="32"/>
          <w14:textFill>
            <w14:solidFill>
              <w14:schemeClr w14:val="tx1"/>
            </w14:solidFill>
          </w14:textFill>
        </w:rPr>
        <w:t>学校教育管理</w:t>
      </w:r>
      <w:r>
        <w:rPr>
          <w:rFonts w:hint="eastAsia" w:ascii="仿宋" w:hAnsi="仿宋" w:eastAsia="仿宋" w:cs="仿宋_GB2312"/>
          <w:b w:val="0"/>
          <w:bCs w:val="0"/>
          <w:color w:val="000000" w:themeColor="text1"/>
          <w:sz w:val="32"/>
          <w:szCs w:val="32"/>
          <w:lang w:eastAsia="zh-CN"/>
          <w14:textFill>
            <w14:solidFill>
              <w14:schemeClr w14:val="tx1"/>
            </w14:solidFill>
          </w14:textFill>
        </w:rPr>
        <w:t>、</w:t>
      </w:r>
      <w:r>
        <w:rPr>
          <w:rFonts w:hint="eastAsia" w:ascii="仿宋" w:hAnsi="仿宋" w:eastAsia="仿宋" w:cs="仿宋_GB2312"/>
          <w:b w:val="0"/>
          <w:bCs w:val="0"/>
          <w:color w:val="000000" w:themeColor="text1"/>
          <w:sz w:val="32"/>
          <w:szCs w:val="32"/>
          <w14:textFill>
            <w14:solidFill>
              <w14:schemeClr w14:val="tx1"/>
            </w14:solidFill>
          </w14:textFill>
        </w:rPr>
        <w:t>学校教职员工管理</w:t>
      </w:r>
      <w:r>
        <w:rPr>
          <w:rFonts w:hint="eastAsia" w:ascii="仿宋" w:hAnsi="仿宋" w:eastAsia="仿宋" w:cs="仿宋_GB2312"/>
          <w:b w:val="0"/>
          <w:bCs w:val="0"/>
          <w:color w:val="000000" w:themeColor="text1"/>
          <w:sz w:val="32"/>
          <w:szCs w:val="32"/>
          <w:lang w:eastAsia="zh-CN"/>
          <w14:textFill>
            <w14:solidFill>
              <w14:schemeClr w14:val="tx1"/>
            </w14:solidFill>
          </w14:textFill>
        </w:rPr>
        <w:t>、</w:t>
      </w:r>
      <w:r>
        <w:rPr>
          <w:rFonts w:hint="eastAsia" w:ascii="仿宋" w:hAnsi="仿宋" w:eastAsia="仿宋" w:cs="仿宋_GB2312"/>
          <w:b w:val="0"/>
          <w:bCs w:val="0"/>
          <w:color w:val="000000" w:themeColor="text1"/>
          <w:sz w:val="32"/>
          <w:szCs w:val="32"/>
          <w14:textFill>
            <w14:solidFill>
              <w14:schemeClr w14:val="tx1"/>
            </w14:solidFill>
          </w14:textFill>
        </w:rPr>
        <w:t>教师专业技术职务评聘上报学校安全管。</w:t>
      </w:r>
    </w:p>
    <w:p>
      <w:pPr>
        <w:spacing w:line="560" w:lineRule="atLeast"/>
        <w:ind w:firstLine="640" w:firstLineChars="20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二</w:t>
      </w:r>
      <w:r>
        <w:rPr>
          <w:rFonts w:hint="eastAsia" w:ascii="仿宋" w:hAnsi="仿宋" w:eastAsia="仿宋" w:cs="仿宋"/>
          <w:b w:val="0"/>
          <w:bCs w:val="0"/>
          <w:color w:val="000000" w:themeColor="text1"/>
          <w:sz w:val="32"/>
          <w:szCs w:val="32"/>
          <w14:textFill>
            <w14:solidFill>
              <w14:schemeClr w14:val="tx1"/>
            </w14:solidFill>
          </w14:textFill>
        </w:rPr>
        <w:t>）</w:t>
      </w:r>
      <w:r>
        <w:rPr>
          <w:rFonts w:ascii="Arial" w:hAnsi="Arial" w:eastAsia="宋体" w:cs="Arial"/>
          <w:b w:val="0"/>
          <w:bCs w:val="0"/>
          <w:i w:val="0"/>
          <w:iCs w:val="0"/>
          <w:caps w:val="0"/>
          <w:color w:val="000000" w:themeColor="text1"/>
          <w:spacing w:val="0"/>
          <w:sz w:val="24"/>
          <w:szCs w:val="24"/>
          <w:shd w:val="clear" w:fill="FFFFFF"/>
          <w14:textFill>
            <w14:solidFill>
              <w14:schemeClr w14:val="tx1"/>
            </w14:solidFill>
          </w14:textFill>
        </w:rPr>
        <w:t> </w:t>
      </w:r>
      <w:r>
        <w:rPr>
          <w:rFonts w:hint="eastAsia" w:ascii="仿宋" w:hAnsi="仿宋" w:eastAsia="仿宋" w:cs="仿宋"/>
          <w:b w:val="0"/>
          <w:bCs w:val="0"/>
          <w:i w:val="0"/>
          <w:iCs w:val="0"/>
          <w:caps w:val="0"/>
          <w:color w:val="000000" w:themeColor="text1"/>
          <w:spacing w:val="0"/>
          <w:sz w:val="32"/>
          <w:szCs w:val="32"/>
          <w:shd w:val="clear" w:fill="FFFFFF"/>
          <w14:textFill>
            <w14:solidFill>
              <w14:schemeClr w14:val="tx1"/>
            </w14:solidFill>
          </w14:textFill>
        </w:rPr>
        <w:t>在海南师范大学党委、校领导的关心和支持下，学校坚定不移地贯彻执行党的教育方针，深入实施素质教育，扎实推进课程改革</w:t>
      </w:r>
      <w:r>
        <w:rPr>
          <w:rFonts w:hint="eastAsia" w:ascii="仿宋" w:hAnsi="仿宋" w:eastAsia="仿宋" w:cs="仿宋"/>
          <w:b w:val="0"/>
          <w:bCs w:val="0"/>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14:textFill>
            <w14:solidFill>
              <w14:schemeClr w14:val="tx1"/>
            </w14:solidFill>
          </w14:textFill>
        </w:rPr>
        <w:t>学校的办学宗旨是：以“三个面向”为指针，以提高国民素质为根本宗旨，以培养学生的创新精神和实践能力为重点，办“规范＋特色”学校，育“全面＋特长”人才。办学目标是：以人为本，科研兴校，争创一流的教育教学质量，办人民满意的教育，办家长满意的优质学校。</w:t>
      </w:r>
    </w:p>
    <w:p>
      <w:pPr>
        <w:spacing w:line="560" w:lineRule="atLeast"/>
        <w:ind w:firstLine="640" w:firstLineChars="200"/>
        <w:rPr>
          <w:rFonts w:hint="eastAsia" w:ascii="仿宋" w:hAnsi="仿宋" w:eastAsia="仿宋" w:cs="仿宋"/>
          <w:b w:val="0"/>
          <w:bCs w:val="0"/>
          <w:i w:val="0"/>
          <w:iCs w:val="0"/>
          <w:caps w:val="0"/>
          <w:color w:val="000000" w:themeColor="text1"/>
          <w:spacing w:val="0"/>
          <w:sz w:val="32"/>
          <w:szCs w:val="32"/>
          <w:shd w:val="clear" w:fill="FFFFFF"/>
          <w14:textFill>
            <w14:solidFill>
              <w14:schemeClr w14:val="tx1"/>
            </w14:solidFill>
          </w14:textFill>
        </w:rPr>
      </w:pPr>
      <w:r>
        <w:rPr>
          <w:rFonts w:hint="eastAsia" w:ascii="仿宋" w:hAnsi="仿宋" w:eastAsia="仿宋" w:cs="仿宋_GB2312"/>
          <w:b w:val="0"/>
          <w:bCs w:val="0"/>
          <w:color w:val="000000" w:themeColor="text1"/>
          <w:sz w:val="32"/>
          <w:szCs w:val="32"/>
          <w14:textFill>
            <w14:solidFill>
              <w14:schemeClr w14:val="tx1"/>
            </w14:solidFill>
          </w14:textFill>
        </w:rPr>
        <w:t>（</w:t>
      </w:r>
      <w:r>
        <w:rPr>
          <w:rFonts w:hint="eastAsia" w:ascii="仿宋" w:hAnsi="仿宋" w:eastAsia="仿宋" w:cs="仿宋_GB2312"/>
          <w:b w:val="0"/>
          <w:bCs w:val="0"/>
          <w:color w:val="000000" w:themeColor="text1"/>
          <w:sz w:val="32"/>
          <w:szCs w:val="32"/>
          <w:lang w:val="en-US" w:eastAsia="zh-CN"/>
          <w14:textFill>
            <w14:solidFill>
              <w14:schemeClr w14:val="tx1"/>
            </w14:solidFill>
          </w14:textFill>
        </w:rPr>
        <w:t>三</w:t>
      </w:r>
      <w:r>
        <w:rPr>
          <w:rFonts w:hint="eastAsia" w:ascii="仿宋" w:hAnsi="仿宋" w:eastAsia="仿宋" w:cs="仿宋_GB2312"/>
          <w:b w:val="0"/>
          <w:bCs w:val="0"/>
          <w:color w:val="000000" w:themeColor="text1"/>
          <w:sz w:val="32"/>
          <w:szCs w:val="32"/>
          <w14:textFill>
            <w14:solidFill>
              <w14:schemeClr w14:val="tx1"/>
            </w14:solidFill>
          </w14:textFill>
        </w:rPr>
        <w:t>）</w:t>
      </w:r>
      <w:r>
        <w:rPr>
          <w:rFonts w:hint="eastAsia" w:ascii="仿宋" w:hAnsi="仿宋" w:eastAsia="仿宋" w:cs="仿宋"/>
          <w:b w:val="0"/>
          <w:bCs w:val="0"/>
          <w:i w:val="0"/>
          <w:iCs w:val="0"/>
          <w:caps w:val="0"/>
          <w:color w:val="000000" w:themeColor="text1"/>
          <w:spacing w:val="0"/>
          <w:sz w:val="32"/>
          <w:szCs w:val="32"/>
          <w:shd w:val="clear" w:fill="FFFFFF"/>
          <w14:textFill>
            <w14:solidFill>
              <w14:schemeClr w14:val="tx1"/>
            </w14:solidFill>
          </w14:textFill>
        </w:rPr>
        <w:t> 学校努力建设一支师德高尚、教艺精湛的研究型教师队伍。注重校本研训，鼓励教师走教学科研相结合的路子，并根据教师各自的个性特点和能力特长，创造各种机会，发挥其所长，促进其成长。</w:t>
      </w:r>
    </w:p>
    <w:p>
      <w:pPr>
        <w:spacing w:line="600" w:lineRule="exact"/>
        <w:ind w:firstLine="640" w:firstLineChars="200"/>
        <w:jc w:val="left"/>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按照预算管理有关规定，目前我校预算编制实行全口径预算制度，我校机构设置有：机构</w:t>
      </w:r>
      <w:r>
        <w:rPr>
          <w:rFonts w:hint="eastAsia" w:ascii="仿宋" w:hAnsi="仿宋" w:eastAsia="仿宋" w:cs="仿宋_GB2312"/>
          <w:color w:val="000000" w:themeColor="text1"/>
          <w:sz w:val="32"/>
          <w:szCs w:val="32"/>
          <w:lang w:val="en-US" w:eastAsia="zh-CN"/>
          <w14:textFill>
            <w14:solidFill>
              <w14:schemeClr w14:val="tx1"/>
            </w14:solidFill>
          </w14:textFill>
        </w:rPr>
        <w:t>13</w:t>
      </w:r>
      <w:r>
        <w:rPr>
          <w:rFonts w:hint="eastAsia" w:ascii="仿宋" w:hAnsi="仿宋" w:eastAsia="仿宋" w:cs="仿宋_GB2312"/>
          <w:color w:val="000000" w:themeColor="text1"/>
          <w:sz w:val="32"/>
          <w:szCs w:val="32"/>
          <w14:textFill>
            <w14:solidFill>
              <w14:schemeClr w14:val="tx1"/>
            </w14:solidFill>
          </w14:textFill>
        </w:rPr>
        <w:t>个</w:t>
      </w:r>
      <w:r>
        <w:rPr>
          <w:rFonts w:hint="eastAsia" w:ascii="仿宋" w:hAnsi="仿宋" w:eastAsia="仿宋"/>
          <w:color w:val="000000" w:themeColor="text1"/>
          <w:sz w:val="32"/>
          <w:szCs w:val="32"/>
          <w14:textFill>
            <w14:solidFill>
              <w14:schemeClr w14:val="tx1"/>
            </w14:solidFill>
          </w14:textFill>
        </w:rPr>
        <w:t>：党</w:t>
      </w:r>
      <w:r>
        <w:rPr>
          <w:rFonts w:hint="eastAsia" w:ascii="仿宋" w:hAnsi="仿宋" w:eastAsia="仿宋"/>
          <w:color w:val="000000" w:themeColor="text1"/>
          <w:sz w:val="32"/>
          <w:szCs w:val="32"/>
          <w:lang w:val="en-US" w:eastAsia="zh-CN"/>
          <w14:textFill>
            <w14:solidFill>
              <w14:schemeClr w14:val="tx1"/>
            </w14:solidFill>
          </w14:textFill>
        </w:rPr>
        <w:t>支部、校长室、副校长室、党政办、综治办、教导处、教研室、总务处、体卫艺处、德育处、大队部、团支部、工会。</w:t>
      </w:r>
    </w:p>
    <w:p>
      <w:pPr>
        <w:pStyle w:val="17"/>
        <w:numPr>
          <w:numId w:val="0"/>
        </w:numPr>
        <w:ind w:leftChars="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二、</w:t>
      </w:r>
      <w:r>
        <w:rPr>
          <w:rFonts w:hint="eastAsia" w:ascii="黑体" w:hAnsi="黑体" w:eastAsia="黑体" w:cs="仿宋_GB2312"/>
          <w:sz w:val="32"/>
          <w:szCs w:val="32"/>
          <w:u w:val="none"/>
        </w:rPr>
        <w:t>部门预算单位构成（单位公开没有此部分内容）</w:t>
      </w:r>
    </w:p>
    <w:p>
      <w:pPr>
        <w:spacing w:line="600" w:lineRule="exact"/>
        <w:ind w:firstLine="640" w:firstLineChars="200"/>
        <w:jc w:val="left"/>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无此类情况。</w:t>
      </w:r>
    </w:p>
    <w:p>
      <w:pPr>
        <w:spacing w:line="600" w:lineRule="exact"/>
        <w:ind w:firstLine="640" w:firstLineChars="200"/>
        <w:jc w:val="left"/>
        <w:rPr>
          <w:rFonts w:hint="default" w:ascii="仿宋" w:hAnsi="仿宋" w:eastAsia="仿宋"/>
          <w:color w:val="000000" w:themeColor="text1"/>
          <w:sz w:val="32"/>
          <w:szCs w:val="32"/>
          <w:lang w:val="en-US" w:eastAsia="zh-CN"/>
          <w14:textFill>
            <w14:solidFill>
              <w14:schemeClr w14:val="tx1"/>
            </w14:solidFill>
          </w14:textFill>
        </w:rPr>
      </w:pPr>
    </w:p>
    <w:p>
      <w:pPr>
        <w:ind w:firstLine="640" w:firstLineChars="200"/>
        <w:jc w:val="center"/>
        <w:rPr>
          <w:rFonts w:ascii="仿宋" w:hAnsi="仿宋" w:eastAsia="仿宋"/>
          <w:color w:val="000000" w:themeColor="text1"/>
          <w:sz w:val="32"/>
          <w:szCs w:val="32"/>
          <w14:textFill>
            <w14:solidFill>
              <w14:schemeClr w14:val="tx1"/>
            </w14:solidFill>
          </w14:textFill>
        </w:rPr>
      </w:pPr>
    </w:p>
    <w:p>
      <w:pPr>
        <w:pStyle w:val="17"/>
        <w:numPr>
          <w:ilvl w:val="0"/>
          <w:numId w:val="0"/>
        </w:numPr>
        <w:ind w:leftChars="0"/>
        <w:jc w:val="left"/>
        <w:rPr>
          <w:rFonts w:hint="eastAsia" w:ascii="黑体" w:hAnsi="黑体" w:eastAsia="黑体" w:cs="仿宋_GB2312"/>
          <w:sz w:val="32"/>
          <w:szCs w:val="32"/>
          <w:u w:val="none"/>
        </w:rPr>
      </w:pPr>
      <w:r>
        <w:rPr>
          <w:rFonts w:hint="eastAsia" w:ascii="黑体" w:hAnsi="黑体" w:eastAsia="黑体" w:cs="仿宋_GB2312"/>
          <w:sz w:val="32"/>
          <w:szCs w:val="32"/>
          <w:u w:val="none"/>
        </w:rPr>
        <w:t>第二部分 海南师范大学</w:t>
      </w:r>
      <w:r>
        <w:rPr>
          <w:rFonts w:hint="eastAsia" w:ascii="黑体" w:hAnsi="黑体" w:eastAsia="黑体" w:cs="仿宋_GB2312"/>
          <w:sz w:val="32"/>
          <w:szCs w:val="32"/>
          <w:u w:val="none"/>
          <w:lang w:val="en-US" w:eastAsia="zh-CN"/>
        </w:rPr>
        <w:t>附属小学单位</w:t>
      </w:r>
      <w:r>
        <w:rPr>
          <w:rFonts w:hint="eastAsia" w:ascii="黑体" w:hAnsi="黑体" w:eastAsia="黑体" w:cs="仿宋_GB2312"/>
          <w:sz w:val="32"/>
          <w:szCs w:val="32"/>
          <w:u w:val="none"/>
        </w:rPr>
        <w:t>2024年</w:t>
      </w:r>
      <w:r>
        <w:rPr>
          <w:rFonts w:hint="eastAsia" w:ascii="黑体" w:hAnsi="黑体" w:eastAsia="黑体" w:cs="仿宋_GB2312"/>
          <w:sz w:val="32"/>
          <w:szCs w:val="32"/>
          <w:u w:val="none"/>
          <w:lang w:eastAsia="zh-CN"/>
        </w:rPr>
        <w:t>单位</w:t>
      </w:r>
      <w:r>
        <w:rPr>
          <w:rFonts w:hint="eastAsia" w:ascii="黑体" w:hAnsi="黑体" w:eastAsia="黑体" w:cs="仿宋_GB2312"/>
          <w:sz w:val="32"/>
          <w:szCs w:val="32"/>
          <w:u w:val="none"/>
        </w:rPr>
        <w:t>预算表</w:t>
      </w:r>
    </w:p>
    <w:p>
      <w:pPr>
        <w:jc w:val="center"/>
        <w:rPr>
          <w:rFonts w:ascii="仿宋" w:hAnsi="仿宋" w:eastAsia="仿宋"/>
          <w:color w:val="000000" w:themeColor="text1"/>
          <w:sz w:val="32"/>
          <w:szCs w:val="32"/>
          <w14:textFill>
            <w14:solidFill>
              <w14:schemeClr w14:val="tx1"/>
            </w14:solidFill>
          </w14:textFill>
        </w:rPr>
      </w:pPr>
    </w:p>
    <w:p>
      <w:pPr>
        <w:jc w:val="center"/>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b/>
          <w:color w:val="000000" w:themeColor="text1"/>
          <w:sz w:val="32"/>
          <w:szCs w:val="32"/>
          <w14:textFill>
            <w14:solidFill>
              <w14:schemeClr w14:val="tx1"/>
            </w14:solidFill>
          </w14:textFill>
        </w:rPr>
        <w:t>此部分内容即为部门或单位预算公开表</w:t>
      </w:r>
      <w:r>
        <w:rPr>
          <w:rFonts w:hint="eastAsia" w:ascii="仿宋" w:hAnsi="仿宋" w:eastAsia="仿宋"/>
          <w:color w:val="000000" w:themeColor="text1"/>
          <w:sz w:val="32"/>
          <w:szCs w:val="32"/>
          <w14:textFill>
            <w14:solidFill>
              <w14:schemeClr w14:val="tx1"/>
            </w14:solidFill>
          </w14:textFill>
        </w:rPr>
        <w:t>）</w:t>
      </w:r>
    </w:p>
    <w:p>
      <w:pPr>
        <w:ind w:firstLine="640" w:firstLineChars="200"/>
        <w:rPr>
          <w:rFonts w:ascii="仿宋" w:hAnsi="仿宋" w:eastAsia="仿宋"/>
          <w:color w:val="000000" w:themeColor="text1"/>
          <w:sz w:val="32"/>
          <w:szCs w:val="32"/>
          <w14:textFill>
            <w14:solidFill>
              <w14:schemeClr w14:val="tx1"/>
            </w14:solidFill>
          </w14:textFill>
        </w:rPr>
      </w:pPr>
    </w:p>
    <w:p>
      <w:pPr>
        <w:pStyle w:val="17"/>
        <w:numPr>
          <w:ilvl w:val="0"/>
          <w:numId w:val="0"/>
        </w:numPr>
        <w:ind w:leftChars="0"/>
        <w:jc w:val="left"/>
        <w:rPr>
          <w:rFonts w:hint="eastAsia" w:ascii="黑体" w:hAnsi="黑体" w:eastAsia="黑体" w:cs="仿宋_GB2312"/>
          <w:sz w:val="32"/>
          <w:szCs w:val="32"/>
          <w:u w:val="none"/>
        </w:rPr>
      </w:pPr>
      <w:r>
        <w:rPr>
          <w:rFonts w:hint="eastAsia" w:ascii="黑体" w:hAnsi="黑体" w:eastAsia="黑体" w:cs="仿宋_GB2312"/>
          <w:sz w:val="32"/>
          <w:szCs w:val="32"/>
          <w:u w:val="none"/>
        </w:rPr>
        <w:t>第三部分</w:t>
      </w:r>
      <w:r>
        <w:rPr>
          <w:rFonts w:hint="eastAsia" w:ascii="黑体" w:hAnsi="黑体" w:eastAsia="黑体" w:cs="仿宋_GB2312"/>
          <w:sz w:val="32"/>
          <w:szCs w:val="32"/>
          <w:u w:val="none"/>
          <w:lang w:val="en-US" w:eastAsia="zh-CN"/>
        </w:rPr>
        <w:t xml:space="preserve"> </w:t>
      </w:r>
      <w:r>
        <w:rPr>
          <w:rFonts w:hint="eastAsia" w:ascii="黑体" w:hAnsi="黑体" w:eastAsia="黑体" w:cs="仿宋_GB2312"/>
          <w:sz w:val="32"/>
          <w:szCs w:val="32"/>
          <w:u w:val="none"/>
        </w:rPr>
        <w:t>海南师范大学</w:t>
      </w:r>
      <w:r>
        <w:rPr>
          <w:rFonts w:hint="eastAsia" w:ascii="黑体" w:hAnsi="黑体" w:eastAsia="黑体" w:cs="仿宋_GB2312"/>
          <w:sz w:val="32"/>
          <w:szCs w:val="32"/>
          <w:u w:val="none"/>
          <w:lang w:val="en-US" w:eastAsia="zh-CN"/>
        </w:rPr>
        <w:t>附属小学单位</w:t>
      </w:r>
      <w:r>
        <w:rPr>
          <w:rFonts w:hint="eastAsia" w:ascii="黑体" w:hAnsi="黑体" w:eastAsia="黑体" w:cs="仿宋_GB2312"/>
          <w:sz w:val="32"/>
          <w:szCs w:val="32"/>
          <w:u w:val="none"/>
        </w:rPr>
        <w:t>2024年</w:t>
      </w:r>
      <w:r>
        <w:rPr>
          <w:rFonts w:hint="eastAsia" w:ascii="黑体" w:hAnsi="黑体" w:eastAsia="黑体" w:cs="仿宋_GB2312"/>
          <w:sz w:val="32"/>
          <w:szCs w:val="32"/>
          <w:u w:val="none"/>
          <w:lang w:eastAsia="zh-CN"/>
        </w:rPr>
        <w:t>单位</w:t>
      </w:r>
      <w:r>
        <w:rPr>
          <w:rFonts w:hint="eastAsia" w:ascii="黑体" w:hAnsi="黑体" w:eastAsia="黑体" w:cs="仿宋_GB2312"/>
          <w:sz w:val="32"/>
          <w:szCs w:val="32"/>
          <w:u w:val="none"/>
        </w:rPr>
        <w:t>预算情况说明</w:t>
      </w:r>
    </w:p>
    <w:p>
      <w:pPr>
        <w:rPr>
          <w:rFonts w:ascii="仿宋" w:hAnsi="仿宋" w:eastAsia="仿宋"/>
          <w:b/>
          <w:color w:val="000000" w:themeColor="text1"/>
          <w:sz w:val="32"/>
          <w:szCs w:val="32"/>
          <w14:textFill>
            <w14:solidFill>
              <w14:schemeClr w14:val="tx1"/>
            </w14:solidFill>
          </w14:textFill>
        </w:rPr>
      </w:pPr>
    </w:p>
    <w:p>
      <w:pPr>
        <w:pStyle w:val="17"/>
        <w:numPr>
          <w:ilvl w:val="0"/>
          <w:numId w:val="0"/>
        </w:numPr>
        <w:ind w:leftChars="0"/>
        <w:jc w:val="left"/>
        <w:rPr>
          <w:rFonts w:hint="eastAsia" w:ascii="黑体" w:hAnsi="黑体" w:eastAsia="黑体" w:cs="仿宋_GB2312"/>
          <w:sz w:val="32"/>
          <w:szCs w:val="32"/>
          <w:u w:val="none"/>
        </w:rPr>
      </w:pPr>
      <w:r>
        <w:rPr>
          <w:rFonts w:hint="eastAsia" w:ascii="黑体" w:hAnsi="黑体" w:eastAsia="黑体" w:cs="仿宋_GB2312"/>
          <w:sz w:val="32"/>
          <w:szCs w:val="32"/>
          <w:u w:val="none"/>
        </w:rPr>
        <w:t>一、关于海南师范大学</w:t>
      </w:r>
      <w:r>
        <w:rPr>
          <w:rFonts w:hint="eastAsia" w:ascii="黑体" w:hAnsi="黑体" w:eastAsia="黑体" w:cs="仿宋_GB2312"/>
          <w:sz w:val="32"/>
          <w:szCs w:val="32"/>
          <w:u w:val="none"/>
          <w:lang w:val="en-US" w:eastAsia="zh-CN"/>
        </w:rPr>
        <w:t>附属小学单位</w:t>
      </w:r>
      <w:r>
        <w:rPr>
          <w:rFonts w:hint="eastAsia" w:ascii="黑体" w:hAnsi="黑体" w:eastAsia="黑体" w:cs="仿宋_GB2312"/>
          <w:sz w:val="32"/>
          <w:szCs w:val="32"/>
          <w:u w:val="none"/>
        </w:rPr>
        <w:t>2024年财政拨款收支预算情况的总体说明</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海南师范大学</w:t>
      </w:r>
      <w:r>
        <w:rPr>
          <w:rFonts w:hint="eastAsia" w:ascii="仿宋" w:hAnsi="仿宋" w:eastAsia="仿宋"/>
          <w:color w:val="000000" w:themeColor="text1"/>
          <w:sz w:val="32"/>
          <w:szCs w:val="32"/>
          <w:lang w:val="en-US" w:eastAsia="zh-CN"/>
          <w14:textFill>
            <w14:solidFill>
              <w14:schemeClr w14:val="tx1"/>
            </w14:solidFill>
          </w14:textFill>
        </w:rPr>
        <w:t>附属小学单位</w:t>
      </w:r>
      <w:bookmarkStart w:id="0" w:name="_GoBack"/>
      <w:bookmarkEnd w:id="0"/>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年财政拨款收支总预算</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支出总计</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万元，教育支出</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二、关于海南师范大学</w:t>
      </w:r>
      <w:r>
        <w:rPr>
          <w:rFonts w:hint="eastAsia" w:ascii="仿宋" w:hAnsi="仿宋" w:eastAsia="仿宋"/>
          <w:b/>
          <w:color w:val="000000" w:themeColor="text1"/>
          <w:sz w:val="32"/>
          <w:szCs w:val="32"/>
          <w:lang w:val="en-US" w:eastAsia="zh-CN"/>
          <w14:textFill>
            <w14:solidFill>
              <w14:schemeClr w14:val="tx1"/>
            </w14:solidFill>
          </w14:textFill>
        </w:rPr>
        <w:t>附属小学</w:t>
      </w:r>
      <w:r>
        <w:rPr>
          <w:rFonts w:hint="eastAsia" w:ascii="仿宋" w:hAnsi="仿宋" w:eastAsia="仿宋"/>
          <w:b/>
          <w:color w:val="000000" w:themeColor="text1"/>
          <w:sz w:val="32"/>
          <w:szCs w:val="32"/>
          <w14:textFill>
            <w14:solidFill>
              <w14:schemeClr w14:val="tx1"/>
            </w14:solidFill>
          </w14:textFill>
        </w:rPr>
        <w:t>202</w:t>
      </w:r>
      <w:r>
        <w:rPr>
          <w:rFonts w:ascii="仿宋" w:hAnsi="仿宋" w:eastAsia="仿宋"/>
          <w:b/>
          <w:color w:val="000000" w:themeColor="text1"/>
          <w:sz w:val="32"/>
          <w:szCs w:val="32"/>
          <w14:textFill>
            <w14:solidFill>
              <w14:schemeClr w14:val="tx1"/>
            </w14:solidFill>
          </w14:textFill>
        </w:rPr>
        <w:t>4</w:t>
      </w:r>
      <w:r>
        <w:rPr>
          <w:rFonts w:hint="eastAsia" w:ascii="仿宋" w:hAnsi="仿宋" w:eastAsia="仿宋"/>
          <w:b/>
          <w:color w:val="000000" w:themeColor="text1"/>
          <w:sz w:val="32"/>
          <w:szCs w:val="32"/>
          <w14:textFill>
            <w14:solidFill>
              <w14:schemeClr w14:val="tx1"/>
            </w14:solidFill>
          </w14:textFill>
        </w:rPr>
        <w:t>年一般公共预算当年拨款情况说明</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（一）一般公共预算当年规模变化情况</w:t>
      </w:r>
    </w:p>
    <w:p>
      <w:pPr>
        <w:spacing w:line="560" w:lineRule="exact"/>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年一般公共预算当年拨款</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（二）一般公共预算当年拨款结构情况</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教育（类）支出</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100</w:t>
      </w:r>
      <w:r>
        <w:rPr>
          <w:rFonts w:hint="eastAsia" w:ascii="仿宋" w:hAnsi="仿宋" w:eastAsia="仿宋"/>
          <w:color w:val="000000" w:themeColor="text1"/>
          <w:sz w:val="32"/>
          <w:szCs w:val="32"/>
          <w14:textFill>
            <w14:solidFill>
              <w14:schemeClr w14:val="tx1"/>
            </w14:solidFill>
          </w14:textFill>
        </w:rPr>
        <w:t>%。</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（三）一般公共预算当年拨款具体使用情况</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教育支出（类）普通教育（款）</w:t>
      </w:r>
      <w:r>
        <w:rPr>
          <w:rFonts w:hint="eastAsia" w:ascii="仿宋" w:hAnsi="仿宋" w:eastAsia="仿宋"/>
          <w:color w:val="000000" w:themeColor="text1"/>
          <w:sz w:val="32"/>
          <w:szCs w:val="32"/>
          <w:lang w:val="en-US" w:eastAsia="zh-CN"/>
          <w14:textFill>
            <w14:solidFill>
              <w14:schemeClr w14:val="tx1"/>
            </w14:solidFill>
          </w14:textFill>
        </w:rPr>
        <w:t>小学</w:t>
      </w:r>
      <w:r>
        <w:rPr>
          <w:rFonts w:hint="eastAsia" w:ascii="仿宋" w:hAnsi="仿宋" w:eastAsia="仿宋"/>
          <w:color w:val="000000" w:themeColor="text1"/>
          <w:sz w:val="32"/>
          <w:szCs w:val="32"/>
          <w14:textFill>
            <w14:solidFill>
              <w14:schemeClr w14:val="tx1"/>
            </w14:solidFill>
          </w14:textFill>
        </w:rPr>
        <w:t>教育（项）202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年预算数为</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三、关于海南师范大学</w:t>
      </w:r>
      <w:r>
        <w:rPr>
          <w:rFonts w:hint="eastAsia" w:ascii="仿宋" w:hAnsi="仿宋" w:eastAsia="仿宋"/>
          <w:b/>
          <w:color w:val="000000" w:themeColor="text1"/>
          <w:sz w:val="32"/>
          <w:szCs w:val="32"/>
          <w:lang w:val="en-US" w:eastAsia="zh-CN"/>
          <w14:textFill>
            <w14:solidFill>
              <w14:schemeClr w14:val="tx1"/>
            </w14:solidFill>
          </w14:textFill>
        </w:rPr>
        <w:t>附属小学</w:t>
      </w:r>
      <w:r>
        <w:rPr>
          <w:rFonts w:hint="eastAsia" w:ascii="仿宋" w:hAnsi="仿宋" w:eastAsia="仿宋"/>
          <w:b/>
          <w:color w:val="000000" w:themeColor="text1"/>
          <w:sz w:val="32"/>
          <w:szCs w:val="32"/>
          <w14:textFill>
            <w14:solidFill>
              <w14:schemeClr w14:val="tx1"/>
            </w14:solidFill>
          </w14:textFill>
        </w:rPr>
        <w:t>202</w:t>
      </w:r>
      <w:r>
        <w:rPr>
          <w:rFonts w:ascii="仿宋" w:hAnsi="仿宋" w:eastAsia="仿宋"/>
          <w:b/>
          <w:color w:val="000000" w:themeColor="text1"/>
          <w:sz w:val="32"/>
          <w:szCs w:val="32"/>
          <w14:textFill>
            <w14:solidFill>
              <w14:schemeClr w14:val="tx1"/>
            </w14:solidFill>
          </w14:textFill>
        </w:rPr>
        <w:t>4</w:t>
      </w:r>
      <w:r>
        <w:rPr>
          <w:rFonts w:hint="eastAsia" w:ascii="仿宋" w:hAnsi="仿宋" w:eastAsia="仿宋"/>
          <w:b/>
          <w:color w:val="000000" w:themeColor="text1"/>
          <w:sz w:val="32"/>
          <w:szCs w:val="32"/>
          <w14:textFill>
            <w14:solidFill>
              <w14:schemeClr w14:val="tx1"/>
            </w14:solidFill>
          </w14:textFill>
        </w:rPr>
        <w:t>年一般公共预算基本支出情况说明</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年一般公共预算基本支出为</w:t>
      </w:r>
      <w:r>
        <w:rPr>
          <w:rFonts w:hint="eastAsia" w:ascii="仿宋" w:hAnsi="仿宋" w:eastAsia="仿宋"/>
          <w:color w:val="000000" w:themeColor="text1"/>
          <w:sz w:val="32"/>
          <w:szCs w:val="32"/>
          <w:lang w:val="en-US" w:eastAsia="zh-CN"/>
          <w14:textFill>
            <w14:solidFill>
              <w14:schemeClr w14:val="tx1"/>
            </w14:solidFill>
          </w14:textFill>
        </w:rPr>
        <w:t>474.91</w:t>
      </w:r>
      <w:r>
        <w:rPr>
          <w:rFonts w:hint="eastAsia" w:ascii="仿宋" w:hAnsi="仿宋" w:eastAsia="仿宋"/>
          <w:color w:val="000000" w:themeColor="text1"/>
          <w:sz w:val="32"/>
          <w:szCs w:val="32"/>
          <w14:textFill>
            <w14:solidFill>
              <w14:schemeClr w14:val="tx1"/>
            </w14:solidFill>
          </w14:textFill>
        </w:rPr>
        <w:t>万元，其中：</w:t>
      </w:r>
    </w:p>
    <w:p>
      <w:pPr>
        <w:spacing w:line="560" w:lineRule="exact"/>
        <w:ind w:firstLine="640" w:firstLineChars="200"/>
        <w:rPr>
          <w:rFonts w:ascii="仿宋" w:hAnsi="仿宋" w:eastAsia="仿宋"/>
          <w:color w:val="FF0000"/>
          <w:sz w:val="32"/>
          <w:szCs w:val="32"/>
        </w:rPr>
      </w:pPr>
      <w:r>
        <w:rPr>
          <w:rFonts w:hint="eastAsia" w:ascii="仿宋" w:hAnsi="仿宋" w:eastAsia="仿宋"/>
          <w:color w:val="000000" w:themeColor="text1"/>
          <w:sz w:val="32"/>
          <w:szCs w:val="32"/>
          <w14:textFill>
            <w14:solidFill>
              <w14:schemeClr w14:val="tx1"/>
            </w14:solidFill>
          </w14:textFill>
        </w:rPr>
        <w:t>人员经费</w:t>
      </w:r>
      <w:r>
        <w:rPr>
          <w:rFonts w:hint="eastAsia" w:ascii="仿宋" w:hAnsi="仿宋" w:eastAsia="仿宋"/>
          <w:color w:val="000000" w:themeColor="text1"/>
          <w:sz w:val="32"/>
          <w:szCs w:val="32"/>
          <w:lang w:val="en-US" w:eastAsia="zh-CN"/>
          <w14:textFill>
            <w14:solidFill>
              <w14:schemeClr w14:val="tx1"/>
            </w14:solidFill>
          </w14:textFill>
        </w:rPr>
        <w:t>373.79</w:t>
      </w:r>
      <w:r>
        <w:rPr>
          <w:rFonts w:hint="eastAsia" w:ascii="仿宋" w:hAnsi="仿宋" w:eastAsia="仿宋"/>
          <w:color w:val="000000" w:themeColor="text1"/>
          <w:sz w:val="32"/>
          <w:szCs w:val="32"/>
          <w14:textFill>
            <w14:solidFill>
              <w14:schemeClr w14:val="tx1"/>
            </w14:solidFill>
          </w14:textFill>
        </w:rPr>
        <w:t>万元，主要包括：</w:t>
      </w:r>
      <w:r>
        <w:rPr>
          <w:rFonts w:hint="eastAsia" w:ascii="仿宋" w:hAnsi="仿宋" w:eastAsia="仿宋"/>
          <w:color w:val="000000" w:themeColor="text1"/>
          <w:sz w:val="32"/>
          <w:szCs w:val="32"/>
          <w:lang w:val="en-US" w:eastAsia="zh-CN"/>
          <w14:textFill>
            <w14:solidFill>
              <w14:schemeClr w14:val="tx1"/>
            </w14:solidFill>
          </w14:textFill>
        </w:rPr>
        <w:t>发放长聘人员工资</w:t>
      </w:r>
      <w:r>
        <w:rPr>
          <w:rFonts w:hint="eastAsia" w:ascii="仿宋" w:hAnsi="仿宋" w:eastAsia="仿宋"/>
          <w:color w:val="000000" w:themeColor="text1"/>
          <w:sz w:val="32"/>
          <w:szCs w:val="32"/>
          <w14:textFill>
            <w14:solidFill>
              <w14:schemeClr w14:val="tx1"/>
            </w14:solidFill>
          </w14:textFill>
        </w:rPr>
        <w:t>支出等。</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公用经费</w:t>
      </w:r>
      <w:r>
        <w:rPr>
          <w:rFonts w:hint="eastAsia" w:ascii="仿宋" w:hAnsi="仿宋" w:eastAsia="仿宋"/>
          <w:color w:val="000000" w:themeColor="text1"/>
          <w:sz w:val="32"/>
          <w:szCs w:val="32"/>
          <w:lang w:val="en-US" w:eastAsia="zh-CN"/>
          <w14:textFill>
            <w14:solidFill>
              <w14:schemeClr w14:val="tx1"/>
            </w14:solidFill>
          </w14:textFill>
        </w:rPr>
        <w:t>101.12</w:t>
      </w:r>
      <w:r>
        <w:rPr>
          <w:rFonts w:hint="eastAsia" w:ascii="仿宋" w:hAnsi="仿宋" w:eastAsia="仿宋"/>
          <w:color w:val="000000" w:themeColor="text1"/>
          <w:sz w:val="32"/>
          <w:szCs w:val="32"/>
          <w14:textFill>
            <w14:solidFill>
              <w14:schemeClr w14:val="tx1"/>
            </w14:solidFill>
          </w14:textFill>
        </w:rPr>
        <w:t>万元，主要包括：办公费、印刷费、咨询费、手续费、水费、电费、邮电费、物业管理费、差旅费、维修（护）费、租赁费、会议费、培训费、专用材料费、劳务费、委托业务费、工会经费、其他商品和服务支出、资本性支出（办公设备购置费）。</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四、海南师范大学</w:t>
      </w:r>
      <w:r>
        <w:rPr>
          <w:rFonts w:hint="eastAsia" w:ascii="仿宋" w:hAnsi="仿宋" w:eastAsia="仿宋"/>
          <w:b/>
          <w:color w:val="000000" w:themeColor="text1"/>
          <w:sz w:val="32"/>
          <w:szCs w:val="32"/>
          <w:lang w:val="en-US" w:eastAsia="zh-CN"/>
          <w14:textFill>
            <w14:solidFill>
              <w14:schemeClr w14:val="tx1"/>
            </w14:solidFill>
          </w14:textFill>
        </w:rPr>
        <w:t>附属小学</w:t>
      </w:r>
      <w:r>
        <w:rPr>
          <w:rFonts w:hint="eastAsia" w:ascii="仿宋" w:hAnsi="仿宋" w:eastAsia="仿宋"/>
          <w:b/>
          <w:color w:val="000000" w:themeColor="text1"/>
          <w:sz w:val="32"/>
          <w:szCs w:val="32"/>
          <w14:textFill>
            <w14:solidFill>
              <w14:schemeClr w14:val="tx1"/>
            </w14:solidFill>
          </w14:textFill>
        </w:rPr>
        <w:t>202</w:t>
      </w:r>
      <w:r>
        <w:rPr>
          <w:rFonts w:ascii="仿宋" w:hAnsi="仿宋" w:eastAsia="仿宋"/>
          <w:b/>
          <w:color w:val="000000" w:themeColor="text1"/>
          <w:sz w:val="32"/>
          <w:szCs w:val="32"/>
          <w14:textFill>
            <w14:solidFill>
              <w14:schemeClr w14:val="tx1"/>
            </w14:solidFill>
          </w14:textFill>
        </w:rPr>
        <w:t>4年“三公”经费预算情况</w:t>
      </w:r>
      <w:r>
        <w:rPr>
          <w:rFonts w:hint="eastAsia" w:ascii="仿宋" w:hAnsi="仿宋" w:eastAsia="仿宋"/>
          <w:b/>
          <w:color w:val="000000" w:themeColor="text1"/>
          <w:sz w:val="32"/>
          <w:szCs w:val="32"/>
          <w14:textFill>
            <w14:solidFill>
              <w14:schemeClr w14:val="tx1"/>
            </w14:solidFill>
          </w14:textFill>
        </w:rPr>
        <w:t>说明</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年一般公共预算“三公”经费预算数为</w:t>
      </w:r>
      <w:r>
        <w:rPr>
          <w:rFonts w:ascii="仿宋" w:hAnsi="仿宋" w:eastAsia="仿宋"/>
          <w:color w:val="000000" w:themeColor="text1"/>
          <w:sz w:val="32"/>
          <w:szCs w:val="32"/>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与上年预算持平</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rPr>
        <w:t>上级部门</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人。公务用车运行</w:t>
      </w:r>
      <w:r>
        <w:rPr>
          <w:rFonts w:hint="eastAsia" w:ascii="Times New Roman" w:hAnsi="Times New Roman" w:eastAsia="仿宋_GB2312" w:cs="Times New Roman"/>
          <w:sz w:val="32"/>
          <w:shd w:val="clear" w:color="auto" w:fill="FFFFFF"/>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与上年预算持平。公务车保有量</w:t>
      </w:r>
      <w:r>
        <w:rPr>
          <w:rFonts w:hint="eastAsia" w:ascii="仿宋_GB2312" w:hAnsi="黑体" w:eastAsia="仿宋_GB2312" w:cs="仿宋_GB2312"/>
          <w:sz w:val="32"/>
          <w:szCs w:val="32"/>
        </w:rPr>
        <w:t>0辆，</w:t>
      </w:r>
      <w:r>
        <w:rPr>
          <w:rFonts w:hint="eastAsia" w:ascii="Times New Roman" w:hAnsi="Times New Roman" w:eastAsia="仿宋_GB2312" w:cs="Times New Roman"/>
          <w:sz w:val="32"/>
          <w:shd w:val="clear" w:color="auto" w:fill="FFFFFF"/>
        </w:rPr>
        <w:t>无新增购置计划。</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与上年预算持平，计划接待</w:t>
      </w:r>
      <w:r>
        <w:rPr>
          <w:rFonts w:hint="eastAsia" w:ascii="仿宋_GB2312" w:hAnsi="黑体" w:eastAsia="仿宋_GB2312" w:cs="仿宋_GB2312"/>
          <w:sz w:val="32"/>
          <w:szCs w:val="32"/>
        </w:rPr>
        <w:t>0批0人</w:t>
      </w:r>
      <w:r>
        <w:rPr>
          <w:rFonts w:hint="eastAsia" w:ascii="Times New Roman" w:hAnsi="Times New Roman" w:eastAsia="仿宋_GB2312" w:cs="Times New Roman"/>
          <w:sz w:val="32"/>
          <w:shd w:val="clear" w:color="auto" w:fill="FFFFFF"/>
        </w:rPr>
        <w:t>。</w:t>
      </w:r>
    </w:p>
    <w:p>
      <w:pPr>
        <w:spacing w:line="560" w:lineRule="exact"/>
        <w:ind w:firstLine="640"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（二）海南师范大学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年政府性基金预算“三公”经费预算数为</w:t>
      </w:r>
      <w:r>
        <w:rPr>
          <w:rFonts w:ascii="仿宋" w:hAnsi="仿宋" w:eastAsia="仿宋"/>
          <w:color w:val="000000" w:themeColor="text1"/>
          <w:sz w:val="32"/>
          <w:szCs w:val="32"/>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万元。</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五、</w:t>
      </w:r>
      <w:r>
        <w:rPr>
          <w:rFonts w:hint="eastAsia" w:ascii="仿宋" w:hAnsi="仿宋" w:eastAsia="仿宋"/>
          <w:b/>
          <w:color w:val="000000" w:themeColor="text1"/>
          <w:sz w:val="32"/>
          <w:szCs w:val="32"/>
          <w:lang w:val="en-US" w:eastAsia="zh-CN"/>
          <w14:textFill>
            <w14:solidFill>
              <w14:schemeClr w14:val="tx1"/>
            </w14:solidFill>
          </w14:textFill>
        </w:rPr>
        <w:t>海南师范大学附属小学</w:t>
      </w:r>
      <w:r>
        <w:rPr>
          <w:rFonts w:hint="eastAsia" w:ascii="仿宋" w:hAnsi="仿宋" w:eastAsia="仿宋"/>
          <w:b/>
          <w:color w:val="000000" w:themeColor="text1"/>
          <w:sz w:val="32"/>
          <w:szCs w:val="32"/>
          <w14:textFill>
            <w14:solidFill>
              <w14:schemeClr w14:val="tx1"/>
            </w14:solidFill>
          </w14:textFill>
        </w:rPr>
        <w:t>202</w:t>
      </w:r>
      <w:r>
        <w:rPr>
          <w:rFonts w:ascii="仿宋" w:hAnsi="仿宋" w:eastAsia="仿宋"/>
          <w:b/>
          <w:color w:val="000000" w:themeColor="text1"/>
          <w:sz w:val="32"/>
          <w:szCs w:val="32"/>
          <w14:textFill>
            <w14:solidFill>
              <w14:schemeClr w14:val="tx1"/>
            </w14:solidFill>
          </w14:textFill>
        </w:rPr>
        <w:t>4年</w:t>
      </w:r>
      <w:r>
        <w:rPr>
          <w:rFonts w:hint="eastAsia" w:ascii="仿宋" w:hAnsi="仿宋" w:eastAsia="仿宋"/>
          <w:b/>
          <w:color w:val="000000" w:themeColor="text1"/>
          <w:sz w:val="32"/>
          <w:szCs w:val="32"/>
          <w14:textFill>
            <w14:solidFill>
              <w14:schemeClr w14:val="tx1"/>
            </w14:solidFill>
          </w14:textFill>
        </w:rPr>
        <w:t>政府性基金预算当年拨款情况说明</w:t>
      </w:r>
    </w:p>
    <w:p>
      <w:pPr>
        <w:ind w:firstLine="640" w:firstLineChars="200"/>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海南师范大学附属</w:t>
      </w:r>
      <w:r>
        <w:rPr>
          <w:rFonts w:hint="eastAsia" w:ascii="仿宋_GB2312" w:hAnsi="仿宋_GB2312" w:eastAsia="仿宋_GB2312" w:cs="仿宋_GB2312"/>
          <w:sz w:val="32"/>
          <w:szCs w:val="32"/>
          <w:lang w:val="en-US" w:eastAsia="zh-CN"/>
        </w:rPr>
        <w:t>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年及以前年度均无政府性基金预算拨款。</w:t>
      </w:r>
    </w:p>
    <w:p>
      <w:pPr>
        <w:ind w:firstLine="640" w:firstLineChars="200"/>
        <w:rPr>
          <w:rFonts w:ascii="楷体" w:hAnsi="楷体" w:eastAsia="楷体"/>
          <w:sz w:val="32"/>
          <w:szCs w:val="32"/>
        </w:rPr>
      </w:pPr>
      <w:r>
        <w:rPr>
          <w:rFonts w:hint="eastAsia" w:ascii="楷体" w:hAnsi="楷体" w:eastAsia="楷体"/>
          <w:sz w:val="32"/>
          <w:szCs w:val="32"/>
        </w:rPr>
        <w:t>（二）政府性基金预算当年拨款结构情况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海南师范大学附属附属</w:t>
      </w:r>
      <w:r>
        <w:rPr>
          <w:rFonts w:hint="eastAsia" w:ascii="仿宋_GB2312" w:hAnsi="仿宋_GB2312" w:eastAsia="仿宋_GB2312" w:cs="仿宋_GB2312"/>
          <w:sz w:val="32"/>
          <w:szCs w:val="32"/>
          <w:lang w:val="en-US" w:eastAsia="zh-CN"/>
        </w:rPr>
        <w:t>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年及以前年度均无政府性基金预算拨款。</w:t>
      </w:r>
    </w:p>
    <w:p>
      <w:pPr>
        <w:ind w:firstLine="640" w:firstLineChars="200"/>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海南师范大学附属附属</w:t>
      </w:r>
      <w:r>
        <w:rPr>
          <w:rFonts w:hint="eastAsia" w:ascii="仿宋_GB2312" w:hAnsi="仿宋_GB2312" w:eastAsia="仿宋_GB2312" w:cs="仿宋_GB2312"/>
          <w:sz w:val="32"/>
          <w:szCs w:val="32"/>
          <w:lang w:val="en-US" w:eastAsia="zh-CN"/>
        </w:rPr>
        <w:t>小学</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年及以前年度均无政府性基金预算拨款。</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六、关于海南师范大学</w:t>
      </w:r>
      <w:r>
        <w:rPr>
          <w:rFonts w:hint="eastAsia" w:ascii="仿宋" w:hAnsi="仿宋" w:eastAsia="仿宋"/>
          <w:b/>
          <w:color w:val="000000" w:themeColor="text1"/>
          <w:sz w:val="32"/>
          <w:szCs w:val="32"/>
          <w:lang w:val="en-US" w:eastAsia="zh-CN"/>
          <w14:textFill>
            <w14:solidFill>
              <w14:schemeClr w14:val="tx1"/>
            </w14:solidFill>
          </w14:textFill>
        </w:rPr>
        <w:t>附属小学</w:t>
      </w:r>
      <w:r>
        <w:rPr>
          <w:rFonts w:hint="eastAsia" w:ascii="仿宋" w:hAnsi="仿宋" w:eastAsia="仿宋"/>
          <w:b/>
          <w:color w:val="000000" w:themeColor="text1"/>
          <w:sz w:val="32"/>
          <w:szCs w:val="32"/>
          <w14:textFill>
            <w14:solidFill>
              <w14:schemeClr w14:val="tx1"/>
            </w14:solidFill>
          </w14:textFill>
        </w:rPr>
        <w:t>20</w:t>
      </w:r>
      <w:r>
        <w:rPr>
          <w:rFonts w:ascii="仿宋" w:hAnsi="仿宋" w:eastAsia="仿宋"/>
          <w:b/>
          <w:color w:val="000000" w:themeColor="text1"/>
          <w:sz w:val="32"/>
          <w:szCs w:val="32"/>
          <w14:textFill>
            <w14:solidFill>
              <w14:schemeClr w14:val="tx1"/>
            </w14:solidFill>
          </w14:textFill>
        </w:rPr>
        <w:t>24年</w:t>
      </w:r>
      <w:r>
        <w:rPr>
          <w:rFonts w:hint="eastAsia" w:ascii="仿宋" w:hAnsi="仿宋" w:eastAsia="仿宋"/>
          <w:b/>
          <w:color w:val="000000" w:themeColor="text1"/>
          <w:sz w:val="32"/>
          <w:szCs w:val="32"/>
          <w14:textFill>
            <w14:solidFill>
              <w14:schemeClr w14:val="tx1"/>
            </w14:solidFill>
          </w14:textFill>
        </w:rPr>
        <w:t>收支预算情况的总体说明</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按照综合预算原则，海南师范大学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所有收入和支出均纳入部门预算管理。收入包括：一般公共预算收入；支出包括：教育支出。海南师范大学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年收入总预算</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七、关于海南师范大学</w:t>
      </w:r>
      <w:r>
        <w:rPr>
          <w:rFonts w:hint="eastAsia" w:ascii="仿宋" w:hAnsi="仿宋" w:eastAsia="仿宋"/>
          <w:b/>
          <w:color w:val="000000" w:themeColor="text1"/>
          <w:sz w:val="32"/>
          <w:szCs w:val="32"/>
          <w:lang w:val="en-US" w:eastAsia="zh-CN"/>
          <w14:textFill>
            <w14:solidFill>
              <w14:schemeClr w14:val="tx1"/>
            </w14:solidFill>
          </w14:textFill>
        </w:rPr>
        <w:t>附属小学</w:t>
      </w:r>
      <w:r>
        <w:rPr>
          <w:rFonts w:hint="eastAsia" w:ascii="仿宋" w:hAnsi="仿宋" w:eastAsia="仿宋"/>
          <w:b/>
          <w:color w:val="000000" w:themeColor="text1"/>
          <w:sz w:val="32"/>
          <w:szCs w:val="32"/>
          <w14:textFill>
            <w14:solidFill>
              <w14:schemeClr w14:val="tx1"/>
            </w14:solidFill>
          </w14:textFill>
        </w:rPr>
        <w:t>202</w:t>
      </w:r>
      <w:r>
        <w:rPr>
          <w:rFonts w:ascii="仿宋" w:hAnsi="仿宋" w:eastAsia="仿宋"/>
          <w:b/>
          <w:color w:val="000000" w:themeColor="text1"/>
          <w:sz w:val="32"/>
          <w:szCs w:val="32"/>
          <w14:textFill>
            <w14:solidFill>
              <w14:schemeClr w14:val="tx1"/>
            </w14:solidFill>
          </w14:textFill>
        </w:rPr>
        <w:t>4年</w:t>
      </w:r>
      <w:r>
        <w:rPr>
          <w:rFonts w:hint="eastAsia" w:ascii="仿宋" w:hAnsi="仿宋" w:eastAsia="仿宋"/>
          <w:b/>
          <w:color w:val="000000" w:themeColor="text1"/>
          <w:sz w:val="32"/>
          <w:szCs w:val="32"/>
          <w14:textFill>
            <w14:solidFill>
              <w14:schemeClr w14:val="tx1"/>
            </w14:solidFill>
          </w14:textFill>
        </w:rPr>
        <w:t>收入预算情况说明</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年收入预算</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万元，其中：一般公共预算拨款收入</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100</w:t>
      </w:r>
      <w:r>
        <w:rPr>
          <w:rFonts w:hint="eastAsia" w:ascii="仿宋" w:hAnsi="仿宋" w:eastAsia="仿宋"/>
          <w:color w:val="000000" w:themeColor="text1"/>
          <w:sz w:val="32"/>
          <w:szCs w:val="32"/>
          <w14:textFill>
            <w14:solidFill>
              <w14:schemeClr w14:val="tx1"/>
            </w14:solidFill>
          </w14:textFill>
        </w:rPr>
        <w:t>%。</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八、关于海南师范大学</w:t>
      </w:r>
      <w:r>
        <w:rPr>
          <w:rFonts w:hint="eastAsia" w:ascii="仿宋" w:hAnsi="仿宋" w:eastAsia="仿宋"/>
          <w:b/>
          <w:color w:val="000000" w:themeColor="text1"/>
          <w:sz w:val="32"/>
          <w:szCs w:val="32"/>
          <w:lang w:val="en-US" w:eastAsia="zh-CN"/>
          <w14:textFill>
            <w14:solidFill>
              <w14:schemeClr w14:val="tx1"/>
            </w14:solidFill>
          </w14:textFill>
        </w:rPr>
        <w:t>附属小学</w:t>
      </w:r>
      <w:r>
        <w:rPr>
          <w:rFonts w:hint="eastAsia" w:ascii="仿宋" w:hAnsi="仿宋" w:eastAsia="仿宋"/>
          <w:b/>
          <w:color w:val="000000" w:themeColor="text1"/>
          <w:sz w:val="32"/>
          <w:szCs w:val="32"/>
          <w14:textFill>
            <w14:solidFill>
              <w14:schemeClr w14:val="tx1"/>
            </w14:solidFill>
          </w14:textFill>
        </w:rPr>
        <w:t>202</w:t>
      </w:r>
      <w:r>
        <w:rPr>
          <w:rFonts w:ascii="仿宋" w:hAnsi="仿宋" w:eastAsia="仿宋"/>
          <w:b/>
          <w:color w:val="000000" w:themeColor="text1"/>
          <w:sz w:val="32"/>
          <w:szCs w:val="32"/>
          <w14:textFill>
            <w14:solidFill>
              <w14:schemeClr w14:val="tx1"/>
            </w14:solidFill>
          </w14:textFill>
        </w:rPr>
        <w:t>4年</w:t>
      </w:r>
      <w:r>
        <w:rPr>
          <w:rFonts w:hint="eastAsia" w:ascii="仿宋" w:hAnsi="仿宋" w:eastAsia="仿宋"/>
          <w:b/>
          <w:color w:val="000000" w:themeColor="text1"/>
          <w:sz w:val="32"/>
          <w:szCs w:val="32"/>
          <w14:textFill>
            <w14:solidFill>
              <w14:schemeClr w14:val="tx1"/>
            </w14:solidFill>
          </w14:textFill>
        </w:rPr>
        <w:t>支出预算情况说明</w:t>
      </w:r>
    </w:p>
    <w:p>
      <w:pPr>
        <w:spacing w:line="56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海南师范大学</w:t>
      </w:r>
      <w:r>
        <w:rPr>
          <w:rFonts w:hint="eastAsia" w:ascii="仿宋" w:hAnsi="仿宋" w:eastAsia="仿宋"/>
          <w:color w:val="000000" w:themeColor="text1"/>
          <w:sz w:val="32"/>
          <w:szCs w:val="32"/>
          <w:lang w:val="en-US" w:eastAsia="zh-CN"/>
          <w14:textFill>
            <w14:solidFill>
              <w14:schemeClr w14:val="tx1"/>
            </w14:solidFill>
          </w14:textFill>
        </w:rPr>
        <w:t>附属小学</w:t>
      </w:r>
      <w:r>
        <w:rPr>
          <w:rFonts w:hint="eastAsia" w:ascii="仿宋" w:hAnsi="仿宋" w:eastAsia="仿宋"/>
          <w:color w:val="000000" w:themeColor="text1"/>
          <w:sz w:val="32"/>
          <w:szCs w:val="32"/>
          <w14:textFill>
            <w14:solidFill>
              <w14:schemeClr w14:val="tx1"/>
            </w14:solidFill>
          </w14:textFill>
        </w:rPr>
        <w:t>202</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年支出预算</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 w:hAnsi="仿宋" w:eastAsia="仿宋"/>
          <w:color w:val="000000" w:themeColor="text1"/>
          <w:sz w:val="32"/>
          <w:szCs w:val="32"/>
          <w14:textFill>
            <w14:solidFill>
              <w14:schemeClr w14:val="tx1"/>
            </w14:solidFill>
          </w14:textFill>
        </w:rPr>
        <w:t>万元，其中：基本支出</w:t>
      </w:r>
      <w:r>
        <w:rPr>
          <w:rFonts w:hint="eastAsia" w:ascii="仿宋" w:hAnsi="仿宋" w:eastAsia="仿宋"/>
          <w:color w:val="000000" w:themeColor="text1"/>
          <w:sz w:val="32"/>
          <w:szCs w:val="32"/>
          <w:lang w:val="en-US" w:eastAsia="zh-CN"/>
          <w14:textFill>
            <w14:solidFill>
              <w14:schemeClr w14:val="tx1"/>
            </w14:solidFill>
          </w14:textFill>
        </w:rPr>
        <w:t>474.91</w:t>
      </w:r>
      <w:r>
        <w:rPr>
          <w:rFonts w:hint="eastAsia" w:ascii="仿宋" w:hAnsi="仿宋" w:eastAsia="仿宋"/>
          <w:color w:val="000000" w:themeColor="text1"/>
          <w:sz w:val="32"/>
          <w:szCs w:val="32"/>
          <w14:textFill>
            <w14:solidFill>
              <w14:schemeClr w14:val="tx1"/>
            </w14:solidFill>
          </w14:textFill>
        </w:rPr>
        <w:t>万元，占</w:t>
      </w:r>
      <w:r>
        <w:rPr>
          <w:rFonts w:hint="eastAsia" w:ascii="仿宋" w:hAnsi="仿宋" w:eastAsia="仿宋"/>
          <w:color w:val="000000" w:themeColor="text1"/>
          <w:sz w:val="32"/>
          <w:szCs w:val="32"/>
          <w:lang w:val="en-US" w:eastAsia="zh-CN"/>
          <w14:textFill>
            <w14:solidFill>
              <w14:schemeClr w14:val="tx1"/>
            </w14:solidFill>
          </w14:textFill>
        </w:rPr>
        <w:t>38.42</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项目支出761.18万元，</w:t>
      </w:r>
      <w:r>
        <w:rPr>
          <w:rFonts w:hint="eastAsia" w:ascii="仿宋" w:hAnsi="仿宋" w:eastAsia="仿宋"/>
          <w:color w:val="000000" w:themeColor="text1"/>
          <w:sz w:val="32"/>
          <w:szCs w:val="32"/>
          <w14:textFill>
            <w14:solidFill>
              <w14:schemeClr w14:val="tx1"/>
            </w14:solidFill>
          </w14:textFill>
        </w:rPr>
        <w:t>占</w:t>
      </w:r>
      <w:r>
        <w:rPr>
          <w:rFonts w:hint="eastAsia" w:ascii="仿宋" w:hAnsi="仿宋" w:eastAsia="仿宋"/>
          <w:color w:val="000000" w:themeColor="text1"/>
          <w:sz w:val="32"/>
          <w:szCs w:val="32"/>
          <w:lang w:val="en-US" w:eastAsia="zh-CN"/>
          <w14:textFill>
            <w14:solidFill>
              <w14:schemeClr w14:val="tx1"/>
            </w14:solidFill>
          </w14:textFill>
        </w:rPr>
        <w:t>61.58</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p>
    <w:p>
      <w:pPr>
        <w:spacing w:line="56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一</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sz w:val="32"/>
          <w:szCs w:val="32"/>
        </w:rPr>
        <w:t>海南师范大学附属</w:t>
      </w:r>
      <w:r>
        <w:rPr>
          <w:rFonts w:hint="eastAsia" w:ascii="仿宋_GB2312" w:hAnsi="黑体" w:eastAsia="仿宋_GB2312"/>
          <w:sz w:val="32"/>
          <w:szCs w:val="32"/>
          <w:lang w:val="en-US" w:eastAsia="zh-CN"/>
        </w:rPr>
        <w:t>附属小学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年无</w:t>
      </w:r>
      <w:r>
        <w:rPr>
          <w:rFonts w:hint="eastAsia" w:ascii="仿宋_GB2312" w:hAnsi="黑体" w:eastAsia="仿宋_GB2312" w:cs="仿宋_GB2312"/>
          <w:sz w:val="32"/>
          <w:szCs w:val="32"/>
        </w:rPr>
        <w:t>政府采购预算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年12月31日，海南师范大学附属</w:t>
      </w:r>
      <w:r>
        <w:rPr>
          <w:rFonts w:hint="eastAsia" w:ascii="仿宋_GB2312" w:hAnsi="黑体" w:eastAsia="仿宋_GB2312"/>
          <w:sz w:val="32"/>
          <w:szCs w:val="32"/>
          <w:lang w:val="en-US" w:eastAsia="zh-CN"/>
        </w:rPr>
        <w:t>小学</w:t>
      </w:r>
      <w:r>
        <w:rPr>
          <w:rFonts w:hint="eastAsia" w:ascii="仿宋_GB2312" w:hAnsi="黑体" w:eastAsia="仿宋_GB2312" w:cs="仿宋_GB2312"/>
          <w:sz w:val="32"/>
          <w:szCs w:val="32"/>
        </w:rPr>
        <w:t>共有车辆0辆。本单位无价值100万元以上设备。</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）绩效目标设置及重点项目绩效目标说明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年海南师范大学附属</w:t>
      </w:r>
      <w:r>
        <w:rPr>
          <w:rFonts w:hint="eastAsia" w:ascii="仿宋_GB2312" w:hAnsi="黑体" w:eastAsia="仿宋_GB2312"/>
          <w:sz w:val="32"/>
          <w:szCs w:val="32"/>
          <w:lang w:val="en-US" w:eastAsia="zh-CN"/>
        </w:rPr>
        <w:t>小学8</w:t>
      </w:r>
      <w:r>
        <w:rPr>
          <w:rFonts w:hint="eastAsia" w:ascii="仿宋_GB2312" w:hAnsi="黑体" w:eastAsia="仿宋_GB2312" w:cs="仿宋_GB2312"/>
          <w:sz w:val="32"/>
          <w:szCs w:val="32"/>
        </w:rPr>
        <w:t>个项目实行绩效目标管理，涉及一般公共预算</w:t>
      </w:r>
      <w:r>
        <w:rPr>
          <w:rFonts w:hint="eastAsia" w:ascii="仿宋" w:hAnsi="仿宋" w:eastAsia="仿宋"/>
          <w:color w:val="000000" w:themeColor="text1"/>
          <w:sz w:val="32"/>
          <w:szCs w:val="32"/>
          <w:lang w:val="en-US" w:eastAsia="zh-CN"/>
          <w14:textFill>
            <w14:solidFill>
              <w14:schemeClr w14:val="tx1"/>
            </w14:solidFill>
          </w14:textFill>
        </w:rPr>
        <w:t>1236.09</w:t>
      </w:r>
      <w:r>
        <w:rPr>
          <w:rFonts w:hint="eastAsia" w:ascii="仿宋_GB2312" w:hAnsi="黑体" w:eastAsia="仿宋_GB2312"/>
          <w:sz w:val="32"/>
          <w:szCs w:val="32"/>
        </w:rPr>
        <w:t>万元，无政府性基金预算。</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海南师范大学</w:t>
      </w:r>
      <w:r>
        <w:rPr>
          <w:rFonts w:hint="eastAsia" w:ascii="仿宋_GB2312" w:hAnsi="黑体" w:eastAsia="仿宋_GB2312"/>
          <w:sz w:val="32"/>
          <w:szCs w:val="32"/>
          <w:lang w:val="en-US" w:eastAsia="zh-CN"/>
        </w:rPr>
        <w:t>附属小学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年无1000万元以上的特定目标类重点项目。根据本单位主要职能，选择除基本支出外的1个支出项目作为重点项目进行绩效目标说明，具体如下：</w:t>
      </w:r>
    </w:p>
    <w:p>
      <w:pPr>
        <w:numPr>
          <w:ilvl w:val="0"/>
          <w:numId w:val="4"/>
        </w:num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设备（设施）运行维护与改造</w:t>
      </w:r>
      <w:r>
        <w:rPr>
          <w:rFonts w:hint="eastAsia" w:ascii="仿宋_GB2312" w:hAnsi="黑体" w:eastAsia="仿宋_GB2312"/>
          <w:sz w:val="32"/>
          <w:szCs w:val="32"/>
        </w:rPr>
        <w:t>项目，预算安排</w:t>
      </w:r>
      <w:r>
        <w:rPr>
          <w:rFonts w:hint="eastAsia" w:ascii="仿宋_GB2312" w:hAnsi="黑体" w:eastAsia="仿宋_GB2312"/>
          <w:sz w:val="32"/>
          <w:szCs w:val="32"/>
          <w:lang w:val="en-US" w:eastAsia="zh-CN"/>
        </w:rPr>
        <w:t>250</w:t>
      </w:r>
      <w:r>
        <w:rPr>
          <w:rFonts w:hint="eastAsia" w:ascii="仿宋_GB2312" w:hAnsi="黑体" w:eastAsia="仿宋_GB2312"/>
          <w:sz w:val="32"/>
          <w:szCs w:val="32"/>
        </w:rPr>
        <w:t>万元，主要用于支持</w:t>
      </w:r>
      <w:r>
        <w:rPr>
          <w:rFonts w:hint="eastAsia" w:ascii="仿宋_GB2312" w:hAnsi="黑体" w:eastAsia="仿宋_GB2312"/>
          <w:sz w:val="32"/>
          <w:szCs w:val="32"/>
          <w:lang w:val="en-US" w:eastAsia="zh-CN"/>
        </w:rPr>
        <w:t>小学</w:t>
      </w:r>
      <w:r>
        <w:rPr>
          <w:rFonts w:hint="eastAsia" w:ascii="仿宋_GB2312" w:hAnsi="黑体" w:eastAsia="仿宋_GB2312"/>
          <w:sz w:val="32"/>
          <w:szCs w:val="32"/>
        </w:rPr>
        <w:t>教育</w:t>
      </w:r>
      <w:r>
        <w:rPr>
          <w:rFonts w:hint="eastAsia" w:ascii="仿宋_GB2312" w:hAnsi="黑体" w:eastAsia="仿宋_GB2312"/>
          <w:sz w:val="32"/>
          <w:szCs w:val="32"/>
          <w:lang w:val="en-US" w:eastAsia="zh-CN"/>
        </w:rPr>
        <w:t>更好的</w:t>
      </w:r>
      <w:r>
        <w:rPr>
          <w:rFonts w:hint="eastAsia" w:ascii="仿宋_GB2312" w:hAnsi="黑体" w:eastAsia="仿宋_GB2312"/>
          <w:sz w:val="32"/>
          <w:szCs w:val="32"/>
        </w:rPr>
        <w:t>改善办学</w:t>
      </w:r>
      <w:r>
        <w:rPr>
          <w:rFonts w:hint="eastAsia" w:ascii="仿宋_GB2312" w:hAnsi="黑体" w:eastAsia="仿宋_GB2312"/>
          <w:sz w:val="32"/>
          <w:szCs w:val="32"/>
          <w:lang w:val="en-US" w:eastAsia="zh-CN"/>
        </w:rPr>
        <w:t>条件</w:t>
      </w:r>
      <w:r>
        <w:rPr>
          <w:rFonts w:hint="eastAsia" w:ascii="仿宋_GB2312" w:hAnsi="黑体" w:eastAsia="仿宋_GB2312"/>
          <w:sz w:val="32"/>
          <w:szCs w:val="32"/>
        </w:rPr>
        <w:t>。绩效目标：一是维修</w:t>
      </w:r>
      <w:r>
        <w:rPr>
          <w:rFonts w:hint="eastAsia" w:ascii="仿宋_GB2312" w:hAnsi="黑体" w:eastAsia="仿宋_GB2312"/>
          <w:sz w:val="32"/>
          <w:szCs w:val="32"/>
          <w:lang w:val="en-US" w:eastAsia="zh-CN"/>
        </w:rPr>
        <w:t>改造</w:t>
      </w:r>
      <w:r>
        <w:rPr>
          <w:rFonts w:hint="eastAsia" w:ascii="仿宋_GB2312" w:hAnsi="黑体" w:eastAsia="仿宋_GB2312"/>
          <w:sz w:val="32"/>
          <w:szCs w:val="32"/>
        </w:rPr>
        <w:t>项目验收合格</w:t>
      </w:r>
      <w:r>
        <w:rPr>
          <w:rFonts w:hint="eastAsia" w:ascii="仿宋_GB2312" w:hAnsi="黑体" w:eastAsia="仿宋_GB2312"/>
          <w:sz w:val="32"/>
          <w:szCs w:val="32"/>
          <w:lang w:val="en-US" w:eastAsia="zh-CN"/>
        </w:rPr>
        <w:t>数</w:t>
      </w:r>
      <w:r>
        <w:rPr>
          <w:rFonts w:hint="eastAsia" w:ascii="仿宋_GB2312" w:hAnsi="黑体" w:eastAsia="仿宋_GB2312"/>
          <w:sz w:val="32"/>
          <w:szCs w:val="32"/>
        </w:rPr>
        <w:t>，合格率达100%；。</w:t>
      </w:r>
    </w:p>
    <w:p>
      <w:pPr>
        <w:rPr>
          <w:rFonts w:ascii="黑体" w:hAnsi="黑体" w:eastAsia="黑体"/>
          <w:b/>
          <w:sz w:val="32"/>
          <w:szCs w:val="32"/>
        </w:rPr>
      </w:pPr>
    </w:p>
    <w:p>
      <w:pPr>
        <w:spacing w:line="560" w:lineRule="exact"/>
        <w:jc w:val="center"/>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第四部分  名词解释</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一、财政拨款收入：指本级财政当年拨付的资金。</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三、政府性基金预算拨款收入：指是用于反映政府为支持某项事业发展或特定基础设施建设，依法依规向公民、法人和其他组织征收的以及出让土地、发行彩票等方式取得的具有专门用途的资金</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四、事业收入：指用于反映事业单位开展专业业务活动及辅助活动所取得的收入。 </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五、事业单位经营收入：指用于反映事业单位在专业活动及辅助活动之外开展非独立核算经营活动取得的收入。</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六、其他收入：指除上述“财政拨款收入”“事业收入”“经营收入”等以外的收入。</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七、上年结转：指以前年度尚未完成、结转到本年按有关规定继续使用的资金。</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八、基本支出：指行政事业单位用于为保障其机构正常运转、完成日常工作任务而发生的人员支出和公用支出。</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九、工资福利支出：反映单位开支的在职职工和编制外长期聘用人员的各类劳动报酬，以及为上述人员缴纳的各项社会保险费等。</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十二、项目支出：指各部门、各单位为完成其特定的工作任务和事业发展目标所发生的支出。</w:t>
      </w:r>
    </w:p>
    <w:p>
      <w:pPr>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 w:hAnsi="仿宋" w:eastAsia="仿宋" w:cs="仿宋_GB2312"/>
          <w:color w:val="000000" w:themeColor="text1"/>
          <w:sz w:val="32"/>
          <w:szCs w:val="32"/>
          <w14:textFill>
            <w14:solidFill>
              <w14:schemeClr w14:val="tx1"/>
            </w14:solidFill>
          </w14:textFill>
        </w:rPr>
      </w:pPr>
    </w:p>
    <w:p>
      <w:pPr>
        <w:ind w:firstLine="640" w:firstLineChars="200"/>
        <w:jc w:val="left"/>
        <w:rPr>
          <w:rFonts w:ascii="仿宋" w:hAnsi="仿宋" w:eastAsia="仿宋" w:cs="仿宋_GB2312"/>
          <w:color w:val="000000" w:themeColor="text1"/>
          <w:sz w:val="32"/>
          <w:szCs w:val="32"/>
          <w14:textFill>
            <w14:solidFill>
              <w14:schemeClr w14:val="tx1"/>
            </w14:solidFill>
          </w14:textFill>
        </w:rPr>
      </w:pPr>
    </w:p>
    <w:p>
      <w:pPr>
        <w:ind w:firstLine="640" w:firstLineChars="200"/>
        <w:jc w:val="left"/>
        <w:rPr>
          <w:rFonts w:ascii="仿宋" w:hAnsi="仿宋" w:eastAsia="仿宋" w:cs="仿宋_GB2312"/>
          <w:color w:val="000000" w:themeColor="text1"/>
          <w:sz w:val="32"/>
          <w:szCs w:val="32"/>
          <w14:textFill>
            <w14:solidFill>
              <w14:schemeClr w14:val="tx1"/>
            </w14:solidFill>
          </w14:textFill>
        </w:rPr>
      </w:pPr>
    </w:p>
    <w:sectPr>
      <w:pgSz w:w="11906" w:h="16838"/>
      <w:pgMar w:top="1985" w:right="1418" w:bottom="170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C242A"/>
    <w:multiLevelType w:val="singleLevel"/>
    <w:tmpl w:val="FFFC242A"/>
    <w:lvl w:ilvl="0" w:tentative="0">
      <w:start w:val="1"/>
      <w:numFmt w:val="decimal"/>
      <w:suff w:val="space"/>
      <w:lvlText w:val="%1."/>
      <w:lvlJc w:val="left"/>
    </w:lvl>
  </w:abstractNum>
  <w:abstractNum w:abstractNumId="1">
    <w:nsid w:val="05832B87"/>
    <w:multiLevelType w:val="multilevel"/>
    <w:tmpl w:val="05832B87"/>
    <w:lvl w:ilvl="0" w:tentative="0">
      <w:start w:val="1"/>
      <w:numFmt w:val="chineseCountingThousand"/>
      <w:lvlText w:val="第%1部分"/>
      <w:lvlJc w:val="left"/>
      <w:pPr>
        <w:ind w:left="203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xNTlmZmM1MDc4Y2M2N2U1MzlhN2M0NmNhYTczOGMifQ=="/>
  </w:docVars>
  <w:rsids>
    <w:rsidRoot w:val="006F4520"/>
    <w:rsid w:val="00001E1B"/>
    <w:rsid w:val="000079F2"/>
    <w:rsid w:val="00012A02"/>
    <w:rsid w:val="00023449"/>
    <w:rsid w:val="0002676F"/>
    <w:rsid w:val="00046137"/>
    <w:rsid w:val="00072C98"/>
    <w:rsid w:val="00077631"/>
    <w:rsid w:val="00092F7A"/>
    <w:rsid w:val="000A5E23"/>
    <w:rsid w:val="000B38CC"/>
    <w:rsid w:val="000C2574"/>
    <w:rsid w:val="000C6654"/>
    <w:rsid w:val="000D11FD"/>
    <w:rsid w:val="000D655B"/>
    <w:rsid w:val="000E771A"/>
    <w:rsid w:val="000F118D"/>
    <w:rsid w:val="000F458E"/>
    <w:rsid w:val="000F7A58"/>
    <w:rsid w:val="00122AD8"/>
    <w:rsid w:val="00125CEC"/>
    <w:rsid w:val="001414CD"/>
    <w:rsid w:val="00144922"/>
    <w:rsid w:val="00150A27"/>
    <w:rsid w:val="00154058"/>
    <w:rsid w:val="001729E5"/>
    <w:rsid w:val="00176E42"/>
    <w:rsid w:val="00193866"/>
    <w:rsid w:val="001967BF"/>
    <w:rsid w:val="001A069A"/>
    <w:rsid w:val="001A3025"/>
    <w:rsid w:val="001A4C19"/>
    <w:rsid w:val="001A72F3"/>
    <w:rsid w:val="001C4610"/>
    <w:rsid w:val="001C6B35"/>
    <w:rsid w:val="001F7821"/>
    <w:rsid w:val="00203832"/>
    <w:rsid w:val="00207904"/>
    <w:rsid w:val="00211E95"/>
    <w:rsid w:val="00213695"/>
    <w:rsid w:val="00217E50"/>
    <w:rsid w:val="0024465C"/>
    <w:rsid w:val="0024489B"/>
    <w:rsid w:val="00244B0C"/>
    <w:rsid w:val="00245982"/>
    <w:rsid w:val="00254281"/>
    <w:rsid w:val="00256062"/>
    <w:rsid w:val="002613DD"/>
    <w:rsid w:val="00266552"/>
    <w:rsid w:val="002768B3"/>
    <w:rsid w:val="00280582"/>
    <w:rsid w:val="00284E8C"/>
    <w:rsid w:val="0029744D"/>
    <w:rsid w:val="0029766B"/>
    <w:rsid w:val="002A67CC"/>
    <w:rsid w:val="002C00F7"/>
    <w:rsid w:val="002C1510"/>
    <w:rsid w:val="002C3FC1"/>
    <w:rsid w:val="002C5C48"/>
    <w:rsid w:val="002C6270"/>
    <w:rsid w:val="002D13A1"/>
    <w:rsid w:val="002D649C"/>
    <w:rsid w:val="002E4AAF"/>
    <w:rsid w:val="002E5B17"/>
    <w:rsid w:val="002F1F26"/>
    <w:rsid w:val="002F6B89"/>
    <w:rsid w:val="002F6BFF"/>
    <w:rsid w:val="003219D8"/>
    <w:rsid w:val="00322B21"/>
    <w:rsid w:val="00341407"/>
    <w:rsid w:val="003455F4"/>
    <w:rsid w:val="003558E2"/>
    <w:rsid w:val="003605B5"/>
    <w:rsid w:val="003617E3"/>
    <w:rsid w:val="00366B1C"/>
    <w:rsid w:val="00372A37"/>
    <w:rsid w:val="00376B55"/>
    <w:rsid w:val="00397CEF"/>
    <w:rsid w:val="003A13C9"/>
    <w:rsid w:val="003A6C27"/>
    <w:rsid w:val="003B2496"/>
    <w:rsid w:val="003B3CED"/>
    <w:rsid w:val="003C5D22"/>
    <w:rsid w:val="003D1924"/>
    <w:rsid w:val="003D4058"/>
    <w:rsid w:val="003E4DE5"/>
    <w:rsid w:val="003E683E"/>
    <w:rsid w:val="003F57EC"/>
    <w:rsid w:val="003F7A53"/>
    <w:rsid w:val="00400A1A"/>
    <w:rsid w:val="00404692"/>
    <w:rsid w:val="004250BB"/>
    <w:rsid w:val="00441D9F"/>
    <w:rsid w:val="00444F33"/>
    <w:rsid w:val="0044579D"/>
    <w:rsid w:val="0046172C"/>
    <w:rsid w:val="004632F9"/>
    <w:rsid w:val="00470033"/>
    <w:rsid w:val="00480255"/>
    <w:rsid w:val="004920CA"/>
    <w:rsid w:val="004A6121"/>
    <w:rsid w:val="004A6563"/>
    <w:rsid w:val="004E5603"/>
    <w:rsid w:val="005152A4"/>
    <w:rsid w:val="0052213D"/>
    <w:rsid w:val="00522DF9"/>
    <w:rsid w:val="00527EB4"/>
    <w:rsid w:val="00535354"/>
    <w:rsid w:val="005450CB"/>
    <w:rsid w:val="005548FD"/>
    <w:rsid w:val="00557E85"/>
    <w:rsid w:val="00564762"/>
    <w:rsid w:val="00572925"/>
    <w:rsid w:val="00573972"/>
    <w:rsid w:val="0057446E"/>
    <w:rsid w:val="00576CE7"/>
    <w:rsid w:val="00576D08"/>
    <w:rsid w:val="0057745F"/>
    <w:rsid w:val="00581F18"/>
    <w:rsid w:val="00587859"/>
    <w:rsid w:val="005A0589"/>
    <w:rsid w:val="005A09D4"/>
    <w:rsid w:val="005B6B10"/>
    <w:rsid w:val="005D04A2"/>
    <w:rsid w:val="005D2ED9"/>
    <w:rsid w:val="005E1822"/>
    <w:rsid w:val="005E1FB3"/>
    <w:rsid w:val="005E3D54"/>
    <w:rsid w:val="005E77D2"/>
    <w:rsid w:val="005F1487"/>
    <w:rsid w:val="00610F53"/>
    <w:rsid w:val="00612962"/>
    <w:rsid w:val="00623BD3"/>
    <w:rsid w:val="00627E8F"/>
    <w:rsid w:val="006335E4"/>
    <w:rsid w:val="00640D79"/>
    <w:rsid w:val="006436D5"/>
    <w:rsid w:val="00646C33"/>
    <w:rsid w:val="006471E5"/>
    <w:rsid w:val="00652DED"/>
    <w:rsid w:val="006555D6"/>
    <w:rsid w:val="00655DF4"/>
    <w:rsid w:val="00660D35"/>
    <w:rsid w:val="00663AA6"/>
    <w:rsid w:val="0066505D"/>
    <w:rsid w:val="00666C48"/>
    <w:rsid w:val="00674585"/>
    <w:rsid w:val="006939AA"/>
    <w:rsid w:val="006949BF"/>
    <w:rsid w:val="006974F9"/>
    <w:rsid w:val="006A2060"/>
    <w:rsid w:val="006A58B0"/>
    <w:rsid w:val="006B2E7C"/>
    <w:rsid w:val="006B4202"/>
    <w:rsid w:val="006C3F9E"/>
    <w:rsid w:val="006F4520"/>
    <w:rsid w:val="00700287"/>
    <w:rsid w:val="00704C5D"/>
    <w:rsid w:val="007058B9"/>
    <w:rsid w:val="00705C53"/>
    <w:rsid w:val="0071128D"/>
    <w:rsid w:val="00720119"/>
    <w:rsid w:val="00726165"/>
    <w:rsid w:val="00741854"/>
    <w:rsid w:val="007502AB"/>
    <w:rsid w:val="00755CC0"/>
    <w:rsid w:val="00756732"/>
    <w:rsid w:val="00766FFC"/>
    <w:rsid w:val="00784948"/>
    <w:rsid w:val="00786BC7"/>
    <w:rsid w:val="00796700"/>
    <w:rsid w:val="007B6D12"/>
    <w:rsid w:val="007C4A61"/>
    <w:rsid w:val="007D716A"/>
    <w:rsid w:val="007E2E24"/>
    <w:rsid w:val="007E38D7"/>
    <w:rsid w:val="007E763D"/>
    <w:rsid w:val="008068A0"/>
    <w:rsid w:val="00816E50"/>
    <w:rsid w:val="00827348"/>
    <w:rsid w:val="0086127F"/>
    <w:rsid w:val="0086524D"/>
    <w:rsid w:val="00874D69"/>
    <w:rsid w:val="00880E09"/>
    <w:rsid w:val="0088602B"/>
    <w:rsid w:val="008A6786"/>
    <w:rsid w:val="008B5B86"/>
    <w:rsid w:val="008D0A41"/>
    <w:rsid w:val="008D3436"/>
    <w:rsid w:val="008E49EE"/>
    <w:rsid w:val="008E7CA0"/>
    <w:rsid w:val="009356B5"/>
    <w:rsid w:val="0095259E"/>
    <w:rsid w:val="00955356"/>
    <w:rsid w:val="009608C3"/>
    <w:rsid w:val="00972454"/>
    <w:rsid w:val="00977332"/>
    <w:rsid w:val="009852D4"/>
    <w:rsid w:val="0098752B"/>
    <w:rsid w:val="00994BAD"/>
    <w:rsid w:val="009A01FE"/>
    <w:rsid w:val="009B0985"/>
    <w:rsid w:val="009B4279"/>
    <w:rsid w:val="009B4493"/>
    <w:rsid w:val="009C193C"/>
    <w:rsid w:val="009C7075"/>
    <w:rsid w:val="009D0B2E"/>
    <w:rsid w:val="009E0672"/>
    <w:rsid w:val="009E4D50"/>
    <w:rsid w:val="009E657D"/>
    <w:rsid w:val="00A03E9A"/>
    <w:rsid w:val="00A06F97"/>
    <w:rsid w:val="00A07CAE"/>
    <w:rsid w:val="00A109DA"/>
    <w:rsid w:val="00A36861"/>
    <w:rsid w:val="00A44297"/>
    <w:rsid w:val="00A55D08"/>
    <w:rsid w:val="00A6302F"/>
    <w:rsid w:val="00A65087"/>
    <w:rsid w:val="00A655E6"/>
    <w:rsid w:val="00A945B9"/>
    <w:rsid w:val="00AA3117"/>
    <w:rsid w:val="00AB6C9E"/>
    <w:rsid w:val="00AC1D0E"/>
    <w:rsid w:val="00AC6300"/>
    <w:rsid w:val="00AC730E"/>
    <w:rsid w:val="00AC75ED"/>
    <w:rsid w:val="00AD317A"/>
    <w:rsid w:val="00AD5173"/>
    <w:rsid w:val="00AD6DF0"/>
    <w:rsid w:val="00AF07E3"/>
    <w:rsid w:val="00AF34C2"/>
    <w:rsid w:val="00AF7EA4"/>
    <w:rsid w:val="00B018A3"/>
    <w:rsid w:val="00B14504"/>
    <w:rsid w:val="00B278B2"/>
    <w:rsid w:val="00B52477"/>
    <w:rsid w:val="00B549C7"/>
    <w:rsid w:val="00B6604F"/>
    <w:rsid w:val="00B87E4F"/>
    <w:rsid w:val="00B903D3"/>
    <w:rsid w:val="00B963E8"/>
    <w:rsid w:val="00BA0E55"/>
    <w:rsid w:val="00BB2966"/>
    <w:rsid w:val="00BB2ECD"/>
    <w:rsid w:val="00BC3CE6"/>
    <w:rsid w:val="00BD6C43"/>
    <w:rsid w:val="00BE0F41"/>
    <w:rsid w:val="00BF783A"/>
    <w:rsid w:val="00C04C66"/>
    <w:rsid w:val="00C3099A"/>
    <w:rsid w:val="00C337A5"/>
    <w:rsid w:val="00C422B8"/>
    <w:rsid w:val="00C638FC"/>
    <w:rsid w:val="00C73F4F"/>
    <w:rsid w:val="00C75CA4"/>
    <w:rsid w:val="00C76D84"/>
    <w:rsid w:val="00C76FB7"/>
    <w:rsid w:val="00C90BA2"/>
    <w:rsid w:val="00CA1927"/>
    <w:rsid w:val="00CB5DFD"/>
    <w:rsid w:val="00CD53E6"/>
    <w:rsid w:val="00CE777C"/>
    <w:rsid w:val="00CF3517"/>
    <w:rsid w:val="00CF471C"/>
    <w:rsid w:val="00D12066"/>
    <w:rsid w:val="00D316D9"/>
    <w:rsid w:val="00D43CDA"/>
    <w:rsid w:val="00D53465"/>
    <w:rsid w:val="00D53AF9"/>
    <w:rsid w:val="00D7185B"/>
    <w:rsid w:val="00D73CE5"/>
    <w:rsid w:val="00D8133D"/>
    <w:rsid w:val="00D821A1"/>
    <w:rsid w:val="00D94D3B"/>
    <w:rsid w:val="00D966ED"/>
    <w:rsid w:val="00D97D0D"/>
    <w:rsid w:val="00DA332C"/>
    <w:rsid w:val="00DA3552"/>
    <w:rsid w:val="00DA4BB4"/>
    <w:rsid w:val="00DB5665"/>
    <w:rsid w:val="00DC4C91"/>
    <w:rsid w:val="00DE0DE1"/>
    <w:rsid w:val="00DE4BE7"/>
    <w:rsid w:val="00E0732C"/>
    <w:rsid w:val="00E11205"/>
    <w:rsid w:val="00E22E94"/>
    <w:rsid w:val="00E3018B"/>
    <w:rsid w:val="00E37859"/>
    <w:rsid w:val="00E40D05"/>
    <w:rsid w:val="00E52FC6"/>
    <w:rsid w:val="00E54DD3"/>
    <w:rsid w:val="00E55AAC"/>
    <w:rsid w:val="00E71625"/>
    <w:rsid w:val="00E80228"/>
    <w:rsid w:val="00E86ABA"/>
    <w:rsid w:val="00E879AC"/>
    <w:rsid w:val="00E9326C"/>
    <w:rsid w:val="00EB2F38"/>
    <w:rsid w:val="00ED2411"/>
    <w:rsid w:val="00ED67F4"/>
    <w:rsid w:val="00ED7F7E"/>
    <w:rsid w:val="00EE2EDC"/>
    <w:rsid w:val="00EE7FD5"/>
    <w:rsid w:val="00EF5348"/>
    <w:rsid w:val="00F073ED"/>
    <w:rsid w:val="00F13322"/>
    <w:rsid w:val="00F233D7"/>
    <w:rsid w:val="00F33F9C"/>
    <w:rsid w:val="00F45A92"/>
    <w:rsid w:val="00F46233"/>
    <w:rsid w:val="00F75F98"/>
    <w:rsid w:val="00F900B0"/>
    <w:rsid w:val="00F93812"/>
    <w:rsid w:val="00FA179B"/>
    <w:rsid w:val="00FA5A85"/>
    <w:rsid w:val="00FA650C"/>
    <w:rsid w:val="00FC15AB"/>
    <w:rsid w:val="00FF27F5"/>
    <w:rsid w:val="04DB36ED"/>
    <w:rsid w:val="06524050"/>
    <w:rsid w:val="0AF344E1"/>
    <w:rsid w:val="0CEC743A"/>
    <w:rsid w:val="14847F58"/>
    <w:rsid w:val="14883E42"/>
    <w:rsid w:val="1537775D"/>
    <w:rsid w:val="15780FB7"/>
    <w:rsid w:val="16C17241"/>
    <w:rsid w:val="187736A1"/>
    <w:rsid w:val="1B0967C9"/>
    <w:rsid w:val="1EBD6A8F"/>
    <w:rsid w:val="1FD96CCE"/>
    <w:rsid w:val="27032260"/>
    <w:rsid w:val="3A571A4B"/>
    <w:rsid w:val="3B120534"/>
    <w:rsid w:val="3CC047D7"/>
    <w:rsid w:val="46A725E1"/>
    <w:rsid w:val="478A6879"/>
    <w:rsid w:val="51271091"/>
    <w:rsid w:val="516C4918"/>
    <w:rsid w:val="53F11AD3"/>
    <w:rsid w:val="64DD05B1"/>
    <w:rsid w:val="67D82E69"/>
    <w:rsid w:val="688A3918"/>
    <w:rsid w:val="6AAD4C88"/>
    <w:rsid w:val="6B974D54"/>
    <w:rsid w:val="6EF476A0"/>
    <w:rsid w:val="6FDB1131"/>
    <w:rsid w:val="759E5A72"/>
    <w:rsid w:val="7BF736D2"/>
    <w:rsid w:val="7D8201F6"/>
    <w:rsid w:val="7EFDD520"/>
    <w:rsid w:val="ABBF3834"/>
    <w:rsid w:val="D97F626E"/>
    <w:rsid w:val="FC6FBB23"/>
    <w:rsid w:val="FF5F5C3D"/>
    <w:rsid w:val="FF7C1A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0"/>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jc w:val="left"/>
    </w:pPr>
    <w:rPr>
      <w:rFonts w:cs="Times New Roman"/>
      <w:kern w:val="0"/>
      <w:szCs w:val="21"/>
    </w:rPr>
  </w:style>
  <w:style w:type="character" w:styleId="8">
    <w:name w:val="Strong"/>
    <w:basedOn w:val="7"/>
    <w:qFormat/>
    <w:uiPriority w:val="22"/>
    <w:rPr>
      <w:b/>
    </w:rPr>
  </w:style>
  <w:style w:type="character" w:styleId="9">
    <w:name w:val="FollowedHyperlink"/>
    <w:basedOn w:val="7"/>
    <w:semiHidden/>
    <w:unhideWhenUsed/>
    <w:qFormat/>
    <w:uiPriority w:val="0"/>
    <w:rPr>
      <w:color w:val="555555"/>
      <w:u w:val="none"/>
    </w:rPr>
  </w:style>
  <w:style w:type="character" w:styleId="10">
    <w:name w:val="Emphasis"/>
    <w:basedOn w:val="7"/>
    <w:qFormat/>
    <w:uiPriority w:val="20"/>
  </w:style>
  <w:style w:type="character" w:styleId="11">
    <w:name w:val="Hyperlink"/>
    <w:basedOn w:val="7"/>
    <w:semiHidden/>
    <w:unhideWhenUsed/>
    <w:qFormat/>
    <w:uiPriority w:val="0"/>
    <w:rPr>
      <w:color w:val="555555"/>
      <w:u w:val="none"/>
    </w:rPr>
  </w:style>
  <w:style w:type="paragraph" w:customStyle="1" w:styleId="12">
    <w:name w:val="列出段落1"/>
    <w:basedOn w:val="1"/>
    <w:qFormat/>
    <w:uiPriority w:val="34"/>
    <w:pPr>
      <w:ind w:firstLine="420" w:firstLineChars="200"/>
    </w:pPr>
  </w:style>
  <w:style w:type="paragraph" w:customStyle="1" w:styleId="13">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14">
    <w:name w:val="页眉 字符"/>
    <w:basedOn w:val="7"/>
    <w:link w:val="4"/>
    <w:qFormat/>
    <w:uiPriority w:val="99"/>
    <w:rPr>
      <w:sz w:val="18"/>
      <w:szCs w:val="18"/>
    </w:rPr>
  </w:style>
  <w:style w:type="character" w:customStyle="1" w:styleId="15">
    <w:name w:val="页脚 字符"/>
    <w:basedOn w:val="7"/>
    <w:link w:val="3"/>
    <w:qFormat/>
    <w:uiPriority w:val="99"/>
    <w:rPr>
      <w:sz w:val="18"/>
      <w:szCs w:val="18"/>
    </w:rPr>
  </w:style>
  <w:style w:type="character" w:customStyle="1" w:styleId="16">
    <w:name w:val="批注框文本 字符"/>
    <w:basedOn w:val="7"/>
    <w:link w:val="2"/>
    <w:semiHidden/>
    <w:qFormat/>
    <w:uiPriority w:val="0"/>
    <w:rPr>
      <w:rFonts w:ascii="Calibri" w:hAnsi="Calibri" w:cs="黑体"/>
      <w:kern w:val="2"/>
      <w:sz w:val="18"/>
      <w:szCs w:val="18"/>
    </w:rPr>
  </w:style>
  <w:style w:type="paragraph" w:styleId="17">
    <w:name w:val="List Paragraph"/>
    <w:basedOn w:val="1"/>
    <w:unhideWhenUsed/>
    <w:qFormat/>
    <w:uiPriority w:val="99"/>
    <w:pPr>
      <w:ind w:firstLine="420" w:firstLineChars="200"/>
    </w:pPr>
  </w:style>
  <w:style w:type="character" w:customStyle="1" w:styleId="18">
    <w:name w:val="hover8"/>
    <w:basedOn w:val="7"/>
    <w:qFormat/>
    <w:uiPriority w:val="0"/>
    <w:rPr>
      <w:color w:val="FFFFFF"/>
      <w:shd w:val="clear" w:color="auto" w:fill="F1430E"/>
    </w:rPr>
  </w:style>
  <w:style w:type="character" w:customStyle="1" w:styleId="19">
    <w:name w:val="on"/>
    <w:basedOn w:val="7"/>
    <w:qFormat/>
    <w:uiPriority w:val="0"/>
    <w:rPr>
      <w:color w:val="FFFFFF"/>
      <w:shd w:val="clear" w:color="auto" w:fill="F1430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E5BC6-C06D-41E5-A047-674EA239E1CB}">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23</Pages>
  <Words>1823</Words>
  <Characters>10397</Characters>
  <Lines>86</Lines>
  <Paragraphs>24</Paragraphs>
  <TotalTime>1</TotalTime>
  <ScaleCrop>false</ScaleCrop>
  <LinksUpToDate>false</LinksUpToDate>
  <CharactersWithSpaces>12196</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2022-02-25T04:05:00Z</dcterms:created>
  <dc:creator>null,null,总收发</dc:creator>
  <cp:lastModifiedBy>省教育厅</cp:lastModifiedBy>
  <cp:lastPrinted>2022-02-24T01:36:00Z</cp:lastPrinted>
  <dcterms:modified xsi:type="dcterms:W3CDTF">2024-02-23T03:02:08Z</dcterms:modified>
  <dc:title>××年××部门（单位）预算</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AC1C2786352A49E88B92445E2AB6D019_13</vt:lpwstr>
  </property>
</Properties>
</file>