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Times New Roman"/>
          <w:sz w:val="32"/>
          <w:szCs w:val="32"/>
        </w:rPr>
      </w:pPr>
    </w:p>
    <w:p>
      <w:pPr>
        <w:rPr>
          <w:rFonts w:ascii="黑体" w:hAnsi="黑体" w:eastAsia="黑体" w:cs="Times New Roman"/>
          <w:sz w:val="32"/>
          <w:szCs w:val="32"/>
        </w:rPr>
      </w:pPr>
    </w:p>
    <w:p>
      <w:pPr>
        <w:rPr>
          <w:rFonts w:cs="Times New Roman"/>
          <w:sz w:val="84"/>
          <w:szCs w:val="84"/>
          <w:u w:val="single"/>
        </w:rPr>
      </w:pPr>
    </w:p>
    <w:p>
      <w:pPr>
        <w:rPr>
          <w:rFonts w:cs="Times New Roman"/>
          <w:sz w:val="84"/>
          <w:szCs w:val="84"/>
          <w:u w:val="single"/>
        </w:rPr>
      </w:pPr>
    </w:p>
    <w:p>
      <w:pPr>
        <w:rPr>
          <w:rFonts w:cs="Times New Roman"/>
          <w:sz w:val="84"/>
          <w:szCs w:val="84"/>
          <w:u w:val="single"/>
        </w:rPr>
      </w:pPr>
    </w:p>
    <w:p>
      <w:pPr>
        <w:jc w:val="center"/>
        <w:rPr>
          <w:rFonts w:ascii="宋体" w:cs="Times New Roman"/>
          <w:b/>
          <w:bCs/>
          <w:sz w:val="52"/>
          <w:szCs w:val="52"/>
        </w:rPr>
      </w:pPr>
      <w:r>
        <w:rPr>
          <w:rFonts w:ascii="宋体" w:hAnsi="宋体" w:cs="宋体"/>
          <w:b/>
          <w:bCs/>
          <w:sz w:val="52"/>
          <w:szCs w:val="52"/>
        </w:rPr>
        <w:t>202</w:t>
      </w:r>
      <w:r>
        <w:rPr>
          <w:rFonts w:hint="eastAsia" w:ascii="宋体" w:hAnsi="宋体" w:cs="宋体"/>
          <w:b/>
          <w:bCs/>
          <w:sz w:val="52"/>
          <w:szCs w:val="52"/>
          <w:lang w:val="en-US" w:eastAsia="zh-CN"/>
        </w:rPr>
        <w:t>4</w:t>
      </w:r>
      <w:r>
        <w:rPr>
          <w:rFonts w:hint="eastAsia" w:ascii="宋体" w:hAnsi="宋体" w:cs="宋体"/>
          <w:b/>
          <w:bCs/>
          <w:sz w:val="52"/>
          <w:szCs w:val="52"/>
        </w:rPr>
        <w:t>年海南开放大学</w:t>
      </w:r>
      <w:r>
        <w:rPr>
          <w:rFonts w:hint="eastAsia" w:ascii="宋体" w:hAnsi="宋体" w:cs="宋体"/>
          <w:b/>
          <w:bCs/>
          <w:sz w:val="52"/>
          <w:szCs w:val="52"/>
          <w:lang w:eastAsia="zh-CN"/>
        </w:rPr>
        <w:t>单位</w:t>
      </w:r>
      <w:r>
        <w:rPr>
          <w:rFonts w:hint="eastAsia" w:ascii="宋体" w:hAnsi="宋体" w:cs="宋体"/>
          <w:b/>
          <w:bCs/>
          <w:sz w:val="52"/>
          <w:szCs w:val="52"/>
        </w:rPr>
        <w:t>预算</w:t>
      </w:r>
    </w:p>
    <w:p>
      <w:pPr>
        <w:ind w:firstLine="1680"/>
        <w:jc w:val="center"/>
        <w:rPr>
          <w:rFonts w:cs="Times New Roman"/>
          <w:sz w:val="84"/>
          <w:szCs w:val="84"/>
        </w:rPr>
      </w:pPr>
    </w:p>
    <w:p>
      <w:pPr>
        <w:ind w:firstLine="1680"/>
        <w:jc w:val="center"/>
        <w:rPr>
          <w:rFonts w:cs="Times New Roman"/>
          <w:sz w:val="84"/>
          <w:szCs w:val="84"/>
        </w:rPr>
      </w:pPr>
    </w:p>
    <w:p>
      <w:pPr>
        <w:ind w:firstLine="1680"/>
        <w:jc w:val="center"/>
        <w:rPr>
          <w:rFonts w:cs="Times New Roman"/>
          <w:sz w:val="84"/>
          <w:szCs w:val="84"/>
        </w:rPr>
      </w:pPr>
    </w:p>
    <w:p>
      <w:pPr>
        <w:ind w:firstLine="1680"/>
        <w:jc w:val="center"/>
        <w:rPr>
          <w:rFonts w:cs="Times New Roman"/>
          <w:sz w:val="84"/>
          <w:szCs w:val="84"/>
        </w:rPr>
      </w:pPr>
    </w:p>
    <w:p>
      <w:pPr>
        <w:ind w:firstLine="1680"/>
        <w:jc w:val="center"/>
        <w:rPr>
          <w:rFonts w:cs="Times New Roman"/>
          <w:sz w:val="84"/>
          <w:szCs w:val="84"/>
        </w:rPr>
      </w:pPr>
    </w:p>
    <w:p>
      <w:pPr>
        <w:rPr>
          <w:rFonts w:cs="Times New Roman"/>
          <w:sz w:val="84"/>
          <w:szCs w:val="84"/>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10"/>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w:t>
      </w:r>
      <w:r>
        <w:rPr>
          <w:rFonts w:hint="eastAsia" w:ascii="仿宋_GB2312" w:hAnsi="黑体" w:eastAsia="仿宋_GB2312" w:cs="仿宋_GB2312"/>
          <w:sz w:val="32"/>
          <w:szCs w:val="32"/>
          <w:u w:val="none"/>
        </w:rPr>
        <w:t xml:space="preserve"> </w:t>
      </w:r>
      <w:r>
        <w:rPr>
          <w:rFonts w:hint="eastAsia" w:ascii="黑体" w:hAnsi="黑体" w:eastAsia="黑体" w:cs="黑体"/>
          <w:sz w:val="32"/>
          <w:szCs w:val="32"/>
        </w:rPr>
        <w:t>海南</w:t>
      </w:r>
      <w:r>
        <w:rPr>
          <w:rFonts w:hint="eastAsia" w:ascii="黑体" w:hAnsi="黑体" w:eastAsia="黑体" w:cs="黑体"/>
          <w:sz w:val="32"/>
          <w:szCs w:val="32"/>
          <w:lang w:eastAsia="zh-CN"/>
        </w:rPr>
        <w:t>开放大学</w:t>
      </w:r>
      <w:r>
        <w:rPr>
          <w:rFonts w:hint="eastAsia" w:ascii="黑体" w:hAnsi="黑体" w:eastAsia="黑体"/>
          <w:sz w:val="32"/>
          <w:szCs w:val="32"/>
          <w:u w:val="none"/>
        </w:rPr>
        <w:t>单位概况</w:t>
      </w:r>
    </w:p>
    <w:p>
      <w:pPr>
        <w:pStyle w:val="10"/>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pStyle w:val="10"/>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部门预算单位构成（单位公开没有这部分内容）</w:t>
      </w:r>
    </w:p>
    <w:p>
      <w:pPr>
        <w:pStyle w:val="10"/>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rPr>
        <w:t>海南</w:t>
      </w:r>
      <w:r>
        <w:rPr>
          <w:rFonts w:hint="eastAsia" w:ascii="黑体" w:hAnsi="黑体" w:eastAsia="黑体" w:cs="黑体"/>
          <w:sz w:val="32"/>
          <w:szCs w:val="32"/>
          <w:lang w:eastAsia="zh-CN"/>
        </w:rPr>
        <w:t>开放大学</w:t>
      </w:r>
      <w:r>
        <w:rPr>
          <w:rFonts w:hint="eastAsia" w:ascii="黑体" w:hAnsi="黑体" w:eastAsia="黑体"/>
          <w:sz w:val="32"/>
          <w:szCs w:val="32"/>
          <w:u w:val="none"/>
        </w:rPr>
        <w:t>单位</w:t>
      </w:r>
      <w:r>
        <w:rPr>
          <w:rFonts w:hint="eastAsia" w:ascii="黑体" w:hAnsi="黑体" w:eastAsia="黑体" w:cs="黑体"/>
          <w:sz w:val="32"/>
          <w:szCs w:val="32"/>
          <w:u w:val="none"/>
          <w:lang w:val="en-US" w:eastAsia="zh-CN"/>
        </w:rPr>
        <w:t>2024</w:t>
      </w:r>
      <w:r>
        <w:rPr>
          <w:rFonts w:hint="eastAsia" w:ascii="黑体" w:hAnsi="黑体" w:eastAsia="黑体"/>
          <w:sz w:val="32"/>
          <w:szCs w:val="32"/>
          <w:u w:val="none"/>
        </w:rPr>
        <w:t>年单位预算表</w:t>
      </w:r>
    </w:p>
    <w:p>
      <w:pPr>
        <w:pStyle w:val="10"/>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10"/>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10"/>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10"/>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10"/>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10"/>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10"/>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10"/>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10"/>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10"/>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10"/>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w:t>
      </w:r>
      <w:r>
        <w:rPr>
          <w:rFonts w:hint="eastAsia" w:ascii="黑体" w:hAnsi="黑体" w:eastAsia="黑体" w:cs="黑体"/>
          <w:sz w:val="32"/>
          <w:szCs w:val="32"/>
        </w:rPr>
        <w:t>海南</w:t>
      </w:r>
      <w:r>
        <w:rPr>
          <w:rFonts w:hint="eastAsia" w:ascii="黑体" w:hAnsi="黑体" w:eastAsia="黑体" w:cs="黑体"/>
          <w:sz w:val="32"/>
          <w:szCs w:val="32"/>
          <w:lang w:eastAsia="zh-CN"/>
        </w:rPr>
        <w:t>开放大学</w:t>
      </w:r>
      <w:r>
        <w:rPr>
          <w:rFonts w:hint="eastAsia" w:ascii="黑体" w:hAnsi="黑体" w:eastAsia="黑体"/>
          <w:sz w:val="32"/>
          <w:szCs w:val="32"/>
          <w:u w:val="none"/>
        </w:rPr>
        <w:t>单位</w:t>
      </w:r>
      <w:r>
        <w:rPr>
          <w:rFonts w:hint="eastAsia" w:ascii="黑体" w:hAnsi="黑体" w:eastAsia="黑体" w:cs="黑体"/>
          <w:sz w:val="32"/>
          <w:szCs w:val="32"/>
          <w:u w:val="none"/>
          <w:lang w:val="en-US" w:eastAsia="zh-CN"/>
        </w:rPr>
        <w:t>2024</w:t>
      </w:r>
      <w:r>
        <w:rPr>
          <w:rFonts w:hint="eastAsia" w:ascii="黑体" w:hAnsi="黑体" w:eastAsia="黑体"/>
          <w:sz w:val="32"/>
          <w:szCs w:val="32"/>
          <w:u w:val="none"/>
        </w:rPr>
        <w:t>年单位预算情况说明</w:t>
      </w:r>
    </w:p>
    <w:p>
      <w:pPr>
        <w:pStyle w:val="10"/>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10"/>
        <w:numPr>
          <w:ilvl w:val="0"/>
          <w:numId w:val="0"/>
        </w:numPr>
        <w:ind w:leftChars="0"/>
        <w:jc w:val="left"/>
        <w:rPr>
          <w:rFonts w:hint="eastAsia" w:ascii="黑体" w:hAnsi="黑体" w:eastAsia="黑体"/>
          <w:sz w:val="32"/>
          <w:szCs w:val="32"/>
          <w:u w:val="none"/>
        </w:rPr>
      </w:pPr>
    </w:p>
    <w:p>
      <w:pPr>
        <w:pStyle w:val="10"/>
        <w:numPr>
          <w:ilvl w:val="0"/>
          <w:numId w:val="0"/>
        </w:numPr>
        <w:ind w:leftChars="0"/>
        <w:jc w:val="left"/>
        <w:rPr>
          <w:rFonts w:hint="eastAsia" w:ascii="黑体" w:hAnsi="黑体" w:eastAsia="黑体"/>
          <w:sz w:val="32"/>
          <w:szCs w:val="32"/>
          <w:u w:val="none"/>
        </w:rPr>
      </w:pPr>
    </w:p>
    <w:p>
      <w:pPr>
        <w:pStyle w:val="10"/>
        <w:numPr>
          <w:ilvl w:val="0"/>
          <w:numId w:val="0"/>
        </w:numPr>
        <w:ind w:leftChars="0"/>
        <w:jc w:val="left"/>
        <w:rPr>
          <w:rFonts w:hint="eastAsia" w:ascii="黑体" w:hAnsi="黑体" w:eastAsia="黑体"/>
          <w:sz w:val="32"/>
          <w:szCs w:val="32"/>
          <w:u w:val="none"/>
        </w:rPr>
      </w:pPr>
    </w:p>
    <w:p>
      <w:pPr>
        <w:pStyle w:val="10"/>
        <w:numPr>
          <w:ilvl w:val="0"/>
          <w:numId w:val="0"/>
        </w:numPr>
        <w:ind w:leftChars="0"/>
        <w:jc w:val="left"/>
        <w:rPr>
          <w:rFonts w:hint="eastAsia" w:ascii="黑体" w:hAnsi="黑体" w:eastAsia="黑体"/>
          <w:sz w:val="32"/>
          <w:szCs w:val="32"/>
          <w:u w:val="none"/>
        </w:rPr>
      </w:pPr>
    </w:p>
    <w:p>
      <w:pPr>
        <w:pStyle w:val="10"/>
        <w:numPr>
          <w:ilvl w:val="0"/>
          <w:numId w:val="0"/>
        </w:numPr>
        <w:ind w:leftChars="0"/>
        <w:jc w:val="left"/>
        <w:rPr>
          <w:rFonts w:hint="eastAsia" w:ascii="黑体" w:hAnsi="黑体" w:eastAsia="黑体"/>
          <w:sz w:val="32"/>
          <w:szCs w:val="32"/>
          <w:u w:val="none"/>
        </w:rPr>
      </w:pPr>
    </w:p>
    <w:p>
      <w:pPr>
        <w:pStyle w:val="7"/>
        <w:numPr>
          <w:ilvl w:val="0"/>
          <w:numId w:val="4"/>
        </w:numPr>
        <w:ind w:firstLineChars="0"/>
        <w:jc w:val="center"/>
        <w:rPr>
          <w:rFonts w:ascii="宋体" w:cs="Times New Roman"/>
          <w:b/>
          <w:bCs/>
          <w:sz w:val="32"/>
          <w:szCs w:val="32"/>
        </w:rPr>
      </w:pPr>
      <w:r>
        <w:rPr>
          <w:rFonts w:hint="eastAsia" w:ascii="黑体" w:hAnsi="黑体" w:eastAsia="黑体" w:cs="Calibri"/>
          <w:kern w:val="2"/>
          <w:sz w:val="32"/>
          <w:szCs w:val="32"/>
          <w:u w:val="none"/>
          <w:lang w:val="en-US" w:eastAsia="zh-CN" w:bidi="ar-SA"/>
        </w:rPr>
        <w:t xml:space="preserve">  海南开放大学单位概况</w:t>
      </w:r>
    </w:p>
    <w:p>
      <w:pPr>
        <w:rPr>
          <w:rFonts w:ascii="黑体" w:hAnsi="黑体" w:eastAsia="黑体" w:cs="Times New Roman"/>
          <w:sz w:val="32"/>
          <w:szCs w:val="32"/>
        </w:rPr>
      </w:pP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按照预算管理有关规定，目前我省部门预算编制实行综合预算制度，部门所有收支纳入预算管理，没有预算不得支出。海南开放大学基本支出预算实行综合预算定额管理，项目支出由海南省财政厅预算管理局根据项目轻重缓急原则统筹安排。</w:t>
      </w:r>
    </w:p>
    <w:p>
      <w:pPr>
        <w:pStyle w:val="10"/>
        <w:numPr>
          <w:ilvl w:val="0"/>
          <w:numId w:val="0"/>
        </w:numPr>
        <w:ind w:leftChars="0" w:firstLine="640" w:firstLineChars="200"/>
        <w:jc w:val="left"/>
        <w:rPr>
          <w:rFonts w:hint="eastAsia" w:ascii="Times New Roman" w:hAnsi="Times New Roman" w:eastAsia="仿宋_GB2312" w:cs="Times New Roman"/>
          <w:sz w:val="32"/>
          <w:szCs w:val="32"/>
        </w:rPr>
      </w:pPr>
      <w:r>
        <w:rPr>
          <w:rFonts w:hint="eastAsia" w:ascii="黑体" w:hAnsi="黑体" w:eastAsia="黑体"/>
          <w:sz w:val="32"/>
          <w:szCs w:val="32"/>
          <w:u w:val="none"/>
          <w:lang w:eastAsia="zh-CN"/>
        </w:rPr>
        <w:t>一、</w:t>
      </w:r>
      <w:r>
        <w:rPr>
          <w:rFonts w:hint="eastAsia" w:ascii="黑体" w:hAnsi="黑体" w:eastAsia="黑体"/>
          <w:sz w:val="32"/>
          <w:szCs w:val="32"/>
          <w:u w:val="none"/>
        </w:rPr>
        <w:t>主要职能</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海南开放大学直属海南省人民政府</w:t>
      </w:r>
      <w:r>
        <w:rPr>
          <w:rFonts w:hint="eastAsia" w:ascii="Times New Roman" w:hAnsi="Times New Roman" w:eastAsia="仿宋_GB2312" w:cs="Times New Roman"/>
          <w:sz w:val="32"/>
          <w:szCs w:val="32"/>
          <w:lang w:val="en-US" w:eastAsia="zh-CN"/>
        </w:rPr>
        <w:t>的正厅级事业单位，是海南省唯一一所公办本科成人教育高等学校</w:t>
      </w:r>
      <w:r>
        <w:rPr>
          <w:rFonts w:hint="eastAsia" w:ascii="Times New Roman" w:hAnsi="Times New Roman" w:eastAsia="仿宋_GB2312" w:cs="Times New Roman"/>
          <w:sz w:val="32"/>
          <w:szCs w:val="32"/>
        </w:rPr>
        <w:t>。前身为创办于1983年</w:t>
      </w:r>
      <w:r>
        <w:rPr>
          <w:rFonts w:hint="eastAsia" w:ascii="Times New Roman" w:hAnsi="Times New Roman" w:eastAsia="仿宋_GB2312" w:cs="Times New Roman"/>
          <w:sz w:val="32"/>
          <w:szCs w:val="32"/>
          <w:lang w:val="en-US" w:eastAsia="zh-CN"/>
        </w:rPr>
        <w:t>的</w:t>
      </w:r>
      <w:r>
        <w:rPr>
          <w:rFonts w:hint="eastAsia" w:ascii="Times New Roman" w:hAnsi="Times New Roman" w:eastAsia="仿宋_GB2312" w:cs="Times New Roman"/>
          <w:sz w:val="32"/>
          <w:szCs w:val="32"/>
        </w:rPr>
        <w:t>海南广播电视大学。2020年12月，经海南省政府批复同意更</w:t>
      </w:r>
      <w:r>
        <w:rPr>
          <w:rFonts w:hint="eastAsia" w:ascii="Times New Roman" w:hAnsi="Times New Roman" w:eastAsia="仿宋_GB2312" w:cs="Times New Roman"/>
          <w:sz w:val="32"/>
          <w:szCs w:val="32"/>
          <w:lang w:val="en-US" w:eastAsia="zh-CN"/>
        </w:rPr>
        <w:t>名为海南开放大学。同时加挂“海南乡村振兴大学”“海南社区教育大学”牌子。2024年获批设立国家老年开放大学海南分部。</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学校以服务海南自贸港建设，促进教育公平，建设全民终身学习的学习型社会为使命，以教育数字化为战略，以现代信息技术为支撑，以远程开放教育为主体，开展学历教育、非学历继续教育和服务全民终身学习的新型高等学校。学校现有以海口校区、五指山校区为主的南北两个校区，占地面积130亩，建筑面积10余万平方米，学校现有在编教职工222 人，其中专任教师 142人，高级职称教师 35 人，硕士博士以上人数占74%。内设党政管理机构12个，群团组织2个，教学教辅机构10个，基层党组织4个。学校依托教育部直属的国家开放大学实施系统办学，并在全省设有海口、三亚、儋州、五指山、文昌、琼海和东方等7个地方学院和15个学习中心，系统办学网络覆盖全省各市县。学历教育现开设有理工、文法等8个学科50多个本、专科专业，目前有注册在籍学生2.2万人（学籍有效期为8年）。同时，学校面向社会开展非学历教育和各类培训，农村党员干部教育、社区教育和乡村振兴电视夜校已经形成覆盖全省各乡镇、社区（村居）的228个分校，共3000多个学习点，每年接受线上线下培训和在线学习达800万人次。</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学校始终坚持以人民为中心的办学思想，全面落实立德树人根本任务，在省委省政府的领导下，努力构建我省终身教育体系，着力打造全省终身学习型社会建设平台。紧紧围绕省委省政府中心工作和我省经济社会发展需要，承担全省乡村振兴人才培训任务。2010年开始的全省农村党员干部“农村干部学历教育”“双轮训双学历”共培养出1.2万名农民大学生。2016年以来承办的“海南脱贫致富电视夜校”“海南乡村振兴电视夜校”项目在打赢脱贫攻坚战和乡村振兴中发挥了积极作用，先后获得“全国脱贫攻坚组织创新奖”“中央宣传部基层理论宣讲先进集体”“全国脱贫攻坚先进集体”等荣誉称号，并列入海南自贸港建设的创新案例。积极推进我省农民学分银行建设，开展面向全省农村群众的中职学历教育，提高农民群众受教育水平。</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学校积极参与海南农村党员干部培养，承担全省党员干部在线学习、党员干部远程教育、全省中小学教师学力培训和学历提升教育的“国培计划”“省培计划”任务。学校面向社会开展相关技能培训与考证，是海南省第三十九职业技能鉴定所，海南省职工素质教育培训基地、全国示范基地。受省教育厅委托，承担“海南省社区教育指导中心”具体工作。</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学校主动围绕乡村振兴战略等重点工作开展科学研究和智库建设，现有省社会科学重点实验室与基地2个，即“海南省乡村振兴与数字治理实验室”与“海南省终身教育研究基地”，成立了“海南乡村发展与基层治理研究院”“农村乡村党建研究所”，打造“自贸港基层党建和思政工作创新团队”“乡村振兴中的休闲农业创新发展研究团队”等校级科研团队，取得丰硕研究成果，为学校教育教学和咨政工作等提供了有力支持。</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学校以习近平新时代中国特色社会主义思想为指导，以“办好人民满意的教育”为宗旨，积极拓宽办学渠道，努力进行转型升级，为我省建设“人人皆学、处处能学、时时可学”的学习型社会而踔厉奋发，笃行不怠，力争早日建设成为国内国际有重要影响的、具有海南自贸港特色的高水平现代开放大学。</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学校共设置内部机构</w:t>
      </w:r>
      <w:r>
        <w:rPr>
          <w:rFonts w:hint="eastAsia" w:ascii="Times New Roman" w:hAnsi="Times New Roman" w:eastAsia="仿宋_GB2312" w:cs="Times New Roman"/>
          <w:sz w:val="32"/>
          <w:szCs w:val="32"/>
          <w:lang w:val="en-US" w:eastAsia="zh-CN"/>
        </w:rPr>
        <w:t>28</w:t>
      </w:r>
      <w:r>
        <w:rPr>
          <w:rFonts w:hint="eastAsia" w:ascii="Times New Roman" w:hAnsi="Times New Roman" w:eastAsia="仿宋_GB2312" w:cs="Times New Roman"/>
          <w:sz w:val="32"/>
          <w:szCs w:val="32"/>
        </w:rPr>
        <w:t>个，其中党政管理机构12个，包括党政办公室、组织人事处（老干处）、宣传部、</w:t>
      </w:r>
      <w:r>
        <w:rPr>
          <w:rFonts w:hint="eastAsia" w:ascii="Times New Roman" w:hAnsi="Times New Roman" w:eastAsia="仿宋_GB2312" w:cs="Times New Roman"/>
          <w:sz w:val="32"/>
          <w:szCs w:val="32"/>
          <w:lang w:val="en-US" w:eastAsia="zh-CN"/>
        </w:rPr>
        <w:t>校</w:t>
      </w:r>
      <w:r>
        <w:rPr>
          <w:rFonts w:hint="eastAsia" w:ascii="Times New Roman" w:hAnsi="Times New Roman" w:eastAsia="仿宋_GB2312" w:cs="Times New Roman"/>
          <w:sz w:val="32"/>
          <w:szCs w:val="32"/>
        </w:rPr>
        <w:t>纪检监察</w:t>
      </w:r>
      <w:r>
        <w:rPr>
          <w:rFonts w:hint="eastAsia" w:ascii="Times New Roman" w:hAnsi="Times New Roman" w:eastAsia="仿宋_GB2312" w:cs="Times New Roman"/>
          <w:sz w:val="32"/>
          <w:szCs w:val="32"/>
          <w:lang w:val="en-US" w:eastAsia="zh-CN"/>
        </w:rPr>
        <w:t>机构</w:t>
      </w:r>
      <w:r>
        <w:rPr>
          <w:rFonts w:hint="eastAsia" w:ascii="Times New Roman" w:hAnsi="Times New Roman" w:eastAsia="仿宋_GB2312" w:cs="Times New Roman"/>
          <w:sz w:val="32"/>
          <w:szCs w:val="32"/>
        </w:rPr>
        <w:t>、学生</w:t>
      </w:r>
      <w:r>
        <w:rPr>
          <w:rFonts w:hint="eastAsia" w:ascii="Times New Roman" w:hAnsi="Times New Roman" w:eastAsia="仿宋_GB2312" w:cs="Times New Roman"/>
          <w:sz w:val="32"/>
          <w:szCs w:val="32"/>
          <w:lang w:val="en-US" w:eastAsia="zh-CN"/>
        </w:rPr>
        <w:t>工作与招生就业处</w:t>
      </w:r>
      <w:r>
        <w:rPr>
          <w:rFonts w:hint="eastAsia" w:ascii="Times New Roman" w:hAnsi="Times New Roman" w:eastAsia="仿宋_GB2312" w:cs="Times New Roman"/>
          <w:sz w:val="32"/>
          <w:szCs w:val="32"/>
        </w:rPr>
        <w:t>、教务处</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教育教学质量督导评估中心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、财务管理处、科研</w:t>
      </w:r>
      <w:r>
        <w:rPr>
          <w:rFonts w:hint="eastAsia" w:ascii="Times New Roman" w:hAnsi="Times New Roman" w:eastAsia="仿宋_GB2312" w:cs="Times New Roman"/>
          <w:sz w:val="32"/>
          <w:szCs w:val="32"/>
          <w:lang w:val="en-US" w:eastAsia="zh-CN"/>
        </w:rPr>
        <w:t>管理</w:t>
      </w:r>
      <w:r>
        <w:rPr>
          <w:rFonts w:hint="eastAsia" w:ascii="Times New Roman" w:hAnsi="Times New Roman" w:eastAsia="仿宋_GB2312" w:cs="Times New Roman"/>
          <w:sz w:val="32"/>
          <w:szCs w:val="32"/>
        </w:rPr>
        <w:t>处、信息与资源处、后勤保障处、乡村振兴教育工作处；教学教辅机构</w:t>
      </w:r>
      <w:r>
        <w:rPr>
          <w:rFonts w:hint="eastAsia" w:ascii="Times New Roman" w:hAnsi="Times New Roman" w:eastAsia="仿宋_GB2312" w:cs="Times New Roman"/>
          <w:sz w:val="32"/>
          <w:szCs w:val="32"/>
          <w:lang w:val="en-US" w:eastAsia="zh-CN"/>
        </w:rPr>
        <w:t>10</w:t>
      </w:r>
      <w:r>
        <w:rPr>
          <w:rFonts w:hint="eastAsia" w:ascii="Times New Roman" w:hAnsi="Times New Roman" w:eastAsia="仿宋_GB2312" w:cs="Times New Roman"/>
          <w:sz w:val="32"/>
          <w:szCs w:val="32"/>
        </w:rPr>
        <w:t>个，包括</w:t>
      </w:r>
      <w:r>
        <w:rPr>
          <w:rFonts w:hint="eastAsia" w:ascii="Times New Roman" w:hAnsi="Times New Roman" w:eastAsia="仿宋_GB2312" w:cs="Times New Roman"/>
          <w:sz w:val="32"/>
          <w:szCs w:val="32"/>
          <w:lang w:val="en-US" w:eastAsia="zh-CN"/>
        </w:rPr>
        <w:t>马克思主义学院</w:t>
      </w:r>
      <w:r>
        <w:rPr>
          <w:rFonts w:hint="eastAsia" w:ascii="Times New Roman" w:hAnsi="Times New Roman" w:eastAsia="仿宋_GB2312" w:cs="Times New Roman"/>
          <w:sz w:val="32"/>
          <w:szCs w:val="32"/>
        </w:rPr>
        <w:t>、开放教育部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开放教育学院</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、远程教育学院</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省党员干部远程教育学院</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省乡村振兴电视夜校办公室</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农业农村学院、</w:t>
      </w:r>
      <w:r>
        <w:rPr>
          <w:rFonts w:hint="eastAsia" w:ascii="Times New Roman" w:hAnsi="Times New Roman" w:eastAsia="仿宋_GB2312" w:cs="Times New Roman"/>
          <w:sz w:val="32"/>
          <w:szCs w:val="32"/>
        </w:rPr>
        <w:t>社区教育学院、继续教育学院</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成人教育学院</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学报编辑部</w:t>
      </w:r>
      <w:r>
        <w:rPr>
          <w:rFonts w:hint="eastAsia" w:ascii="Times New Roman" w:hAnsi="Times New Roman" w:eastAsia="仿宋_GB2312" w:cs="Times New Roman"/>
          <w:sz w:val="32"/>
          <w:szCs w:val="32"/>
        </w:rPr>
        <w:t>、图书馆、学分银行建设办公室</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中等职业学校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；党的基层组织</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个，包括机关党</w:t>
      </w:r>
      <w:r>
        <w:rPr>
          <w:rFonts w:hint="eastAsia" w:ascii="Times New Roman" w:hAnsi="Times New Roman" w:eastAsia="仿宋_GB2312" w:cs="Times New Roman"/>
          <w:sz w:val="32"/>
          <w:szCs w:val="32"/>
          <w:lang w:val="en-US" w:eastAsia="zh-CN"/>
        </w:rPr>
        <w:t>委</w:t>
      </w:r>
      <w:r>
        <w:rPr>
          <w:rFonts w:hint="eastAsia" w:ascii="Times New Roman" w:hAnsi="Times New Roman" w:eastAsia="仿宋_GB2312" w:cs="Times New Roman"/>
          <w:sz w:val="32"/>
          <w:szCs w:val="32"/>
        </w:rPr>
        <w:t>、学院党总支、</w:t>
      </w:r>
      <w:r>
        <w:rPr>
          <w:rFonts w:hint="eastAsia" w:ascii="Times New Roman" w:hAnsi="Times New Roman" w:eastAsia="仿宋_GB2312" w:cs="Times New Roman"/>
          <w:sz w:val="32"/>
          <w:szCs w:val="32"/>
          <w:lang w:val="en-US" w:eastAsia="zh-CN"/>
        </w:rPr>
        <w:t>离</w:t>
      </w:r>
      <w:r>
        <w:rPr>
          <w:rFonts w:hint="eastAsia" w:ascii="Times New Roman" w:hAnsi="Times New Roman" w:eastAsia="仿宋_GB2312" w:cs="Times New Roman"/>
          <w:sz w:val="32"/>
          <w:szCs w:val="32"/>
        </w:rPr>
        <w:t>退休职工党总支</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开放教育部（开放教育学院）党总支</w:t>
      </w:r>
      <w:r>
        <w:rPr>
          <w:rFonts w:hint="eastAsia" w:ascii="Times New Roman" w:hAnsi="Times New Roman" w:eastAsia="仿宋_GB2312" w:cs="Times New Roman"/>
          <w:sz w:val="32"/>
          <w:szCs w:val="32"/>
        </w:rPr>
        <w:t>；群团组织2个，包括校工会、校团委。</w:t>
      </w:r>
    </w:p>
    <w:p>
      <w:pPr>
        <w:pStyle w:val="10"/>
        <w:numPr>
          <w:ilvl w:val="0"/>
          <w:numId w:val="0"/>
        </w:numPr>
        <w:ind w:leftChars="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二、</w:t>
      </w:r>
      <w:r>
        <w:rPr>
          <w:rFonts w:hint="eastAsia" w:ascii="黑体" w:hAnsi="黑体" w:eastAsia="黑体" w:cs="仿宋_GB2312"/>
          <w:sz w:val="32"/>
          <w:szCs w:val="32"/>
          <w:u w:val="none"/>
        </w:rPr>
        <w:t>部门预算单位构成（单位公开没有此部分内容）</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仿宋_GB2312" w:hAnsi="黑体" w:eastAsia="仿宋_GB2312" w:cs="仿宋_GB2312"/>
          <w:sz w:val="32"/>
          <w:szCs w:val="32"/>
          <w:u w:val="none"/>
          <w:lang w:val="en-US" w:eastAsia="zh-CN"/>
        </w:rPr>
        <w:t>无此类情况。</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p>
    <w:p>
      <w:pPr>
        <w:spacing w:line="600" w:lineRule="exact"/>
        <w:ind w:firstLine="600" w:firstLineChars="200"/>
        <w:jc w:val="left"/>
        <w:rPr>
          <w:rFonts w:ascii="宋体" w:cs="Times New Roman"/>
          <w:sz w:val="30"/>
          <w:szCs w:val="30"/>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第二部分  海南开放大学</w:t>
      </w:r>
      <w:r>
        <w:rPr>
          <w:rFonts w:hint="eastAsia" w:ascii="黑体" w:hAnsi="黑体" w:eastAsia="黑体" w:cs="黑体"/>
          <w:sz w:val="32"/>
          <w:szCs w:val="32"/>
          <w:lang w:eastAsia="zh-CN"/>
        </w:rPr>
        <w:t>单位</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年单位预算表</w:t>
      </w:r>
    </w:p>
    <w:p>
      <w:pPr>
        <w:ind w:firstLine="602" w:firstLineChars="200"/>
        <w:rPr>
          <w:rFonts w:ascii="宋体" w:cs="Times New Roman"/>
          <w:b/>
          <w:bCs/>
          <w:sz w:val="30"/>
          <w:szCs w:val="30"/>
        </w:rPr>
      </w:pP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（此部分内容即为单位预算公开表，详见表格）</w:t>
      </w:r>
    </w:p>
    <w:p>
      <w:pPr>
        <w:ind w:left="800"/>
        <w:jc w:val="center"/>
        <w:rPr>
          <w:rFonts w:ascii="宋体" w:cs="Times New Roman"/>
          <w:b/>
          <w:bCs/>
          <w:sz w:val="30"/>
          <w:szCs w:val="30"/>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第三部分  海南开放大学</w:t>
      </w:r>
      <w:r>
        <w:rPr>
          <w:rFonts w:hint="eastAsia" w:ascii="黑体" w:hAnsi="黑体" w:eastAsia="黑体" w:cs="黑体"/>
          <w:sz w:val="32"/>
          <w:szCs w:val="32"/>
          <w:lang w:eastAsia="zh-CN"/>
        </w:rPr>
        <w:t>单位</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年单位预算情况说明</w:t>
      </w:r>
    </w:p>
    <w:p>
      <w:pPr>
        <w:ind w:firstLine="452" w:firstLineChars="150"/>
        <w:rPr>
          <w:rFonts w:ascii="宋体" w:cs="Times New Roman"/>
          <w:b/>
          <w:bCs/>
          <w:sz w:val="30"/>
          <w:szCs w:val="30"/>
        </w:rPr>
      </w:pP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一、关于海南开放大学</w:t>
      </w:r>
      <w:r>
        <w:rPr>
          <w:rFonts w:hint="eastAsia" w:ascii="黑体" w:hAnsi="黑体" w:eastAsia="黑体" w:cs="黑体"/>
          <w:sz w:val="32"/>
          <w:szCs w:val="32"/>
          <w:lang w:eastAsia="zh-CN"/>
        </w:rPr>
        <w:t>单位</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年财政拨款收支预算情况的总体说明</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海南开放大学202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年财政拨款收支总预算</w:t>
      </w:r>
      <w:r>
        <w:rPr>
          <w:rFonts w:hint="eastAsia" w:ascii="Times New Roman" w:hAnsi="Times New Roman" w:eastAsia="仿宋_GB2312" w:cs="Times New Roman"/>
          <w:sz w:val="32"/>
          <w:szCs w:val="32"/>
          <w:lang w:val="en-US" w:eastAsia="zh-CN"/>
        </w:rPr>
        <w:t>7375.3</w:t>
      </w:r>
      <w:r>
        <w:rPr>
          <w:rFonts w:hint="eastAsia" w:ascii="Times New Roman" w:hAnsi="Times New Roman" w:eastAsia="仿宋_GB2312" w:cs="Times New Roman"/>
          <w:sz w:val="32"/>
          <w:szCs w:val="32"/>
        </w:rPr>
        <w:t>万元。其中，收入总计</w:t>
      </w:r>
      <w:r>
        <w:rPr>
          <w:rFonts w:hint="eastAsia" w:ascii="Times New Roman" w:hAnsi="Times New Roman" w:eastAsia="仿宋_GB2312" w:cs="Times New Roman"/>
          <w:sz w:val="32"/>
          <w:szCs w:val="32"/>
          <w:lang w:val="en-US" w:eastAsia="zh-CN"/>
        </w:rPr>
        <w:t>7375.3</w:t>
      </w:r>
      <w:r>
        <w:rPr>
          <w:rFonts w:hint="eastAsia" w:ascii="Times New Roman" w:hAnsi="Times New Roman" w:eastAsia="仿宋_GB2312" w:cs="Times New Roman"/>
          <w:sz w:val="32"/>
          <w:szCs w:val="32"/>
        </w:rPr>
        <w:t>万元，包括一般公共预算本年收入</w:t>
      </w:r>
      <w:r>
        <w:rPr>
          <w:rFonts w:hint="eastAsia" w:ascii="Times New Roman" w:hAnsi="Times New Roman" w:eastAsia="仿宋_GB2312" w:cs="Times New Roman"/>
          <w:sz w:val="32"/>
          <w:szCs w:val="32"/>
          <w:lang w:val="en-US" w:eastAsia="zh-CN"/>
        </w:rPr>
        <w:t>7360.71</w:t>
      </w:r>
      <w:r>
        <w:rPr>
          <w:rFonts w:hint="eastAsia" w:ascii="Times New Roman" w:hAnsi="Times New Roman" w:eastAsia="仿宋_GB2312" w:cs="Times New Roman"/>
          <w:sz w:val="32"/>
          <w:szCs w:val="32"/>
        </w:rPr>
        <w:t>万元，上年结转约</w:t>
      </w:r>
      <w:r>
        <w:rPr>
          <w:rFonts w:hint="eastAsia" w:ascii="Times New Roman" w:hAnsi="Times New Roman" w:eastAsia="仿宋_GB2312" w:cs="Times New Roman"/>
          <w:sz w:val="32"/>
          <w:szCs w:val="32"/>
          <w:lang w:val="en-US" w:eastAsia="zh-CN"/>
        </w:rPr>
        <w:t>14.59</w:t>
      </w:r>
      <w:r>
        <w:rPr>
          <w:rFonts w:hint="eastAsia"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val="en-US" w:eastAsia="zh-CN"/>
        </w:rPr>
        <w:t>8924.6</w:t>
      </w:r>
      <w:r>
        <w:rPr>
          <w:rFonts w:hint="eastAsia" w:ascii="Times New Roman" w:hAnsi="Times New Roman" w:eastAsia="仿宋_GB2312" w:cs="Times New Roman"/>
          <w:sz w:val="32"/>
          <w:szCs w:val="32"/>
        </w:rPr>
        <w:t>万元（含上年结转</w:t>
      </w:r>
      <w:r>
        <w:rPr>
          <w:rFonts w:hint="eastAsia" w:ascii="Times New Roman" w:hAnsi="Times New Roman" w:eastAsia="仿宋_GB2312" w:cs="Times New Roman"/>
          <w:sz w:val="32"/>
          <w:szCs w:val="32"/>
          <w:lang w:val="en-US" w:eastAsia="zh-CN"/>
        </w:rPr>
        <w:t>1.01</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减少1549.3</w:t>
      </w:r>
      <w:r>
        <w:rPr>
          <w:rFonts w:hint="eastAsia" w:ascii="Times New Roman" w:hAnsi="Times New Roman" w:eastAsia="仿宋_GB2312" w:cs="Times New Roman"/>
          <w:sz w:val="32"/>
          <w:szCs w:val="32"/>
        </w:rPr>
        <w:t>万元，主要是项目经费拨款</w:t>
      </w:r>
      <w:r>
        <w:rPr>
          <w:rFonts w:hint="eastAsia" w:ascii="Times New Roman" w:hAnsi="Times New Roman" w:eastAsia="仿宋_GB2312" w:cs="Times New Roman"/>
          <w:sz w:val="32"/>
          <w:szCs w:val="32"/>
          <w:lang w:val="en-US" w:eastAsia="zh-CN"/>
        </w:rPr>
        <w:t>减少</w:t>
      </w:r>
      <w:r>
        <w:rPr>
          <w:rFonts w:hint="eastAsia" w:ascii="Times New Roman" w:hAnsi="Times New Roman" w:eastAsia="仿宋_GB2312" w:cs="Times New Roman"/>
          <w:sz w:val="32"/>
          <w:szCs w:val="32"/>
        </w:rPr>
        <w:t>。</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二、关于海南开放大学</w:t>
      </w:r>
      <w:r>
        <w:rPr>
          <w:rFonts w:hint="eastAsia" w:ascii="黑体" w:hAnsi="黑体" w:eastAsia="黑体" w:cs="黑体"/>
          <w:sz w:val="32"/>
          <w:szCs w:val="32"/>
          <w:lang w:eastAsia="zh-CN"/>
        </w:rPr>
        <w:t>单位</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年一般公共预算当年拨款情况说明</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楷体" w:hAnsi="楷体" w:eastAsia="楷体" w:cs="黑体"/>
          <w:color w:val="000000" w:themeColor="text1"/>
          <w:kern w:val="2"/>
          <w:sz w:val="32"/>
          <w:szCs w:val="32"/>
          <w:u w:val="none"/>
          <w:lang w:val="en-US" w:eastAsia="zh-CN" w:bidi="ar-SA"/>
          <w14:textFill>
            <w14:solidFill>
              <w14:schemeClr w14:val="tx1"/>
            </w14:solidFill>
          </w14:textFill>
        </w:rPr>
        <w:t>（一）一般公共预算当年规模变化情况</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海南开放大学202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年一般公共预算当年拨款</w:t>
      </w:r>
      <w:r>
        <w:rPr>
          <w:rFonts w:hint="eastAsia" w:ascii="Times New Roman" w:hAnsi="Times New Roman" w:eastAsia="仿宋_GB2312" w:cs="Times New Roman"/>
          <w:sz w:val="32"/>
          <w:szCs w:val="32"/>
          <w:highlight w:val="none"/>
          <w:lang w:val="en-US" w:eastAsia="zh-CN"/>
        </w:rPr>
        <w:t>7375.3</w:t>
      </w:r>
      <w:r>
        <w:rPr>
          <w:rFonts w:hint="eastAsia" w:ascii="Times New Roman" w:hAnsi="Times New Roman" w:eastAsia="仿宋_GB2312" w:cs="Times New Roman"/>
          <w:sz w:val="32"/>
          <w:szCs w:val="32"/>
        </w:rPr>
        <w:t>万元，比上年892</w:t>
      </w:r>
      <w:r>
        <w:rPr>
          <w:rFonts w:hint="eastAsia" w:ascii="Times New Roman" w:hAnsi="Times New Roman" w:eastAsia="仿宋_GB2312" w:cs="Times New Roman"/>
          <w:sz w:val="32"/>
          <w:szCs w:val="32"/>
          <w:lang w:val="en-US" w:eastAsia="zh-CN"/>
        </w:rPr>
        <w:t>4.6</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减少1549.3</w:t>
      </w:r>
      <w:r>
        <w:rPr>
          <w:rFonts w:hint="eastAsia" w:ascii="Times New Roman" w:hAnsi="Times New Roman" w:eastAsia="仿宋_GB2312" w:cs="Times New Roman"/>
          <w:sz w:val="32"/>
          <w:szCs w:val="32"/>
        </w:rPr>
        <w:t>万元，主要是项目支出</w:t>
      </w:r>
      <w:r>
        <w:rPr>
          <w:rFonts w:hint="eastAsia" w:ascii="Times New Roman" w:hAnsi="Times New Roman" w:eastAsia="仿宋_GB2312" w:cs="Times New Roman"/>
          <w:sz w:val="32"/>
          <w:szCs w:val="32"/>
          <w:lang w:val="en-US" w:eastAsia="zh-CN"/>
        </w:rPr>
        <w:t>减少。</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楷体" w:hAnsi="楷体" w:eastAsia="楷体" w:cs="黑体"/>
          <w:color w:val="000000" w:themeColor="text1"/>
          <w:kern w:val="2"/>
          <w:sz w:val="32"/>
          <w:szCs w:val="32"/>
          <w:u w:val="none"/>
          <w:lang w:val="en-US" w:eastAsia="zh-CN" w:bidi="ar-SA"/>
          <w14:textFill>
            <w14:solidFill>
              <w14:schemeClr w14:val="tx1"/>
            </w14:solidFill>
          </w14:textFill>
        </w:rPr>
        <w:t>（二）一般公共预算当年拨款结构情况</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教育支出</w:t>
      </w:r>
      <w:r>
        <w:rPr>
          <w:rFonts w:hint="eastAsia" w:ascii="Times New Roman" w:hAnsi="Times New Roman" w:eastAsia="仿宋_GB2312" w:cs="Times New Roman"/>
          <w:sz w:val="32"/>
          <w:szCs w:val="32"/>
          <w:lang w:val="en-US" w:eastAsia="zh-CN"/>
        </w:rPr>
        <w:t>5195.53</w:t>
      </w:r>
      <w:r>
        <w:rPr>
          <w:rFonts w:hint="eastAsia"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70.59</w:t>
      </w:r>
      <w:r>
        <w:rPr>
          <w:rFonts w:hint="eastAsia" w:ascii="Times New Roman" w:hAnsi="Times New Roman" w:eastAsia="仿宋_GB2312" w:cs="Times New Roman"/>
          <w:sz w:val="32"/>
          <w:szCs w:val="32"/>
        </w:rPr>
        <w:t>%；社会保障和就业支出</w:t>
      </w:r>
      <w:r>
        <w:rPr>
          <w:rFonts w:hint="eastAsia" w:ascii="Times New Roman" w:hAnsi="Times New Roman" w:eastAsia="仿宋_GB2312" w:cs="Times New Roman"/>
          <w:sz w:val="32"/>
          <w:szCs w:val="32"/>
          <w:lang w:val="en-US" w:eastAsia="zh-CN"/>
        </w:rPr>
        <w:t>581.45</w:t>
      </w:r>
      <w:r>
        <w:rPr>
          <w:rFonts w:hint="eastAsia"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7.9</w:t>
      </w:r>
      <w:r>
        <w:rPr>
          <w:rFonts w:hint="eastAsia" w:ascii="Times New Roman" w:hAnsi="Times New Roman" w:eastAsia="仿宋_GB2312" w:cs="Times New Roman"/>
          <w:sz w:val="32"/>
          <w:szCs w:val="32"/>
        </w:rPr>
        <w:t>%；卫生健康支出</w:t>
      </w:r>
      <w:r>
        <w:rPr>
          <w:rFonts w:hint="eastAsia" w:ascii="Times New Roman" w:hAnsi="Times New Roman" w:eastAsia="仿宋_GB2312" w:cs="Times New Roman"/>
          <w:sz w:val="32"/>
          <w:szCs w:val="32"/>
          <w:lang w:val="en-US" w:eastAsia="zh-CN"/>
        </w:rPr>
        <w:t>180.06</w:t>
      </w:r>
      <w:r>
        <w:rPr>
          <w:rFonts w:hint="eastAsia"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2.45</w:t>
      </w:r>
      <w:r>
        <w:rPr>
          <w:rFonts w:hint="eastAsia" w:ascii="Times New Roman" w:hAnsi="Times New Roman" w:eastAsia="仿宋_GB2312" w:cs="Times New Roman"/>
          <w:sz w:val="32"/>
          <w:szCs w:val="32"/>
        </w:rPr>
        <w:t>%；农林水支出</w:t>
      </w:r>
      <w:r>
        <w:rPr>
          <w:rFonts w:hint="eastAsia" w:ascii="Times New Roman" w:hAnsi="Times New Roman" w:eastAsia="仿宋_GB2312" w:cs="Times New Roman"/>
          <w:sz w:val="32"/>
          <w:szCs w:val="32"/>
          <w:lang w:val="en-US" w:eastAsia="zh-CN"/>
        </w:rPr>
        <w:t>1102</w:t>
      </w:r>
      <w:r>
        <w:rPr>
          <w:rFonts w:hint="eastAsia"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14.97</w:t>
      </w:r>
      <w:r>
        <w:rPr>
          <w:rFonts w:hint="eastAsia" w:ascii="Times New Roman" w:hAnsi="Times New Roman" w:eastAsia="仿宋_GB2312" w:cs="Times New Roman"/>
          <w:sz w:val="32"/>
          <w:szCs w:val="32"/>
        </w:rPr>
        <w:t>%；住房保障支出</w:t>
      </w:r>
      <w:r>
        <w:rPr>
          <w:rFonts w:hint="eastAsia" w:ascii="Times New Roman" w:hAnsi="Times New Roman" w:eastAsia="仿宋_GB2312" w:cs="Times New Roman"/>
          <w:sz w:val="32"/>
          <w:szCs w:val="32"/>
          <w:lang w:val="en-US" w:eastAsia="zh-CN"/>
        </w:rPr>
        <w:t>301.68</w:t>
      </w:r>
      <w:r>
        <w:rPr>
          <w:rFonts w:hint="eastAsia"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4.09</w:t>
      </w:r>
      <w:r>
        <w:rPr>
          <w:rFonts w:hint="eastAsia" w:ascii="Times New Roman" w:hAnsi="Times New Roman" w:eastAsia="仿宋_GB2312" w:cs="Times New Roman"/>
          <w:sz w:val="32"/>
          <w:szCs w:val="32"/>
        </w:rPr>
        <w:t>%。</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黑体"/>
          <w:color w:val="000000" w:themeColor="text1"/>
          <w:kern w:val="2"/>
          <w:sz w:val="32"/>
          <w:szCs w:val="32"/>
          <w:u w:val="none"/>
          <w:lang w:val="en-US" w:eastAsia="zh-CN" w:bidi="ar-SA"/>
          <w14:textFill>
            <w14:solidFill>
              <w14:schemeClr w14:val="tx1"/>
            </w14:solidFill>
          </w14:textFill>
        </w:rPr>
      </w:pPr>
      <w:r>
        <w:rPr>
          <w:rFonts w:hint="eastAsia" w:ascii="楷体" w:hAnsi="楷体" w:eastAsia="楷体" w:cs="黑体"/>
          <w:color w:val="000000" w:themeColor="text1"/>
          <w:kern w:val="2"/>
          <w:sz w:val="32"/>
          <w:szCs w:val="32"/>
          <w:u w:val="none"/>
          <w:lang w:val="en-US" w:eastAsia="zh-CN" w:bidi="ar-SA"/>
          <w14:textFill>
            <w14:solidFill>
              <w14:schemeClr w14:val="tx1"/>
            </w14:solidFill>
          </w14:textFill>
        </w:rPr>
        <w:t>（三）一般公共预算当年拨款具体使用情况</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1.教育支出202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5195.53</w:t>
      </w:r>
      <w:r>
        <w:rPr>
          <w:rFonts w:hint="eastAsia" w:ascii="Times New Roman" w:hAnsi="Times New Roman" w:eastAsia="仿宋_GB2312" w:cs="Times New Roman"/>
          <w:sz w:val="32"/>
          <w:szCs w:val="32"/>
        </w:rPr>
        <w:t>万元，比上年预算数</w:t>
      </w:r>
      <w:r>
        <w:rPr>
          <w:rFonts w:hint="eastAsia" w:ascii="Times New Roman" w:hAnsi="Times New Roman" w:eastAsia="仿宋_GB2312" w:cs="Times New Roman"/>
          <w:sz w:val="32"/>
          <w:szCs w:val="32"/>
          <w:lang w:val="en-US" w:eastAsia="zh-CN"/>
        </w:rPr>
        <w:t>5881.16减少685.63</w:t>
      </w:r>
      <w:r>
        <w:rPr>
          <w:rFonts w:hint="eastAsia"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lang w:val="en-US" w:eastAsia="zh-CN"/>
        </w:rPr>
        <w:t>省</w:t>
      </w:r>
      <w:r>
        <w:rPr>
          <w:rFonts w:hint="eastAsia" w:ascii="Times New Roman" w:hAnsi="Times New Roman" w:eastAsia="仿宋_GB2312" w:cs="Times New Roman"/>
          <w:sz w:val="32"/>
          <w:szCs w:val="32"/>
        </w:rPr>
        <w:t>教育</w:t>
      </w:r>
      <w:r>
        <w:rPr>
          <w:rFonts w:hint="eastAsia" w:ascii="Times New Roman" w:hAnsi="Times New Roman" w:eastAsia="仿宋_GB2312" w:cs="Times New Roman"/>
          <w:sz w:val="32"/>
          <w:szCs w:val="32"/>
          <w:lang w:val="en-US" w:eastAsia="zh-CN"/>
        </w:rPr>
        <w:t>厅</w:t>
      </w:r>
      <w:r>
        <w:rPr>
          <w:rFonts w:hint="eastAsia" w:ascii="Times New Roman" w:hAnsi="Times New Roman" w:eastAsia="仿宋_GB2312" w:cs="Times New Roman"/>
          <w:sz w:val="32"/>
          <w:szCs w:val="32"/>
        </w:rPr>
        <w:t>专项资金项目预算</w:t>
      </w:r>
      <w:r>
        <w:rPr>
          <w:rFonts w:hint="eastAsia" w:ascii="Times New Roman" w:hAnsi="Times New Roman" w:eastAsia="仿宋_GB2312" w:cs="Times New Roman"/>
          <w:sz w:val="32"/>
          <w:szCs w:val="32"/>
          <w:lang w:val="en-US" w:eastAsia="zh-CN"/>
        </w:rPr>
        <w:t>减少</w:t>
      </w:r>
      <w:r>
        <w:rPr>
          <w:rFonts w:hint="eastAsia" w:ascii="Times New Roman" w:hAnsi="Times New Roman" w:eastAsia="仿宋_GB2312" w:cs="Times New Roman"/>
          <w:sz w:val="32"/>
          <w:szCs w:val="32"/>
        </w:rPr>
        <w:t>。</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2.科学技术支出202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当年</w:t>
      </w:r>
      <w:r>
        <w:rPr>
          <w:rFonts w:hint="eastAsia" w:ascii="Times New Roman" w:hAnsi="Times New Roman" w:eastAsia="仿宋_GB2312" w:cs="Times New Roman"/>
          <w:sz w:val="32"/>
          <w:szCs w:val="32"/>
        </w:rPr>
        <w:t>预算数为</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上</w:t>
      </w:r>
      <w:r>
        <w:rPr>
          <w:rFonts w:hint="eastAsia" w:ascii="Times New Roman" w:hAnsi="Times New Roman" w:eastAsia="仿宋_GB2312" w:cs="Times New Roman"/>
          <w:sz w:val="32"/>
          <w:szCs w:val="32"/>
        </w:rPr>
        <w:t>年结转</w:t>
      </w:r>
      <w:r>
        <w:rPr>
          <w:rFonts w:hint="eastAsia" w:ascii="Times New Roman" w:hAnsi="Times New Roman" w:eastAsia="仿宋_GB2312" w:cs="Times New Roman"/>
          <w:sz w:val="32"/>
          <w:szCs w:val="32"/>
          <w:lang w:val="en-US" w:eastAsia="zh-CN"/>
        </w:rPr>
        <w:t>14.59</w:t>
      </w:r>
      <w:r>
        <w:rPr>
          <w:rFonts w:hint="eastAsia" w:ascii="Times New Roman" w:hAnsi="Times New Roman" w:eastAsia="仿宋_GB2312" w:cs="Times New Roman"/>
          <w:sz w:val="32"/>
          <w:szCs w:val="32"/>
        </w:rPr>
        <w:t>万元）。</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3.社会保障和就业支出202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581.45</w:t>
      </w:r>
      <w:r>
        <w:rPr>
          <w:rFonts w:hint="eastAsia" w:ascii="Times New Roman" w:hAnsi="Times New Roman" w:eastAsia="仿宋_GB2312" w:cs="Times New Roman"/>
          <w:sz w:val="32"/>
          <w:szCs w:val="32"/>
        </w:rPr>
        <w:t>万元，比上年预算数620.78</w:t>
      </w:r>
      <w:r>
        <w:rPr>
          <w:rFonts w:hint="eastAsia" w:ascii="Times New Roman" w:hAnsi="Times New Roman" w:eastAsia="仿宋_GB2312" w:cs="Times New Roman"/>
          <w:sz w:val="32"/>
          <w:szCs w:val="32"/>
          <w:lang w:val="en-US" w:eastAsia="zh-CN"/>
        </w:rPr>
        <w:t>万元减少39.33</w:t>
      </w:r>
      <w:r>
        <w:rPr>
          <w:rFonts w:hint="eastAsia"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lang w:val="en-US" w:eastAsia="zh-CN"/>
        </w:rPr>
        <w:t>死亡抚恤金支出</w:t>
      </w:r>
      <w:r>
        <w:rPr>
          <w:rFonts w:hint="eastAsia" w:ascii="Times New Roman" w:hAnsi="Times New Roman" w:eastAsia="仿宋_GB2312" w:cs="Times New Roman"/>
          <w:sz w:val="32"/>
          <w:szCs w:val="32"/>
        </w:rPr>
        <w:t>。</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4.卫生健康支出202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180.06</w:t>
      </w:r>
      <w:r>
        <w:rPr>
          <w:rFonts w:hint="eastAsia" w:ascii="Times New Roman" w:hAnsi="Times New Roman" w:eastAsia="仿宋_GB2312" w:cs="Times New Roman"/>
          <w:sz w:val="32"/>
          <w:szCs w:val="32"/>
        </w:rPr>
        <w:t>万元，比上年</w:t>
      </w:r>
      <w:r>
        <w:rPr>
          <w:rFonts w:hint="eastAsia" w:ascii="Times New Roman" w:hAnsi="Times New Roman" w:eastAsia="仿宋_GB2312" w:cs="Times New Roman"/>
          <w:sz w:val="32"/>
          <w:szCs w:val="32"/>
          <w:lang w:val="en-US" w:eastAsia="zh-CN"/>
        </w:rPr>
        <w:t>预算数</w:t>
      </w:r>
      <w:r>
        <w:rPr>
          <w:rFonts w:hint="eastAsia" w:ascii="Times New Roman" w:hAnsi="Times New Roman" w:eastAsia="仿宋_GB2312" w:cs="Times New Roman"/>
          <w:sz w:val="32"/>
          <w:szCs w:val="32"/>
        </w:rPr>
        <w:t>159.83</w:t>
      </w:r>
      <w:r>
        <w:rPr>
          <w:rFonts w:hint="eastAsia"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rPr>
        <w:t>增加</w:t>
      </w:r>
      <w:r>
        <w:rPr>
          <w:rFonts w:hint="eastAsia" w:ascii="Times New Roman" w:hAnsi="Times New Roman" w:eastAsia="仿宋_GB2312" w:cs="Times New Roman"/>
          <w:sz w:val="32"/>
          <w:szCs w:val="32"/>
          <w:lang w:val="en-US" w:eastAsia="zh-CN"/>
        </w:rPr>
        <w:t>20.23</w:t>
      </w:r>
      <w:r>
        <w:rPr>
          <w:rFonts w:hint="eastAsia" w:ascii="Times New Roman" w:hAnsi="Times New Roman" w:eastAsia="仿宋_GB2312" w:cs="Times New Roman"/>
          <w:sz w:val="32"/>
          <w:szCs w:val="32"/>
        </w:rPr>
        <w:t>万元，主要是学校202</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年新调入教职工导致基本医疗保险支出增加。</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5.农林水支出202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1102</w:t>
      </w:r>
      <w:r>
        <w:rPr>
          <w:rFonts w:hint="eastAsia" w:ascii="Times New Roman" w:hAnsi="Times New Roman" w:eastAsia="仿宋_GB2312" w:cs="Times New Roman"/>
          <w:sz w:val="32"/>
          <w:szCs w:val="32"/>
        </w:rPr>
        <w:t>万元，比上年</w:t>
      </w:r>
      <w:r>
        <w:rPr>
          <w:rFonts w:hint="eastAsia" w:ascii="Times New Roman" w:hAnsi="Times New Roman" w:eastAsia="仿宋_GB2312" w:cs="Times New Roman"/>
          <w:sz w:val="32"/>
          <w:szCs w:val="32"/>
          <w:lang w:val="en-US" w:eastAsia="zh-CN"/>
        </w:rPr>
        <w:t>预算数</w:t>
      </w:r>
      <w:r>
        <w:rPr>
          <w:rFonts w:hint="eastAsia" w:ascii="Times New Roman" w:hAnsi="Times New Roman" w:eastAsia="仿宋_GB2312" w:cs="Times New Roman"/>
          <w:sz w:val="32"/>
          <w:szCs w:val="32"/>
        </w:rPr>
        <w:t>1972</w:t>
      </w:r>
      <w:r>
        <w:rPr>
          <w:rFonts w:hint="eastAsia"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rPr>
        <w:t>减少</w:t>
      </w:r>
      <w:r>
        <w:rPr>
          <w:rFonts w:hint="eastAsia" w:ascii="Times New Roman" w:hAnsi="Times New Roman" w:eastAsia="仿宋_GB2312" w:cs="Times New Roman"/>
          <w:sz w:val="32"/>
          <w:szCs w:val="32"/>
          <w:lang w:val="en-US" w:eastAsia="zh-CN"/>
        </w:rPr>
        <w:t>870</w:t>
      </w:r>
      <w:r>
        <w:rPr>
          <w:rFonts w:hint="eastAsia" w:ascii="Times New Roman" w:hAnsi="Times New Roman" w:eastAsia="仿宋_GB2312" w:cs="Times New Roman"/>
          <w:sz w:val="32"/>
          <w:szCs w:val="32"/>
        </w:rPr>
        <w:t>万元，主要是乡村振兴电视夜校</w:t>
      </w:r>
      <w:r>
        <w:rPr>
          <w:rFonts w:hint="eastAsia" w:ascii="Times New Roman" w:hAnsi="Times New Roman" w:eastAsia="仿宋_GB2312" w:cs="Times New Roman"/>
          <w:sz w:val="32"/>
          <w:szCs w:val="32"/>
          <w:lang w:val="en-US" w:eastAsia="zh-CN"/>
        </w:rPr>
        <w:t>项目</w:t>
      </w:r>
      <w:r>
        <w:rPr>
          <w:rFonts w:hint="eastAsia" w:ascii="Times New Roman" w:hAnsi="Times New Roman" w:eastAsia="仿宋_GB2312" w:cs="Times New Roman"/>
          <w:sz w:val="32"/>
          <w:szCs w:val="32"/>
        </w:rPr>
        <w:t>财政拨款减少。</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6.住房保障支出202</w:t>
      </w:r>
      <w:r>
        <w:rPr>
          <w:rFonts w:hint="eastAsia" w:ascii="Times New Roman" w:hAnsi="Times New Roman" w:eastAsia="仿宋_GB2312" w:cs="Times New Roman"/>
          <w:sz w:val="32"/>
          <w:szCs w:val="32"/>
          <w:lang w:val="en-US" w:eastAsia="zh-CN"/>
        </w:rPr>
        <w:t>4</w:t>
      </w:r>
      <w:r>
        <w:rPr>
          <w:rFonts w:hint="eastAsia" w:ascii="Times New Roman" w:hAnsi="Times New Roman" w:eastAsia="仿宋_GB2312" w:cs="Times New Roman"/>
          <w:sz w:val="32"/>
          <w:szCs w:val="32"/>
        </w:rPr>
        <w:t>年预算数为</w:t>
      </w:r>
      <w:r>
        <w:rPr>
          <w:rFonts w:hint="eastAsia" w:ascii="Times New Roman" w:hAnsi="Times New Roman" w:eastAsia="仿宋_GB2312" w:cs="Times New Roman"/>
          <w:sz w:val="32"/>
          <w:szCs w:val="32"/>
          <w:lang w:val="en-US" w:eastAsia="zh-CN"/>
        </w:rPr>
        <w:t>301.68</w:t>
      </w:r>
      <w:r>
        <w:rPr>
          <w:rFonts w:hint="eastAsia" w:ascii="Times New Roman" w:hAnsi="Times New Roman" w:eastAsia="仿宋_GB2312" w:cs="Times New Roman"/>
          <w:sz w:val="32"/>
          <w:szCs w:val="32"/>
        </w:rPr>
        <w:t>万元，比上年预算数273.81万元增加</w:t>
      </w:r>
      <w:r>
        <w:rPr>
          <w:rFonts w:hint="eastAsia" w:ascii="Times New Roman" w:hAnsi="Times New Roman" w:eastAsia="仿宋_GB2312" w:cs="Times New Roman"/>
          <w:sz w:val="32"/>
          <w:szCs w:val="32"/>
          <w:lang w:val="en-US" w:eastAsia="zh-CN"/>
        </w:rPr>
        <w:t>27.87</w:t>
      </w:r>
      <w:r>
        <w:rPr>
          <w:rFonts w:hint="eastAsia" w:ascii="Times New Roman" w:hAnsi="Times New Roman" w:eastAsia="仿宋_GB2312" w:cs="Times New Roman"/>
          <w:sz w:val="32"/>
          <w:szCs w:val="32"/>
        </w:rPr>
        <w:t>万元，主要是</w:t>
      </w:r>
      <w:r>
        <w:rPr>
          <w:rFonts w:hint="eastAsia" w:ascii="Times New Roman" w:hAnsi="Times New Roman" w:eastAsia="仿宋_GB2312" w:cs="Times New Roman"/>
          <w:sz w:val="32"/>
          <w:szCs w:val="32"/>
          <w:lang w:val="en-US" w:eastAsia="zh-CN"/>
        </w:rPr>
        <w:t>2023</w:t>
      </w:r>
      <w:r>
        <w:rPr>
          <w:rFonts w:hint="eastAsia" w:ascii="Times New Roman" w:hAnsi="Times New Roman" w:eastAsia="仿宋_GB2312" w:cs="Times New Roman"/>
          <w:sz w:val="32"/>
          <w:szCs w:val="32"/>
        </w:rPr>
        <w:t>年新调入教职工导致</w:t>
      </w:r>
      <w:r>
        <w:rPr>
          <w:rFonts w:hint="eastAsia" w:ascii="Times New Roman" w:hAnsi="Times New Roman" w:eastAsia="仿宋_GB2312" w:cs="Times New Roman"/>
          <w:sz w:val="32"/>
          <w:szCs w:val="32"/>
          <w:lang w:val="en-US" w:eastAsia="zh-CN"/>
        </w:rPr>
        <w:t>住房公积金增加</w:t>
      </w:r>
      <w:r>
        <w:rPr>
          <w:rFonts w:hint="eastAsia" w:ascii="Times New Roman" w:hAnsi="Times New Roman" w:eastAsia="仿宋_GB2312" w:cs="Times New Roman"/>
          <w:sz w:val="32"/>
          <w:szCs w:val="32"/>
        </w:rPr>
        <w:t>。</w:t>
      </w:r>
    </w:p>
    <w:p>
      <w:pPr>
        <w:ind w:firstLine="640"/>
        <w:rPr>
          <w:rFonts w:hint="eastAsia" w:ascii="黑体" w:hAnsi="黑体" w:eastAsia="黑体"/>
          <w:sz w:val="32"/>
          <w:szCs w:val="32"/>
          <w:u w:val="none"/>
        </w:rPr>
      </w:pPr>
      <w:r>
        <w:rPr>
          <w:rFonts w:hint="eastAsia" w:ascii="黑体" w:hAnsi="黑体" w:eastAsia="黑体"/>
          <w:sz w:val="32"/>
          <w:szCs w:val="32"/>
          <w:u w:val="none"/>
          <w:lang w:val="en-US" w:eastAsia="zh-CN"/>
        </w:rPr>
        <w:t>三、关于海南开放大学单位2024</w:t>
      </w:r>
      <w:r>
        <w:rPr>
          <w:rFonts w:hint="eastAsia" w:ascii="黑体" w:hAnsi="黑体" w:eastAsia="黑体"/>
          <w:sz w:val="32"/>
          <w:szCs w:val="32"/>
          <w:u w:val="none"/>
        </w:rPr>
        <w:t>年一般公共预算基本支出情况说明</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海南开放大学单位2024年一般公共预算基本支出为4813.78万元，其中：</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1.人员经费3793.02万元，主要包括：基本工资、津贴补贴、奖金、社会保障缴费、住房公积金、其他工作福利支出、离休费等等</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2.公用经费1020.76万元，主要包括：办公费、咨询费、手续费、水费、电费、差旅费、物业管理费、劳务费、其他商品和服务支出等等。</w:t>
      </w:r>
    </w:p>
    <w:p>
      <w:pPr>
        <w:ind w:firstLine="640"/>
        <w:rPr>
          <w:rFonts w:hint="eastAsia" w:ascii="黑体" w:hAnsi="黑体" w:eastAsia="黑体"/>
          <w:sz w:val="32"/>
          <w:szCs w:val="32"/>
          <w:u w:val="none"/>
          <w:lang w:val="en-US" w:eastAsia="zh-CN"/>
        </w:rPr>
      </w:pPr>
      <w:r>
        <w:rPr>
          <w:rFonts w:hint="eastAsia" w:ascii="黑体" w:hAnsi="黑体" w:eastAsia="黑体"/>
          <w:sz w:val="32"/>
          <w:szCs w:val="32"/>
          <w:u w:val="none"/>
          <w:lang w:val="en-US" w:eastAsia="zh-CN"/>
        </w:rPr>
        <w:t>四、海南开放大学单位2024年“三公”经费预算情况说明</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（一）海南开放大学单位2024年一般公共预算“三公”经费预算数为21.61万元。其中：</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因公出国（境）经费预算0.66万元，与上年预算持平。根据我校将根据办学需要的2024年出国计划，</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拟安排出国（境）</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团（</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组</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hint="eastAsia" w:ascii="Times New Roman" w:hAnsi="Times New Roman" w:eastAsia="仿宋_GB2312" w:cs="Times New Roman"/>
          <w:color w:val="000000" w:themeColor="text1"/>
          <w:sz w:val="32"/>
          <w:u w:val="none"/>
          <w:shd w:val="clear" w:color="auto" w:fill="FFFFFF"/>
          <w:lang w:val="en-US" w:eastAsia="zh-CN"/>
          <w14:textFill>
            <w14:solidFill>
              <w14:schemeClr w14:val="tx1"/>
            </w14:solidFill>
          </w14:textFill>
        </w:rPr>
        <w:t>2</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r>
        <w:rPr>
          <w:rFonts w:hint="eastAsia" w:ascii="Times New Roman" w:hAnsi="Times New Roman" w:eastAsia="仿宋_GB2312" w:cs="Times New Roman"/>
          <w:color w:val="000000" w:themeColor="text1"/>
          <w:sz w:val="32"/>
          <w:u w:val="none"/>
          <w:shd w:val="clear" w:color="auto" w:fill="FFFFFF"/>
          <w:lang w:val="en-US" w:eastAsia="zh-CN"/>
          <w14:textFill>
            <w14:solidFill>
              <w14:schemeClr w14:val="tx1"/>
            </w14:solidFill>
          </w14:textFill>
        </w:rPr>
        <w:t>6</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w:t>
      </w:r>
      <w:r>
        <w:rPr>
          <w:rFonts w:hint="eastAsia" w:ascii="Times New Roman" w:hAnsi="Times New Roman" w:eastAsia="仿宋_GB2312" w:cs="Times New Roman"/>
          <w:color w:val="000000" w:themeColor="text1"/>
          <w:sz w:val="32"/>
          <w:u w:val="none"/>
          <w:shd w:val="clear" w:color="auto" w:fill="FFFFFF"/>
          <w:lang w:eastAsia="zh-CN"/>
          <w14:textFill>
            <w14:solidFill>
              <w14:schemeClr w14:val="tx1"/>
            </w14:solidFill>
          </w14:textFill>
        </w:rPr>
        <w:t>。出国（境）团（组）主要包括：</w:t>
      </w:r>
      <w:r>
        <w:rPr>
          <w:rFonts w:hint="eastAsia" w:ascii="Times New Roman" w:hAnsi="Times New Roman" w:eastAsia="仿宋_GB2312" w:cs="Times New Roman"/>
          <w:sz w:val="32"/>
          <w:szCs w:val="32"/>
          <w:lang w:val="en-US" w:eastAsia="zh-CN"/>
        </w:rPr>
        <w:t>1.新加坡团组：目的地为新加坡，人数为6人，天数为5天（含离抵时间），主要任务为：针对农产品跨境贸易、电商平台及管理考察访问，与高校教师团队开展人才培养、学科建设、学术交流及实地参观等；2.香港团组：目的地为香港，人数为6人，天数为5天（含离抵时间），主要任务为：针对终身教育等考察访问，与高校教师团队开展人才培养、学科建设、学术交流及实地参观等。公务用车购置及运行费12.75万元，增幅0%。与上年预算持平；公务车目前保有辆5辆。我校将严格控制公务用车使用，审批更为规范，控制了车辆运行成本支出。公务接待费8.2万元，与上年预算持平。2024年我校计划接待5批次，25人次。我校将继续严格规范公务接待审批程序。</w:t>
      </w:r>
    </w:p>
    <w:p>
      <w:pPr>
        <w:ind w:firstLine="640" w:firstLineChars="200"/>
        <w:rPr>
          <w:rFonts w:ascii="仿宋_GB2312" w:hAnsi="黑体" w:eastAsia="仿宋_GB2312" w:cs="Times New Roman"/>
          <w:color w:val="000000" w:themeColor="text1"/>
          <w:sz w:val="32"/>
          <w:szCs w:val="32"/>
          <w:u w:val="none"/>
          <w14:textFill>
            <w14:solidFill>
              <w14:schemeClr w14:val="tx1"/>
            </w14:solidFill>
          </w14:textFill>
        </w:rPr>
      </w:pPr>
      <w:r>
        <w:rPr>
          <w:rFonts w:hint="eastAsia" w:ascii="Times New Roman" w:hAnsi="Times New Roman" w:eastAsia="仿宋_GB2312" w:cs="Times New Roman"/>
          <w:sz w:val="32"/>
          <w:szCs w:val="32"/>
          <w:lang w:val="en-US" w:eastAsia="zh-CN"/>
        </w:rPr>
        <w:t>（二）海南开放大学单位2024年政府性基金预算“三公”经费预算数</w:t>
      </w:r>
      <w:r>
        <w:rPr>
          <w:rFonts w:hint="eastAsia" w:ascii="仿宋_GB2312" w:hAnsi="黑体" w:eastAsia="仿宋_GB2312"/>
          <w:color w:val="000000" w:themeColor="text1"/>
          <w:sz w:val="32"/>
          <w:szCs w:val="32"/>
          <w:u w:val="none"/>
          <w14:textFill>
            <w14:solidFill>
              <w14:schemeClr w14:val="tx1"/>
            </w14:solidFill>
          </w14:textFill>
        </w:rPr>
        <w:t>为</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万元，其中：</w:t>
      </w:r>
    </w:p>
    <w:p>
      <w:pPr>
        <w:pStyle w:val="4"/>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因公出国（境）经费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根据安排的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2</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024</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年出国计划，拟安排出国（境）组</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次，出国（境）</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人。公务用车购置及运行费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万元（其中，</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公务用车购置</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，公务用车</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运行费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；公务车保有量</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辆，计划购置</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辆</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r>
        <w:rPr>
          <w:rFonts w:ascii="仿宋_GB2312" w:hAnsi="黑体" w:eastAsia="仿宋_GB2312" w:cs="Times New Roman"/>
          <w:color w:val="000000" w:themeColor="text1"/>
          <w:sz w:val="32"/>
          <w:szCs w:val="32"/>
          <w:u w:val="none"/>
          <w14:textFill>
            <w14:solidFill>
              <w14:schemeClr w14:val="tx1"/>
            </w14:solidFill>
          </w14:textFill>
        </w:rPr>
        <w:t>公务接待费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万元，与</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上</w:t>
      </w:r>
      <w:r>
        <w:rPr>
          <w:rFonts w:ascii="Times New Roman" w:hAnsi="Times New Roman" w:eastAsia="仿宋_GB2312" w:cs="Times New Roman"/>
          <w:color w:val="000000" w:themeColor="text1"/>
          <w:sz w:val="32"/>
          <w:u w:val="none"/>
          <w:shd w:val="clear" w:color="auto" w:fill="FFFFFF"/>
          <w14:textFill>
            <w14:solidFill>
              <w14:schemeClr w14:val="tx1"/>
            </w14:solidFill>
          </w14:textFill>
        </w:rPr>
        <w:t>年预算持平</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，计划接待</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批</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s="仿宋_GB2312"/>
          <w:color w:val="000000" w:themeColor="text1"/>
          <w:sz w:val="32"/>
          <w:szCs w:val="32"/>
          <w:u w:val="none"/>
          <w14:textFill>
            <w14:solidFill>
              <w14:schemeClr w14:val="tx1"/>
            </w14:solidFill>
          </w14:textFill>
        </w:rPr>
        <w:t>人</w:t>
      </w:r>
      <w:r>
        <w:rPr>
          <w:rFonts w:hint="eastAsia" w:ascii="Times New Roman" w:hAnsi="Times New Roman" w:eastAsia="仿宋_GB2312" w:cs="Times New Roman"/>
          <w:color w:val="000000" w:themeColor="text1"/>
          <w:sz w:val="32"/>
          <w:u w:val="none"/>
          <w:shd w:val="clear" w:color="auto" w:fill="FFFFFF"/>
          <w14:textFill>
            <w14:solidFill>
              <w14:schemeClr w14:val="tx1"/>
            </w14:solidFill>
          </w14:textFill>
        </w:rPr>
        <w:t>。</w:t>
      </w:r>
    </w:p>
    <w:p>
      <w:pPr>
        <w:ind w:firstLine="640"/>
        <w:rPr>
          <w:rFonts w:hint="eastAsia" w:ascii="黑体" w:hAnsi="黑体" w:eastAsia="黑体"/>
          <w:sz w:val="32"/>
          <w:szCs w:val="32"/>
          <w:u w:val="none"/>
          <w:lang w:val="en-US" w:eastAsia="zh-CN"/>
        </w:rPr>
      </w:pPr>
      <w:r>
        <w:rPr>
          <w:rFonts w:hint="eastAsia" w:ascii="黑体" w:hAnsi="黑体" w:eastAsia="黑体"/>
          <w:sz w:val="32"/>
          <w:szCs w:val="32"/>
          <w:u w:val="none"/>
          <w:lang w:val="en-US" w:eastAsia="zh-CN"/>
        </w:rPr>
        <w:t>五、关于海南开放大学单位2024年政府性基金预算情况的说明</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（一）政府性基金预算当年规模变化情况</w:t>
      </w:r>
    </w:p>
    <w:p>
      <w:pPr>
        <w:ind w:firstLine="640" w:firstLineChars="200"/>
        <w:rPr>
          <w:rFonts w:ascii="仿宋_GB2312" w:hAnsi="黑体" w:eastAsia="仿宋_GB2312"/>
          <w:color w:val="000000" w:themeColor="text1"/>
          <w:sz w:val="32"/>
          <w:szCs w:val="32"/>
          <w:u w:val="none"/>
          <w14:textFill>
            <w14:solidFill>
              <w14:schemeClr w14:val="tx1"/>
            </w14:solidFill>
          </w14:textFill>
        </w:rPr>
      </w:pPr>
      <w:r>
        <w:rPr>
          <w:rFonts w:hint="eastAsia" w:ascii="仿宋_GB2312" w:hAnsi="黑体" w:eastAsia="仿宋_GB2312" w:cs="黑体"/>
          <w:color w:val="000000" w:themeColor="text1"/>
          <w:sz w:val="32"/>
          <w:szCs w:val="32"/>
          <w:lang w:eastAsia="zh-CN"/>
          <w14:textFill>
            <w14:solidFill>
              <w14:schemeClr w14:val="tx1"/>
            </w14:solidFill>
          </w14:textFill>
        </w:rPr>
        <w:t>海南开放大学</w:t>
      </w:r>
      <w:r>
        <w:rPr>
          <w:rFonts w:hint="eastAsia" w:ascii="仿宋_GB2312" w:hAnsi="黑体" w:eastAsia="仿宋_GB2312" w:cs="黑体"/>
          <w:color w:val="000000" w:themeColor="text1"/>
          <w:sz w:val="32"/>
          <w:szCs w:val="32"/>
          <w14:textFill>
            <w14:solidFill>
              <w14:schemeClr w14:val="tx1"/>
            </w14:solidFill>
          </w14:textFill>
        </w:rPr>
        <w:t>单位</w:t>
      </w:r>
      <w:r>
        <w:rPr>
          <w:rFonts w:hint="eastAsia" w:ascii="仿宋_GB2312" w:hAnsi="黑体" w:eastAsia="仿宋_GB2312"/>
          <w:color w:val="000000" w:themeColor="text1"/>
          <w:sz w:val="32"/>
          <w:szCs w:val="32"/>
          <w:u w:val="none"/>
          <w:lang w:val="en-US" w:eastAsia="zh-CN"/>
          <w14:textFill>
            <w14:solidFill>
              <w14:schemeClr w14:val="tx1"/>
            </w14:solidFill>
          </w14:textFill>
        </w:rPr>
        <w:t>2024</w:t>
      </w:r>
      <w:r>
        <w:rPr>
          <w:rFonts w:hint="eastAsia" w:ascii="仿宋_GB2312" w:hAnsi="黑体" w:eastAsia="仿宋_GB2312"/>
          <w:color w:val="000000" w:themeColor="text1"/>
          <w:sz w:val="32"/>
          <w:szCs w:val="32"/>
          <w:u w:val="none"/>
          <w14:textFill>
            <w14:solidFill>
              <w14:schemeClr w14:val="tx1"/>
            </w14:solidFill>
          </w14:textFill>
        </w:rPr>
        <w:t>年</w:t>
      </w:r>
      <w:r>
        <w:rPr>
          <w:rFonts w:hint="eastAsia" w:ascii="仿宋_GB2312" w:hAnsi="黑体" w:eastAsia="仿宋_GB2312"/>
          <w:color w:val="000000" w:themeColor="text1"/>
          <w:sz w:val="32"/>
          <w:szCs w:val="32"/>
          <w:u w:val="none"/>
          <w:lang w:eastAsia="zh-CN"/>
          <w14:textFill>
            <w14:solidFill>
              <w14:schemeClr w14:val="tx1"/>
            </w14:solidFill>
          </w14:textFill>
        </w:rPr>
        <w:t>无</w:t>
      </w:r>
      <w:r>
        <w:rPr>
          <w:rFonts w:hint="eastAsia" w:ascii="仿宋_GB2312" w:hAnsi="黑体" w:eastAsia="仿宋_GB2312"/>
          <w:color w:val="000000" w:themeColor="text1"/>
          <w:sz w:val="32"/>
          <w:szCs w:val="32"/>
          <w:u w:val="none"/>
          <w14:textFill>
            <w14:solidFill>
              <w14:schemeClr w14:val="tx1"/>
            </w14:solidFill>
          </w14:textFill>
        </w:rPr>
        <w:t>政府性基金预算当年拨款</w:t>
      </w:r>
      <w:r>
        <w:rPr>
          <w:rFonts w:hint="eastAsia" w:ascii="仿宋_GB2312" w:hAnsi="黑体" w:eastAsia="仿宋_GB2312" w:cs="仿宋_GB2312"/>
          <w:color w:val="000000" w:themeColor="text1"/>
          <w:sz w:val="32"/>
          <w:szCs w:val="32"/>
          <w:u w:val="none"/>
          <w:lang w:eastAsia="zh-CN"/>
          <w14:textFill>
            <w14:solidFill>
              <w14:schemeClr w14:val="tx1"/>
            </w14:solidFill>
          </w14:textFill>
        </w:rPr>
        <w:t>0</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与上年持平。</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（二）政府性基金预算当年拨款结构情况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cs="仿宋_GB2312"/>
          <w:color w:val="000000" w:themeColor="text1"/>
          <w:sz w:val="32"/>
          <w:szCs w:val="32"/>
          <w14:textFill>
            <w14:solidFill>
              <w14:schemeClr w14:val="tx1"/>
            </w14:solidFill>
          </w14:textFill>
        </w:rPr>
      </w:pPr>
      <w:r>
        <w:rPr>
          <w:rFonts w:hint="eastAsia" w:ascii="仿宋_GB2312" w:hAnsi="黑体" w:eastAsia="仿宋_GB2312" w:cs="仿宋_GB2312"/>
          <w:color w:val="000000" w:themeColor="text1"/>
          <w:sz w:val="32"/>
          <w:szCs w:val="32"/>
          <w:lang w:eastAsia="zh-CN"/>
          <w14:textFill>
            <w14:solidFill>
              <w14:schemeClr w14:val="tx1"/>
            </w14:solidFill>
          </w14:textFill>
        </w:rPr>
        <w:t>海南开放大学</w:t>
      </w:r>
      <w:r>
        <w:rPr>
          <w:rFonts w:hint="eastAsia" w:ascii="仿宋_GB2312" w:hAnsi="黑体" w:eastAsia="仿宋_GB2312" w:cs="仿宋_GB2312"/>
          <w:color w:val="000000" w:themeColor="text1"/>
          <w:sz w:val="32"/>
          <w:szCs w:val="32"/>
          <w14:textFill>
            <w14:solidFill>
              <w14:schemeClr w14:val="tx1"/>
            </w14:solidFill>
          </w14:textFill>
        </w:rPr>
        <w:t>单位202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ind w:firstLine="64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（三）政府性基金预算当年拨款具体使用情况</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宋体" w:cs="Times New Roman"/>
          <w:sz w:val="30"/>
          <w:szCs w:val="30"/>
        </w:rPr>
      </w:pPr>
      <w:r>
        <w:rPr>
          <w:rFonts w:hint="eastAsia" w:ascii="仿宋_GB2312" w:hAnsi="黑体" w:eastAsia="仿宋_GB2312" w:cs="仿宋_GB2312"/>
          <w:color w:val="000000" w:themeColor="text1"/>
          <w:sz w:val="32"/>
          <w:szCs w:val="32"/>
          <w:lang w:eastAsia="zh-CN"/>
          <w14:textFill>
            <w14:solidFill>
              <w14:schemeClr w14:val="tx1"/>
            </w14:solidFill>
          </w14:textFill>
        </w:rPr>
        <w:t>海南开放大学</w:t>
      </w:r>
      <w:r>
        <w:rPr>
          <w:rFonts w:hint="eastAsia" w:ascii="仿宋_GB2312" w:hAnsi="黑体" w:eastAsia="仿宋_GB2312" w:cs="仿宋_GB2312"/>
          <w:color w:val="000000" w:themeColor="text1"/>
          <w:sz w:val="32"/>
          <w:szCs w:val="32"/>
          <w14:textFill>
            <w14:solidFill>
              <w14:schemeClr w14:val="tx1"/>
            </w14:solidFill>
          </w14:textFill>
        </w:rPr>
        <w:t>单位202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14:textFill>
            <w14:solidFill>
              <w14:schemeClr w14:val="tx1"/>
            </w14:solidFill>
          </w14:textFill>
        </w:rPr>
        <w:t>年无政府性基金预算拨款。</w:t>
      </w:r>
    </w:p>
    <w:p>
      <w:pPr>
        <w:ind w:firstLine="640"/>
        <w:rPr>
          <w:rFonts w:hint="eastAsia" w:ascii="黑体" w:hAnsi="黑体" w:eastAsia="黑体"/>
          <w:sz w:val="32"/>
          <w:szCs w:val="32"/>
          <w:u w:val="none"/>
          <w:lang w:val="en-US" w:eastAsia="zh-CN"/>
        </w:rPr>
      </w:pPr>
      <w:r>
        <w:rPr>
          <w:rFonts w:hint="eastAsia" w:ascii="黑体" w:hAnsi="黑体" w:eastAsia="黑体"/>
          <w:sz w:val="32"/>
          <w:szCs w:val="32"/>
          <w:u w:val="none"/>
          <w:lang w:val="en-US" w:eastAsia="zh-CN"/>
        </w:rPr>
        <w:t>六、关于海南开放大学单位2024年收支预算情况的总体说明</w:t>
      </w:r>
    </w:p>
    <w:p>
      <w:pPr>
        <w:spacing w:line="600" w:lineRule="exact"/>
        <w:ind w:firstLine="640" w:firstLineChars="200"/>
        <w:rPr>
          <w:rFonts w:ascii="宋体" w:cs="Times New Roman"/>
          <w:sz w:val="30"/>
          <w:szCs w:val="30"/>
        </w:rPr>
      </w:pPr>
      <w:r>
        <w:rPr>
          <w:rFonts w:hint="eastAsia" w:ascii="仿宋_GB2312" w:hAnsi="黑体" w:eastAsia="仿宋_GB2312" w:cs="仿宋_GB2312"/>
          <w:color w:val="000000" w:themeColor="text1"/>
          <w:sz w:val="32"/>
          <w:szCs w:val="32"/>
          <w:lang w:eastAsia="zh-CN"/>
          <w14:textFill>
            <w14:solidFill>
              <w14:schemeClr w14:val="tx1"/>
            </w14:solidFill>
          </w14:textFill>
        </w:rPr>
        <w:t>按照综合预算原则，海南开放大学所有收入和支出均纳入部门预算管理。收入包括：一般公共预算拨款收入，财政专户管理资金收入，其他收入；支出包括：教育支出、科学技术支出、社会保障和就业支出、卫生健康支出、农林水支出、住房保障支出。海南开放大学单位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lang w:eastAsia="zh-CN"/>
          <w14:textFill>
            <w14:solidFill>
              <w14:schemeClr w14:val="tx1"/>
            </w14:solidFill>
          </w14:textFill>
        </w:rPr>
        <w:t>年收支总预算</w:t>
      </w:r>
      <w:r>
        <w:rPr>
          <w:rFonts w:hint="eastAsia" w:ascii="仿宋_GB2312" w:hAnsi="黑体" w:eastAsia="仿宋_GB2312" w:cs="仿宋_GB2312"/>
          <w:color w:val="000000" w:themeColor="text1"/>
          <w:sz w:val="32"/>
          <w:szCs w:val="32"/>
          <w:lang w:val="en-US" w:eastAsia="zh-CN"/>
          <w14:textFill>
            <w14:solidFill>
              <w14:schemeClr w14:val="tx1"/>
            </w14:solidFill>
          </w14:textFill>
        </w:rPr>
        <w:t>13740.02</w:t>
      </w:r>
      <w:r>
        <w:rPr>
          <w:rFonts w:hint="eastAsia" w:ascii="仿宋_GB2312" w:hAnsi="黑体" w:eastAsia="仿宋_GB2312" w:cs="仿宋_GB2312"/>
          <w:color w:val="000000" w:themeColor="text1"/>
          <w:sz w:val="32"/>
          <w:szCs w:val="32"/>
          <w:lang w:eastAsia="zh-CN"/>
          <w14:textFill>
            <w14:solidFill>
              <w14:schemeClr w14:val="tx1"/>
            </w14:solidFill>
          </w14:textFill>
        </w:rPr>
        <w:t>万元。</w:t>
      </w:r>
    </w:p>
    <w:p>
      <w:pPr>
        <w:ind w:firstLine="640"/>
        <w:rPr>
          <w:rFonts w:hint="eastAsia" w:ascii="黑体" w:hAnsi="黑体" w:eastAsia="黑体"/>
          <w:sz w:val="32"/>
          <w:szCs w:val="32"/>
          <w:u w:val="none"/>
          <w:lang w:val="en-US" w:eastAsia="zh-CN"/>
        </w:rPr>
      </w:pPr>
      <w:r>
        <w:rPr>
          <w:rFonts w:hint="eastAsia" w:ascii="黑体" w:hAnsi="黑体" w:eastAsia="黑体"/>
          <w:sz w:val="32"/>
          <w:szCs w:val="32"/>
          <w:u w:val="none"/>
          <w:lang w:val="en-US" w:eastAsia="zh-CN"/>
        </w:rPr>
        <w:t>七、关于海南开放大学单位2024年收入预算情况说明</w:t>
      </w:r>
    </w:p>
    <w:p>
      <w:pPr>
        <w:spacing w:line="600" w:lineRule="exact"/>
        <w:ind w:firstLine="640" w:firstLineChars="200"/>
        <w:rPr>
          <w:rFonts w:ascii="宋体" w:cs="Times New Roman"/>
          <w:sz w:val="30"/>
          <w:szCs w:val="30"/>
        </w:rPr>
      </w:pPr>
      <w:r>
        <w:rPr>
          <w:rFonts w:hint="eastAsia" w:ascii="仿宋_GB2312" w:hAnsi="黑体" w:eastAsia="仿宋_GB2312" w:cs="仿宋_GB2312"/>
          <w:color w:val="000000" w:themeColor="text1"/>
          <w:sz w:val="32"/>
          <w:szCs w:val="32"/>
          <w:lang w:eastAsia="zh-CN"/>
          <w14:textFill>
            <w14:solidFill>
              <w14:schemeClr w14:val="tx1"/>
            </w14:solidFill>
          </w14:textFill>
        </w:rPr>
        <w:t>海南开放大学单位202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lang w:eastAsia="zh-CN"/>
          <w14:textFill>
            <w14:solidFill>
              <w14:schemeClr w14:val="tx1"/>
            </w14:solidFill>
          </w14:textFill>
        </w:rPr>
        <w:t>年收入预算</w:t>
      </w:r>
      <w:r>
        <w:rPr>
          <w:rFonts w:hint="eastAsia" w:ascii="仿宋_GB2312" w:hAnsi="黑体" w:eastAsia="仿宋_GB2312" w:cs="仿宋_GB2312"/>
          <w:color w:val="000000" w:themeColor="text1"/>
          <w:sz w:val="32"/>
          <w:szCs w:val="32"/>
          <w:lang w:val="en-US" w:eastAsia="zh-CN"/>
          <w14:textFill>
            <w14:solidFill>
              <w14:schemeClr w14:val="tx1"/>
            </w14:solidFill>
          </w14:textFill>
        </w:rPr>
        <w:t>13740.02</w:t>
      </w:r>
      <w:r>
        <w:rPr>
          <w:rFonts w:hint="eastAsia" w:ascii="仿宋_GB2312" w:hAnsi="黑体" w:eastAsia="仿宋_GB2312" w:cs="仿宋_GB2312"/>
          <w:color w:val="000000" w:themeColor="text1"/>
          <w:sz w:val="32"/>
          <w:szCs w:val="32"/>
          <w:lang w:eastAsia="zh-CN"/>
          <w14:textFill>
            <w14:solidFill>
              <w14:schemeClr w14:val="tx1"/>
            </w14:solidFill>
          </w14:textFill>
        </w:rPr>
        <w:t>万元，其中：上年结转</w:t>
      </w:r>
      <w:r>
        <w:rPr>
          <w:rFonts w:hint="eastAsia" w:ascii="仿宋_GB2312" w:hAnsi="黑体" w:eastAsia="仿宋_GB2312" w:cs="仿宋_GB2312"/>
          <w:color w:val="000000" w:themeColor="text1"/>
          <w:sz w:val="32"/>
          <w:szCs w:val="32"/>
          <w:lang w:val="en-US" w:eastAsia="zh-CN"/>
          <w14:textFill>
            <w14:solidFill>
              <w14:schemeClr w14:val="tx1"/>
            </w14:solidFill>
          </w14:textFill>
        </w:rPr>
        <w:t>3003.06</w:t>
      </w:r>
      <w:r>
        <w:rPr>
          <w:rFonts w:hint="eastAsia" w:ascii="仿宋_GB2312" w:hAnsi="黑体" w:eastAsia="仿宋_GB2312" w:cs="仿宋_GB2312"/>
          <w:color w:val="000000" w:themeColor="text1"/>
          <w:sz w:val="32"/>
          <w:szCs w:val="32"/>
          <w:lang w:eastAsia="zh-CN"/>
          <w14:textFill>
            <w14:solidFill>
              <w14:schemeClr w14:val="tx1"/>
            </w14:solidFill>
          </w14:textFill>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21.85</w:t>
      </w:r>
      <w:r>
        <w:rPr>
          <w:rFonts w:hint="eastAsia" w:ascii="仿宋_GB2312" w:hAnsi="黑体" w:eastAsia="仿宋_GB2312" w:cs="仿宋_GB2312"/>
          <w:color w:val="000000" w:themeColor="text1"/>
          <w:sz w:val="32"/>
          <w:szCs w:val="32"/>
          <w:lang w:eastAsia="zh-CN"/>
          <w14:textFill>
            <w14:solidFill>
              <w14:schemeClr w14:val="tx1"/>
            </w14:solidFill>
          </w14:textFill>
        </w:rPr>
        <w:t>%；一般公共预算拨款收入</w:t>
      </w:r>
      <w:r>
        <w:rPr>
          <w:rFonts w:hint="eastAsia" w:ascii="仿宋_GB2312" w:hAnsi="黑体" w:eastAsia="仿宋_GB2312" w:cs="仿宋_GB2312"/>
          <w:color w:val="000000" w:themeColor="text1"/>
          <w:sz w:val="32"/>
          <w:szCs w:val="32"/>
          <w:lang w:val="en-US" w:eastAsia="zh-CN"/>
          <w14:textFill>
            <w14:solidFill>
              <w14:schemeClr w14:val="tx1"/>
            </w14:solidFill>
          </w14:textFill>
        </w:rPr>
        <w:t>7360.71</w:t>
      </w:r>
      <w:r>
        <w:rPr>
          <w:rFonts w:hint="eastAsia" w:ascii="仿宋_GB2312" w:hAnsi="黑体" w:eastAsia="仿宋_GB2312" w:cs="仿宋_GB2312"/>
          <w:color w:val="000000" w:themeColor="text1"/>
          <w:sz w:val="32"/>
          <w:szCs w:val="32"/>
          <w:lang w:eastAsia="zh-CN"/>
          <w14:textFill>
            <w14:solidFill>
              <w14:schemeClr w14:val="tx1"/>
            </w14:solidFill>
          </w14:textFill>
        </w:rPr>
        <w:t>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53.57</w:t>
      </w:r>
      <w:r>
        <w:rPr>
          <w:rFonts w:hint="eastAsia" w:ascii="仿宋_GB2312" w:hAnsi="黑体" w:eastAsia="仿宋_GB2312" w:cs="仿宋_GB2312"/>
          <w:color w:val="000000" w:themeColor="text1"/>
          <w:sz w:val="32"/>
          <w:szCs w:val="32"/>
          <w:lang w:eastAsia="zh-CN"/>
          <w14:textFill>
            <w14:solidFill>
              <w14:schemeClr w14:val="tx1"/>
            </w14:solidFill>
          </w14:textFill>
        </w:rPr>
        <w:t>%；财政专户管理资金收入</w:t>
      </w:r>
      <w:r>
        <w:rPr>
          <w:rFonts w:hint="eastAsia" w:ascii="仿宋_GB2312" w:hAnsi="黑体" w:eastAsia="仿宋_GB2312" w:cs="仿宋_GB2312"/>
          <w:color w:val="000000" w:themeColor="text1"/>
          <w:sz w:val="32"/>
          <w:szCs w:val="32"/>
          <w:lang w:val="en-US" w:eastAsia="zh-CN"/>
          <w14:textFill>
            <w14:solidFill>
              <w14:schemeClr w14:val="tx1"/>
            </w14:solidFill>
          </w14:textFill>
        </w:rPr>
        <w:t>28</w:t>
      </w:r>
      <w:r>
        <w:rPr>
          <w:rFonts w:hint="eastAsia" w:ascii="仿宋_GB2312" w:hAnsi="黑体" w:eastAsia="仿宋_GB2312" w:cs="仿宋_GB2312"/>
          <w:color w:val="000000" w:themeColor="text1"/>
          <w:sz w:val="32"/>
          <w:szCs w:val="32"/>
          <w:lang w:eastAsia="zh-CN"/>
          <w14:textFill>
            <w14:solidFill>
              <w14:schemeClr w14:val="tx1"/>
            </w14:solidFill>
          </w14:textFill>
        </w:rPr>
        <w:t>00万元，占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20.38</w:t>
      </w:r>
      <w:r>
        <w:rPr>
          <w:rFonts w:hint="eastAsia" w:ascii="仿宋_GB2312" w:hAnsi="黑体" w:eastAsia="仿宋_GB2312" w:cs="仿宋_GB2312"/>
          <w:color w:val="000000" w:themeColor="text1"/>
          <w:sz w:val="32"/>
          <w:szCs w:val="32"/>
          <w:lang w:eastAsia="zh-CN"/>
          <w14:textFill>
            <w14:solidFill>
              <w14:schemeClr w14:val="tx1"/>
            </w14:solidFill>
          </w14:textFill>
        </w:rPr>
        <w:t>%。其他收入</w:t>
      </w:r>
      <w:r>
        <w:rPr>
          <w:rFonts w:hint="eastAsia" w:ascii="仿宋_GB2312" w:hAnsi="黑体" w:eastAsia="仿宋_GB2312" w:cs="仿宋_GB2312"/>
          <w:color w:val="000000" w:themeColor="text1"/>
          <w:sz w:val="32"/>
          <w:szCs w:val="32"/>
          <w:lang w:val="en-US" w:eastAsia="zh-CN"/>
          <w14:textFill>
            <w14:solidFill>
              <w14:schemeClr w14:val="tx1"/>
            </w14:solidFill>
          </w14:textFill>
        </w:rPr>
        <w:t>576.25万元，</w:t>
      </w:r>
      <w:r>
        <w:rPr>
          <w:rFonts w:hint="eastAsia" w:ascii="仿宋_GB2312" w:hAnsi="黑体" w:eastAsia="仿宋_GB2312" w:cs="仿宋_GB2312"/>
          <w:color w:val="000000" w:themeColor="text1"/>
          <w:sz w:val="32"/>
          <w:szCs w:val="32"/>
          <w:lang w:eastAsia="zh-CN"/>
          <w14:textFill>
            <w14:solidFill>
              <w14:schemeClr w14:val="tx1"/>
            </w14:solidFill>
          </w14:textFill>
        </w:rPr>
        <w:t>占</w:t>
      </w:r>
      <w:r>
        <w:rPr>
          <w:rFonts w:hint="eastAsia" w:ascii="仿宋_GB2312" w:hAnsi="黑体" w:eastAsia="仿宋_GB2312" w:cs="仿宋_GB2312"/>
          <w:color w:val="000000" w:themeColor="text1"/>
          <w:sz w:val="32"/>
          <w:szCs w:val="32"/>
          <w:lang w:val="en-US" w:eastAsia="zh-CN"/>
          <w14:textFill>
            <w14:solidFill>
              <w14:schemeClr w14:val="tx1"/>
            </w14:solidFill>
          </w14:textFill>
        </w:rPr>
        <w:t>4.2</w:t>
      </w:r>
      <w:r>
        <w:rPr>
          <w:rFonts w:hint="eastAsia" w:ascii="仿宋_GB2312" w:hAnsi="黑体" w:eastAsia="仿宋_GB2312" w:cs="仿宋_GB2312"/>
          <w:color w:val="000000" w:themeColor="text1"/>
          <w:sz w:val="32"/>
          <w:szCs w:val="32"/>
          <w:lang w:eastAsia="zh-CN"/>
          <w14:textFill>
            <w14:solidFill>
              <w14:schemeClr w14:val="tx1"/>
            </w14:solidFill>
          </w14:textFill>
        </w:rPr>
        <w:t>%。</w:t>
      </w:r>
    </w:p>
    <w:p>
      <w:pPr>
        <w:ind w:firstLine="640"/>
        <w:rPr>
          <w:rFonts w:hint="eastAsia" w:ascii="黑体" w:hAnsi="黑体" w:eastAsia="黑体"/>
          <w:sz w:val="32"/>
          <w:szCs w:val="32"/>
          <w:u w:val="none"/>
          <w:lang w:val="en-US" w:eastAsia="zh-CN"/>
        </w:rPr>
      </w:pPr>
      <w:r>
        <w:rPr>
          <w:rFonts w:hint="eastAsia" w:ascii="黑体" w:hAnsi="黑体" w:eastAsia="黑体"/>
          <w:sz w:val="32"/>
          <w:szCs w:val="32"/>
          <w:u w:val="none"/>
          <w:lang w:val="en-US" w:eastAsia="zh-CN"/>
        </w:rPr>
        <w:t>八、关于海南开放大学单位2024年支出预算情况说明</w:t>
      </w:r>
    </w:p>
    <w:p>
      <w:pPr>
        <w:spacing w:line="600" w:lineRule="exact"/>
        <w:ind w:firstLine="640" w:firstLineChars="200"/>
        <w:rPr>
          <w:rFonts w:hint="eastAsia" w:ascii="仿宋_GB2312" w:hAnsi="黑体" w:eastAsia="仿宋_GB2312" w:cs="仿宋_GB2312"/>
          <w:color w:val="000000" w:themeColor="text1"/>
          <w:sz w:val="32"/>
          <w:szCs w:val="32"/>
          <w:lang w:eastAsia="zh-CN"/>
          <w14:textFill>
            <w14:solidFill>
              <w14:schemeClr w14:val="tx1"/>
            </w14:solidFill>
          </w14:textFill>
        </w:rPr>
      </w:pPr>
      <w:r>
        <w:rPr>
          <w:rFonts w:hint="eastAsia" w:ascii="仿宋_GB2312" w:hAnsi="黑体" w:eastAsia="仿宋_GB2312" w:cs="仿宋_GB2312"/>
          <w:color w:val="000000" w:themeColor="text1"/>
          <w:sz w:val="32"/>
          <w:szCs w:val="32"/>
          <w:lang w:eastAsia="zh-CN"/>
          <w14:textFill>
            <w14:solidFill>
              <w14:schemeClr w14:val="tx1"/>
            </w14:solidFill>
          </w14:textFill>
        </w:rPr>
        <w:t>海南开放大学单位202</w:t>
      </w:r>
      <w:r>
        <w:rPr>
          <w:rFonts w:hint="eastAsia" w:ascii="仿宋_GB2312" w:hAnsi="黑体" w:eastAsia="仿宋_GB2312" w:cs="仿宋_GB2312"/>
          <w:color w:val="000000" w:themeColor="text1"/>
          <w:sz w:val="32"/>
          <w:szCs w:val="32"/>
          <w:lang w:val="en-US" w:eastAsia="zh-CN"/>
          <w14:textFill>
            <w14:solidFill>
              <w14:schemeClr w14:val="tx1"/>
            </w14:solidFill>
          </w14:textFill>
        </w:rPr>
        <w:t>4</w:t>
      </w:r>
      <w:r>
        <w:rPr>
          <w:rFonts w:hint="eastAsia" w:ascii="仿宋_GB2312" w:hAnsi="黑体" w:eastAsia="仿宋_GB2312" w:cs="仿宋_GB2312"/>
          <w:color w:val="000000" w:themeColor="text1"/>
          <w:sz w:val="32"/>
          <w:szCs w:val="32"/>
          <w:lang w:eastAsia="zh-CN"/>
          <w14:textFill>
            <w14:solidFill>
              <w14:schemeClr w14:val="tx1"/>
            </w14:solidFill>
          </w14:textFill>
        </w:rPr>
        <w:t xml:space="preserve">年支出预算 </w:t>
      </w:r>
      <w:r>
        <w:rPr>
          <w:rFonts w:hint="eastAsia" w:ascii="仿宋_GB2312" w:hAnsi="黑体" w:eastAsia="仿宋_GB2312" w:cs="仿宋_GB2312"/>
          <w:color w:val="000000" w:themeColor="text1"/>
          <w:sz w:val="32"/>
          <w:szCs w:val="32"/>
          <w:lang w:val="en-US" w:eastAsia="zh-CN"/>
          <w14:textFill>
            <w14:solidFill>
              <w14:schemeClr w14:val="tx1"/>
            </w14:solidFill>
          </w14:textFill>
        </w:rPr>
        <w:t>13740.02</w:t>
      </w:r>
      <w:r>
        <w:rPr>
          <w:rFonts w:hint="eastAsia" w:ascii="仿宋_GB2312" w:hAnsi="黑体" w:eastAsia="仿宋_GB2312" w:cs="仿宋_GB2312"/>
          <w:color w:val="000000" w:themeColor="text1"/>
          <w:sz w:val="32"/>
          <w:szCs w:val="32"/>
          <w:lang w:eastAsia="zh-CN"/>
          <w14:textFill>
            <w14:solidFill>
              <w14:schemeClr w14:val="tx1"/>
            </w14:solidFill>
          </w14:textFill>
        </w:rPr>
        <w:t>万元，其中基本支出</w:t>
      </w:r>
      <w:r>
        <w:rPr>
          <w:rFonts w:hint="eastAsia" w:ascii="仿宋_GB2312" w:hAnsi="黑体" w:eastAsia="仿宋_GB2312" w:cs="仿宋_GB2312"/>
          <w:color w:val="000000" w:themeColor="text1"/>
          <w:sz w:val="32"/>
          <w:szCs w:val="32"/>
          <w:lang w:val="en-US" w:eastAsia="zh-CN"/>
          <w14:textFill>
            <w14:solidFill>
              <w14:schemeClr w14:val="tx1"/>
            </w14:solidFill>
          </w14:textFill>
        </w:rPr>
        <w:t>9889.55</w:t>
      </w:r>
      <w:r>
        <w:rPr>
          <w:rFonts w:hint="eastAsia" w:ascii="仿宋_GB2312" w:hAnsi="黑体" w:eastAsia="仿宋_GB2312" w:cs="仿宋_GB2312"/>
          <w:color w:val="000000" w:themeColor="text1"/>
          <w:sz w:val="32"/>
          <w:szCs w:val="32"/>
          <w:lang w:eastAsia="zh-CN"/>
          <w14:textFill>
            <w14:solidFill>
              <w14:schemeClr w14:val="tx1"/>
            </w14:solidFill>
          </w14:textFill>
        </w:rPr>
        <w:t>万元，占比</w:t>
      </w:r>
      <w:r>
        <w:rPr>
          <w:rFonts w:hint="eastAsia" w:ascii="仿宋_GB2312" w:hAnsi="黑体" w:eastAsia="仿宋_GB2312" w:cs="仿宋_GB2312"/>
          <w:color w:val="000000" w:themeColor="text1"/>
          <w:sz w:val="32"/>
          <w:szCs w:val="32"/>
          <w:lang w:val="en-US" w:eastAsia="zh-CN"/>
          <w14:textFill>
            <w14:solidFill>
              <w14:schemeClr w14:val="tx1"/>
            </w14:solidFill>
          </w14:textFill>
        </w:rPr>
        <w:t>71.98</w:t>
      </w:r>
      <w:r>
        <w:rPr>
          <w:rFonts w:hint="eastAsia" w:ascii="仿宋_GB2312" w:hAnsi="黑体" w:eastAsia="仿宋_GB2312" w:cs="仿宋_GB2312"/>
          <w:color w:val="000000" w:themeColor="text1"/>
          <w:sz w:val="32"/>
          <w:szCs w:val="32"/>
          <w:lang w:eastAsia="zh-CN"/>
          <w14:textFill>
            <w14:solidFill>
              <w14:schemeClr w14:val="tx1"/>
            </w14:solidFill>
          </w14:textFill>
        </w:rPr>
        <w:t>%；项目支出</w:t>
      </w:r>
      <w:r>
        <w:rPr>
          <w:rFonts w:hint="eastAsia" w:ascii="仿宋_GB2312" w:hAnsi="黑体" w:eastAsia="仿宋_GB2312" w:cs="仿宋_GB2312"/>
          <w:color w:val="000000" w:themeColor="text1"/>
          <w:sz w:val="32"/>
          <w:szCs w:val="32"/>
          <w:lang w:val="en-US" w:eastAsia="zh-CN"/>
          <w14:textFill>
            <w14:solidFill>
              <w14:schemeClr w14:val="tx1"/>
            </w14:solidFill>
          </w14:textFill>
        </w:rPr>
        <w:t>3850.47</w:t>
      </w:r>
      <w:r>
        <w:rPr>
          <w:rFonts w:hint="eastAsia" w:ascii="仿宋_GB2312" w:hAnsi="黑体" w:eastAsia="仿宋_GB2312" w:cs="仿宋_GB2312"/>
          <w:color w:val="000000" w:themeColor="text1"/>
          <w:sz w:val="32"/>
          <w:szCs w:val="32"/>
          <w:lang w:eastAsia="zh-CN"/>
          <w14:textFill>
            <w14:solidFill>
              <w14:schemeClr w14:val="tx1"/>
            </w14:solidFill>
          </w14:textFill>
        </w:rPr>
        <w:t>万元，占比</w:t>
      </w:r>
      <w:r>
        <w:rPr>
          <w:rFonts w:hint="eastAsia" w:ascii="仿宋_GB2312" w:hAnsi="黑体" w:eastAsia="仿宋_GB2312" w:cs="仿宋_GB2312"/>
          <w:color w:val="000000" w:themeColor="text1"/>
          <w:sz w:val="32"/>
          <w:szCs w:val="32"/>
          <w:lang w:val="en-US" w:eastAsia="zh-CN"/>
          <w14:textFill>
            <w14:solidFill>
              <w14:schemeClr w14:val="tx1"/>
            </w14:solidFill>
          </w14:textFill>
        </w:rPr>
        <w:t>28.02</w:t>
      </w:r>
      <w:r>
        <w:rPr>
          <w:rFonts w:hint="eastAsia" w:ascii="仿宋_GB2312" w:hAnsi="黑体" w:eastAsia="仿宋_GB2312" w:cs="仿宋_GB2312"/>
          <w:color w:val="000000" w:themeColor="text1"/>
          <w:sz w:val="32"/>
          <w:szCs w:val="32"/>
          <w:lang w:eastAsia="zh-CN"/>
          <w14:textFill>
            <w14:solidFill>
              <w14:schemeClr w14:val="tx1"/>
            </w14:solidFill>
          </w14:textFill>
        </w:rPr>
        <w:t>%。比上年预算</w:t>
      </w:r>
      <w:r>
        <w:rPr>
          <w:rFonts w:hint="eastAsia" w:ascii="仿宋_GB2312" w:hAnsi="黑体" w:eastAsia="仿宋_GB2312" w:cs="仿宋_GB2312"/>
          <w:color w:val="000000" w:themeColor="text1"/>
          <w:sz w:val="32"/>
          <w:szCs w:val="32"/>
          <w:lang w:val="en-US" w:eastAsia="zh-CN"/>
          <w14:textFill>
            <w14:solidFill>
              <w14:schemeClr w14:val="tx1"/>
            </w14:solidFill>
          </w14:textFill>
        </w:rPr>
        <w:t>数13380.19万元</w:t>
      </w:r>
      <w:r>
        <w:rPr>
          <w:rFonts w:hint="eastAsia" w:ascii="仿宋_GB2312" w:hAnsi="黑体" w:eastAsia="仿宋_GB2312" w:cs="仿宋_GB2312"/>
          <w:color w:val="000000" w:themeColor="text1"/>
          <w:sz w:val="32"/>
          <w:szCs w:val="32"/>
          <w:lang w:eastAsia="zh-CN"/>
          <w14:textFill>
            <w14:solidFill>
              <w14:schemeClr w14:val="tx1"/>
            </w14:solidFill>
          </w14:textFill>
        </w:rPr>
        <w:t>增加</w:t>
      </w:r>
      <w:r>
        <w:rPr>
          <w:rFonts w:hint="eastAsia" w:ascii="仿宋_GB2312" w:hAnsi="黑体" w:eastAsia="仿宋_GB2312" w:cs="仿宋_GB2312"/>
          <w:color w:val="000000" w:themeColor="text1"/>
          <w:sz w:val="32"/>
          <w:szCs w:val="32"/>
          <w:lang w:val="en-US" w:eastAsia="zh-CN"/>
          <w14:textFill>
            <w14:solidFill>
              <w14:schemeClr w14:val="tx1"/>
            </w14:solidFill>
          </w14:textFill>
        </w:rPr>
        <w:t>359.83</w:t>
      </w:r>
      <w:r>
        <w:rPr>
          <w:rFonts w:hint="eastAsia" w:ascii="仿宋_GB2312" w:hAnsi="黑体" w:eastAsia="仿宋_GB2312" w:cs="仿宋_GB2312"/>
          <w:color w:val="000000" w:themeColor="text1"/>
          <w:sz w:val="32"/>
          <w:szCs w:val="32"/>
          <w:lang w:eastAsia="zh-CN"/>
          <w14:textFill>
            <w14:solidFill>
              <w14:schemeClr w14:val="tx1"/>
            </w14:solidFill>
          </w14:textFill>
        </w:rPr>
        <w:t>万元，主要是基本支出增加。</w:t>
      </w:r>
    </w:p>
    <w:p>
      <w:pPr>
        <w:numPr>
          <w:ilvl w:val="0"/>
          <w:numId w:val="5"/>
        </w:numPr>
        <w:ind w:firstLine="640"/>
        <w:rPr>
          <w:rFonts w:hint="eastAsia" w:ascii="黑体" w:hAnsi="黑体" w:eastAsia="黑体"/>
          <w:sz w:val="32"/>
          <w:szCs w:val="32"/>
          <w:u w:val="none"/>
          <w:lang w:val="en-US" w:eastAsia="zh-CN"/>
        </w:rPr>
      </w:pPr>
      <w:r>
        <w:rPr>
          <w:rFonts w:hint="eastAsia" w:ascii="黑体" w:hAnsi="黑体" w:eastAsia="黑体"/>
          <w:sz w:val="32"/>
          <w:szCs w:val="32"/>
          <w:u w:val="none"/>
          <w:lang w:val="en-US" w:eastAsia="zh-CN"/>
        </w:rPr>
        <w:t>其他重要事项的情况说明</w:t>
      </w:r>
    </w:p>
    <w:p>
      <w:pPr>
        <w:ind w:firstLine="640" w:firstLineChars="200"/>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（一）机关运行经费</w:t>
      </w:r>
      <w:r>
        <w:rPr>
          <w:rFonts w:hint="eastAsia" w:ascii="楷体" w:hAnsi="楷体" w:eastAsia="楷体"/>
          <w:color w:val="000000" w:themeColor="text1"/>
          <w:sz w:val="32"/>
          <w:szCs w:val="32"/>
          <w:u w:val="none"/>
          <w:lang w:val="en-US" w:eastAsia="zh-CN"/>
          <w14:textFill>
            <w14:solidFill>
              <w14:schemeClr w14:val="tx1"/>
            </w14:solidFill>
          </w14:textFill>
        </w:rPr>
        <w:t>（</w:t>
      </w:r>
      <w:r>
        <w:rPr>
          <w:rFonts w:hint="eastAsia" w:ascii="楷体" w:hAnsi="楷体" w:eastAsia="楷体"/>
          <w:color w:val="000000" w:themeColor="text1"/>
          <w:sz w:val="32"/>
          <w:szCs w:val="32"/>
          <w:u w:val="none"/>
          <w14:textFill>
            <w14:solidFill>
              <w14:schemeClr w14:val="tx1"/>
            </w14:solidFill>
          </w14:textFill>
        </w:rPr>
        <w:t>行政单位</w:t>
      </w:r>
      <w:r>
        <w:rPr>
          <w:rFonts w:hint="eastAsia" w:ascii="楷体" w:hAnsi="楷体" w:eastAsia="楷体"/>
          <w:color w:val="000000" w:themeColor="text1"/>
          <w:sz w:val="32"/>
          <w:szCs w:val="32"/>
          <w:u w:val="none"/>
          <w:lang w:eastAsia="zh-CN"/>
          <w14:textFill>
            <w14:solidFill>
              <w14:schemeClr w14:val="tx1"/>
            </w14:solidFill>
          </w14:textFill>
        </w:rPr>
        <w:t>、</w:t>
      </w:r>
      <w:r>
        <w:rPr>
          <w:rFonts w:hint="eastAsia" w:ascii="楷体" w:hAnsi="楷体" w:eastAsia="楷体"/>
          <w:color w:val="000000" w:themeColor="text1"/>
          <w:sz w:val="32"/>
          <w:szCs w:val="32"/>
          <w:u w:val="none"/>
          <w14:textFill>
            <w14:solidFill>
              <w14:schemeClr w14:val="tx1"/>
            </w14:solidFill>
          </w14:textFill>
        </w:rPr>
        <w:t>参照公务员法管理的事业单位</w:t>
      </w:r>
      <w:r>
        <w:rPr>
          <w:rFonts w:hint="eastAsia" w:ascii="楷体" w:hAnsi="楷体" w:eastAsia="楷体"/>
          <w:color w:val="000000" w:themeColor="text1"/>
          <w:sz w:val="32"/>
          <w:szCs w:val="32"/>
          <w:u w:val="none"/>
          <w:lang w:eastAsia="zh-CN"/>
          <w14:textFill>
            <w14:solidFill>
              <w14:schemeClr w14:val="tx1"/>
            </w14:solidFill>
          </w14:textFill>
        </w:rPr>
        <w:t>需说明，其他单位不需要说明</w:t>
      </w:r>
      <w:r>
        <w:rPr>
          <w:rFonts w:hint="eastAsia" w:ascii="楷体" w:hAnsi="楷体" w:eastAsia="楷体"/>
          <w:color w:val="000000" w:themeColor="text1"/>
          <w:sz w:val="32"/>
          <w:szCs w:val="32"/>
          <w:u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sz w:val="32"/>
          <w:szCs w:val="32"/>
          <w:u w:val="none"/>
          <w:lang w:val="en-US" w:eastAsia="zh-CN"/>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无此项经费。</w:t>
      </w:r>
    </w:p>
    <w:p>
      <w:pPr>
        <w:ind w:firstLine="640" w:firstLineChars="200"/>
        <w:rPr>
          <w:rFonts w:hint="eastAsia"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w:t>
      </w:r>
      <w:r>
        <w:rPr>
          <w:rFonts w:hint="eastAsia" w:ascii="楷体" w:hAnsi="楷体" w:eastAsia="楷体"/>
          <w:color w:val="000000" w:themeColor="text1"/>
          <w:sz w:val="32"/>
          <w:szCs w:val="32"/>
          <w:u w:val="none"/>
          <w:lang w:eastAsia="zh-CN"/>
          <w14:textFill>
            <w14:solidFill>
              <w14:schemeClr w14:val="tx1"/>
            </w14:solidFill>
          </w14:textFill>
        </w:rPr>
        <w:t>二</w:t>
      </w:r>
      <w:r>
        <w:rPr>
          <w:rFonts w:hint="eastAsia" w:ascii="楷体" w:hAnsi="楷体" w:eastAsia="楷体"/>
          <w:color w:val="000000" w:themeColor="text1"/>
          <w:sz w:val="32"/>
          <w:szCs w:val="32"/>
          <w:u w:val="none"/>
          <w14:textFill>
            <w14:solidFill>
              <w14:schemeClr w14:val="tx1"/>
            </w14:solidFill>
          </w14:textFill>
        </w:rPr>
        <w:t>）政府采购情况</w:t>
      </w:r>
    </w:p>
    <w:p>
      <w:pPr>
        <w:spacing w:line="600" w:lineRule="exact"/>
        <w:ind w:firstLine="640" w:firstLineChars="200"/>
        <w:rPr>
          <w:rFonts w:hint="eastAsia" w:ascii="仿宋_GB2312" w:hAnsi="黑体" w:eastAsia="仿宋_GB2312" w:cs="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2024年海南开放大学政府采购预算1994.1万元，其中工程采购预算556万元；货物采购预算203万元；服务采购预算1235.1万元。</w:t>
      </w:r>
    </w:p>
    <w:p>
      <w:pPr>
        <w:ind w:firstLine="640" w:firstLineChars="200"/>
        <w:rPr>
          <w:rFonts w:ascii="宋体" w:cs="Times New Roman"/>
          <w:sz w:val="30"/>
          <w:szCs w:val="30"/>
        </w:rPr>
      </w:pPr>
      <w:r>
        <w:rPr>
          <w:rFonts w:hint="eastAsia" w:ascii="楷体" w:hAnsi="楷体" w:eastAsia="楷体"/>
          <w:color w:val="000000" w:themeColor="text1"/>
          <w:sz w:val="32"/>
          <w:szCs w:val="32"/>
          <w:u w:val="none"/>
          <w14:textFill>
            <w14:solidFill>
              <w14:schemeClr w14:val="tx1"/>
            </w14:solidFill>
          </w14:textFill>
        </w:rPr>
        <w:t>（</w:t>
      </w:r>
      <w:r>
        <w:rPr>
          <w:rFonts w:hint="eastAsia" w:ascii="楷体" w:hAnsi="楷体" w:eastAsia="楷体"/>
          <w:color w:val="000000" w:themeColor="text1"/>
          <w:sz w:val="32"/>
          <w:szCs w:val="32"/>
          <w:u w:val="none"/>
          <w:lang w:eastAsia="zh-CN"/>
          <w14:textFill>
            <w14:solidFill>
              <w14:schemeClr w14:val="tx1"/>
            </w14:solidFill>
          </w14:textFill>
        </w:rPr>
        <w:t>三</w:t>
      </w:r>
      <w:r>
        <w:rPr>
          <w:rFonts w:hint="eastAsia" w:ascii="楷体" w:hAnsi="楷体" w:eastAsia="楷体"/>
          <w:color w:val="000000" w:themeColor="text1"/>
          <w:sz w:val="32"/>
          <w:szCs w:val="32"/>
          <w:u w:val="none"/>
          <w14:textFill>
            <w14:solidFill>
              <w14:schemeClr w14:val="tx1"/>
            </w14:solidFill>
          </w14:textFill>
        </w:rPr>
        <w:t>）国有资产占有使用情况</w:t>
      </w:r>
    </w:p>
    <w:p>
      <w:pPr>
        <w:ind w:firstLine="640" w:firstLineChars="200"/>
        <w:rPr>
          <w:rFonts w:hint="eastAsia" w:ascii="宋体" w:hAnsi="宋体" w:eastAsia="宋体" w:cs="宋体"/>
          <w:sz w:val="30"/>
          <w:szCs w:val="30"/>
          <w:lang w:val="en-US" w:eastAsia="zh-CN"/>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截至2023年12月31日，海南开放大学单位实有车辆5辆，均为其他用车。单位价值100万元以上设备0台（套）</w:t>
      </w:r>
      <w:r>
        <w:rPr>
          <w:rFonts w:hint="eastAsia" w:ascii="宋体" w:hAnsi="宋体" w:cs="宋体"/>
          <w:sz w:val="30"/>
          <w:szCs w:val="30"/>
        </w:rPr>
        <w:t>。</w:t>
      </w:r>
    </w:p>
    <w:p>
      <w:pPr>
        <w:widowControl/>
        <w:ind w:firstLine="640" w:firstLineChars="200"/>
        <w:jc w:val="left"/>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w:t>
      </w:r>
      <w:r>
        <w:rPr>
          <w:rFonts w:hint="eastAsia" w:ascii="楷体" w:hAnsi="楷体" w:eastAsia="楷体"/>
          <w:color w:val="000000" w:themeColor="text1"/>
          <w:sz w:val="32"/>
          <w:szCs w:val="32"/>
          <w:u w:val="none"/>
          <w:lang w:eastAsia="zh-CN"/>
          <w14:textFill>
            <w14:solidFill>
              <w14:schemeClr w14:val="tx1"/>
            </w14:solidFill>
          </w14:textFill>
        </w:rPr>
        <w:t>四</w:t>
      </w:r>
      <w:r>
        <w:rPr>
          <w:rFonts w:hint="eastAsia" w:ascii="楷体" w:hAnsi="楷体" w:eastAsia="楷体"/>
          <w:color w:val="000000" w:themeColor="text1"/>
          <w:sz w:val="32"/>
          <w:szCs w:val="32"/>
          <w:u w:val="none"/>
          <w14:textFill>
            <w14:solidFill>
              <w14:schemeClr w14:val="tx1"/>
            </w14:solidFill>
          </w14:textFill>
        </w:rPr>
        <w:t>）</w:t>
      </w:r>
      <w:r>
        <w:rPr>
          <w:rFonts w:hint="eastAsia" w:ascii="楷体" w:hAnsi="楷体" w:eastAsia="楷体" w:cs="黑体"/>
          <w:i w:val="0"/>
          <w:caps w:val="0"/>
          <w:color w:val="000000" w:themeColor="text1"/>
          <w:spacing w:val="0"/>
          <w:kern w:val="2"/>
          <w:sz w:val="32"/>
          <w:szCs w:val="32"/>
          <w:lang w:val="en-US" w:eastAsia="zh-CN" w:bidi="ar"/>
          <w14:textFill>
            <w14:solidFill>
              <w14:schemeClr w14:val="tx1"/>
            </w14:solidFill>
          </w14:textFill>
        </w:rPr>
        <w:t>绩效目标设置及重点项目绩效目标说明</w:t>
      </w:r>
    </w:p>
    <w:p>
      <w:pPr>
        <w:ind w:firstLine="640" w:firstLineChars="200"/>
        <w:rPr>
          <w:rFonts w:hint="eastAsia" w:ascii="仿宋_GB2312" w:hAnsi="黑体"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2024年海南开放大学单位</w:t>
      </w:r>
      <w:r>
        <w:rPr>
          <w:rFonts w:hint="eastAsia" w:ascii="仿宋_GB2312" w:hAnsi="黑体" w:eastAsia="仿宋_GB2312" w:cs="仿宋_GB2312"/>
          <w:color w:val="000000" w:themeColor="text1"/>
          <w:sz w:val="32"/>
          <w:szCs w:val="32"/>
          <w:highlight w:val="none"/>
          <w:lang w:val="en-US" w:eastAsia="zh-CN"/>
          <w14:textFill>
            <w14:solidFill>
              <w14:schemeClr w14:val="tx1"/>
            </w14:solidFill>
          </w14:textFill>
        </w:rPr>
        <w:t>34个（含2023年结转的1个项目）项目实行绩效管理，项目实行绩效目标管理，涉及一般公共预算拨款收入7360.71万元、政府性基金预算拨款收入0万元、财政专户管理资金收入2800万元，其他收入576.25万元、上年结转3003.06万元。</w:t>
      </w:r>
    </w:p>
    <w:p>
      <w:pPr>
        <w:ind w:firstLine="640" w:firstLineChars="200"/>
        <w:rPr>
          <w:rFonts w:hint="eastAsia" w:ascii="仿宋_GB2312" w:hAnsi="黑体" w:eastAsia="仿宋_GB2312" w:cs="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 xml:space="preserve"> 其中，重点项目绩效情况：</w:t>
      </w:r>
      <w:bookmarkStart w:id="0" w:name="_GoBack"/>
      <w:bookmarkEnd w:id="0"/>
    </w:p>
    <w:p>
      <w:pPr>
        <w:ind w:firstLine="640" w:firstLineChars="200"/>
        <w:rPr>
          <w:rFonts w:hint="eastAsia" w:ascii="仿宋_GB2312" w:hAnsi="黑体" w:eastAsia="仿宋_GB2312" w:cs="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1.乡村振兴电视夜校项目，预算安排1102万元，主要用于海南省乡村振兴电视夜校工作经费，绩效目标是巩固脱贫攻坚战胜利成果，扎实推进脱贫致富和乡村振兴的有效衔接，帮助和指导人民群众发展乡村振兴。</w:t>
      </w:r>
    </w:p>
    <w:p>
      <w:pPr>
        <w:ind w:firstLine="640" w:firstLineChars="200"/>
        <w:rPr>
          <w:rFonts w:hint="eastAsia" w:ascii="仿宋_GB2312" w:hAnsi="黑体" w:eastAsia="仿宋_GB2312" w:cs="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2.学生事务补助项目，预算安排602.3万元，主要用于补助海南省农村基层干部和先进群众提升学历教育学费和农民工圆梦项目学费，绩效目标是根据琼组通【2020】14号文件，从2020年至2025年，有步骤地扩大对农村党员干部和农民群众的大专力学教育和中等职业学历教育招生规模，探索开展大学本科学历教育。</w:t>
      </w:r>
    </w:p>
    <w:p>
      <w:pPr>
        <w:ind w:firstLine="640" w:firstLineChars="200"/>
        <w:rPr>
          <w:rFonts w:hint="eastAsia" w:ascii="仿宋_GB2312" w:hAnsi="黑体" w:eastAsia="仿宋_GB2312" w:cs="仿宋_GB2312"/>
          <w:color w:val="000000" w:themeColor="text1"/>
          <w:sz w:val="32"/>
          <w:szCs w:val="32"/>
          <w:lang w:val="en-US" w:eastAsia="zh-CN"/>
          <w14:textFill>
            <w14:solidFill>
              <w14:schemeClr w14:val="tx1"/>
            </w14:solidFill>
          </w14:textFill>
        </w:rPr>
      </w:pPr>
      <w:r>
        <w:rPr>
          <w:rFonts w:hint="eastAsia" w:ascii="仿宋_GB2312" w:hAnsi="黑体" w:eastAsia="仿宋_GB2312" w:cs="仿宋_GB2312"/>
          <w:color w:val="000000" w:themeColor="text1"/>
          <w:sz w:val="32"/>
          <w:szCs w:val="32"/>
          <w:lang w:val="en-US" w:eastAsia="zh-CN"/>
          <w14:textFill>
            <w14:solidFill>
              <w14:schemeClr w14:val="tx1"/>
            </w14:solidFill>
          </w14:textFill>
        </w:rPr>
        <w:t>3.信息系统运行维护项目，预算安排477.1万元，主要用于维护我校目前在用的各信息系统正常运转所需费用，绩效目标是确保已基本建设完成的学校各项教学业务及省远程教育网络深入开展基层党员教育工作，避免财政投入不足出现管理不到位现象，有必要每年安排相应的运行维护项目。信息系统运维工作对于提升海南开放大学信息化建设、教学网络现代化水平具有重要的意义，助力我省经济、文化，社会各项事业的发展。</w:t>
      </w:r>
    </w:p>
    <w:p>
      <w:pPr>
        <w:ind w:firstLine="600" w:firstLineChars="200"/>
        <w:rPr>
          <w:rFonts w:ascii="宋体" w:cs="Times New Roman"/>
          <w:sz w:val="30"/>
          <w:szCs w:val="30"/>
        </w:rPr>
      </w:pPr>
    </w:p>
    <w:p>
      <w:pPr>
        <w:ind w:firstLine="600" w:firstLineChars="200"/>
        <w:rPr>
          <w:rFonts w:ascii="宋体" w:cs="Times New Roman"/>
          <w:sz w:val="30"/>
          <w:szCs w:val="30"/>
        </w:rPr>
      </w:pPr>
    </w:p>
    <w:p>
      <w:pPr>
        <w:ind w:firstLine="600" w:firstLineChars="200"/>
        <w:rPr>
          <w:rFonts w:ascii="宋体" w:cs="Times New Roman"/>
          <w:sz w:val="30"/>
          <w:szCs w:val="30"/>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p>
      <w:pPr>
        <w:ind w:firstLine="600" w:firstLineChars="200"/>
        <w:jc w:val="left"/>
        <w:rPr>
          <w:rFonts w:ascii="宋体" w:cs="Times New Roman"/>
          <w:color w:val="000000"/>
          <w:kern w:val="0"/>
          <w:sz w:val="30"/>
          <w:szCs w:val="30"/>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5F2330"/>
    <w:multiLevelType w:val="singleLevel"/>
    <w:tmpl w:val="EF5F2330"/>
    <w:lvl w:ilvl="0" w:tentative="0">
      <w:start w:val="9"/>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b w:val="0"/>
        <w:bCs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mZWM5NjczMTJhNTM3NWU0ZWZkODMyNDc0YzM4NmEifQ=="/>
  </w:docVars>
  <w:rsids>
    <w:rsidRoot w:val="00234A83"/>
    <w:rsid w:val="000161BD"/>
    <w:rsid w:val="00022918"/>
    <w:rsid w:val="00023364"/>
    <w:rsid w:val="00027381"/>
    <w:rsid w:val="00033142"/>
    <w:rsid w:val="000464BD"/>
    <w:rsid w:val="00093463"/>
    <w:rsid w:val="000A787F"/>
    <w:rsid w:val="000D3C57"/>
    <w:rsid w:val="000D6B0B"/>
    <w:rsid w:val="00136C49"/>
    <w:rsid w:val="00160162"/>
    <w:rsid w:val="0017159A"/>
    <w:rsid w:val="001A3397"/>
    <w:rsid w:val="001A71B3"/>
    <w:rsid w:val="002024EE"/>
    <w:rsid w:val="00205819"/>
    <w:rsid w:val="00233664"/>
    <w:rsid w:val="00234A83"/>
    <w:rsid w:val="00250BF8"/>
    <w:rsid w:val="00275DFB"/>
    <w:rsid w:val="002A5E18"/>
    <w:rsid w:val="002B2CDD"/>
    <w:rsid w:val="002B73AF"/>
    <w:rsid w:val="002E2FDC"/>
    <w:rsid w:val="00301335"/>
    <w:rsid w:val="00301D17"/>
    <w:rsid w:val="0030396C"/>
    <w:rsid w:val="00321311"/>
    <w:rsid w:val="00337243"/>
    <w:rsid w:val="003405D1"/>
    <w:rsid w:val="00355C2E"/>
    <w:rsid w:val="00372924"/>
    <w:rsid w:val="003B597C"/>
    <w:rsid w:val="003C1702"/>
    <w:rsid w:val="003D710E"/>
    <w:rsid w:val="003E11C3"/>
    <w:rsid w:val="00411300"/>
    <w:rsid w:val="00426B28"/>
    <w:rsid w:val="004465DC"/>
    <w:rsid w:val="00454129"/>
    <w:rsid w:val="0047406C"/>
    <w:rsid w:val="004906B2"/>
    <w:rsid w:val="004A2D25"/>
    <w:rsid w:val="004A2F89"/>
    <w:rsid w:val="004A4184"/>
    <w:rsid w:val="004B7C7A"/>
    <w:rsid w:val="004C4E66"/>
    <w:rsid w:val="004D3723"/>
    <w:rsid w:val="004D41AD"/>
    <w:rsid w:val="004E23A0"/>
    <w:rsid w:val="004E7FB2"/>
    <w:rsid w:val="004F7083"/>
    <w:rsid w:val="00504D90"/>
    <w:rsid w:val="00512D4C"/>
    <w:rsid w:val="006525B6"/>
    <w:rsid w:val="00655BFA"/>
    <w:rsid w:val="00692459"/>
    <w:rsid w:val="006E5467"/>
    <w:rsid w:val="006F78A7"/>
    <w:rsid w:val="0070314D"/>
    <w:rsid w:val="00720CEB"/>
    <w:rsid w:val="0072111B"/>
    <w:rsid w:val="007255ED"/>
    <w:rsid w:val="007325A9"/>
    <w:rsid w:val="00762879"/>
    <w:rsid w:val="007740C1"/>
    <w:rsid w:val="007744FA"/>
    <w:rsid w:val="007A1B4D"/>
    <w:rsid w:val="007A5934"/>
    <w:rsid w:val="007C7CE7"/>
    <w:rsid w:val="00804F1E"/>
    <w:rsid w:val="00811CC0"/>
    <w:rsid w:val="00811DE4"/>
    <w:rsid w:val="008327E7"/>
    <w:rsid w:val="008439D6"/>
    <w:rsid w:val="008617B7"/>
    <w:rsid w:val="00894913"/>
    <w:rsid w:val="008A3152"/>
    <w:rsid w:val="008A7CD8"/>
    <w:rsid w:val="008C54CF"/>
    <w:rsid w:val="008C733F"/>
    <w:rsid w:val="008E129F"/>
    <w:rsid w:val="008F3430"/>
    <w:rsid w:val="009072D7"/>
    <w:rsid w:val="009454B9"/>
    <w:rsid w:val="009D593C"/>
    <w:rsid w:val="009F32AF"/>
    <w:rsid w:val="00A031D7"/>
    <w:rsid w:val="00A22F72"/>
    <w:rsid w:val="00A52E44"/>
    <w:rsid w:val="00A72EC3"/>
    <w:rsid w:val="00AA107C"/>
    <w:rsid w:val="00AC5993"/>
    <w:rsid w:val="00AD7476"/>
    <w:rsid w:val="00AD7649"/>
    <w:rsid w:val="00B301F6"/>
    <w:rsid w:val="00B34FB7"/>
    <w:rsid w:val="00B52D47"/>
    <w:rsid w:val="00B76E6C"/>
    <w:rsid w:val="00B860AB"/>
    <w:rsid w:val="00B8766D"/>
    <w:rsid w:val="00B924EE"/>
    <w:rsid w:val="00BD7C81"/>
    <w:rsid w:val="00BE17CD"/>
    <w:rsid w:val="00C009E0"/>
    <w:rsid w:val="00C179A5"/>
    <w:rsid w:val="00C30118"/>
    <w:rsid w:val="00C34F8E"/>
    <w:rsid w:val="00C47B09"/>
    <w:rsid w:val="00C96704"/>
    <w:rsid w:val="00CA3872"/>
    <w:rsid w:val="00CA6889"/>
    <w:rsid w:val="00CA6B1C"/>
    <w:rsid w:val="00CC5262"/>
    <w:rsid w:val="00CE1E2E"/>
    <w:rsid w:val="00CE7B5D"/>
    <w:rsid w:val="00D12704"/>
    <w:rsid w:val="00D15E08"/>
    <w:rsid w:val="00D16F8B"/>
    <w:rsid w:val="00D2495E"/>
    <w:rsid w:val="00D24FE2"/>
    <w:rsid w:val="00D328DF"/>
    <w:rsid w:val="00D36F75"/>
    <w:rsid w:val="00D5526E"/>
    <w:rsid w:val="00D62F7F"/>
    <w:rsid w:val="00D641BC"/>
    <w:rsid w:val="00D719D5"/>
    <w:rsid w:val="00D9003C"/>
    <w:rsid w:val="00DA20C4"/>
    <w:rsid w:val="00DB236C"/>
    <w:rsid w:val="00DB7A88"/>
    <w:rsid w:val="00DC3170"/>
    <w:rsid w:val="00DC797D"/>
    <w:rsid w:val="00E04806"/>
    <w:rsid w:val="00E12A14"/>
    <w:rsid w:val="00E41B32"/>
    <w:rsid w:val="00E428B9"/>
    <w:rsid w:val="00E47CB7"/>
    <w:rsid w:val="00EB118A"/>
    <w:rsid w:val="00EC4737"/>
    <w:rsid w:val="00EE42F0"/>
    <w:rsid w:val="00EE4A47"/>
    <w:rsid w:val="00F04F43"/>
    <w:rsid w:val="00F05935"/>
    <w:rsid w:val="00F250B0"/>
    <w:rsid w:val="00F331EE"/>
    <w:rsid w:val="00F55389"/>
    <w:rsid w:val="00FE4419"/>
    <w:rsid w:val="014F1B37"/>
    <w:rsid w:val="015709C2"/>
    <w:rsid w:val="019D10E6"/>
    <w:rsid w:val="01FD7769"/>
    <w:rsid w:val="04383817"/>
    <w:rsid w:val="05285997"/>
    <w:rsid w:val="0DC52447"/>
    <w:rsid w:val="0E854778"/>
    <w:rsid w:val="0E932085"/>
    <w:rsid w:val="13AD5240"/>
    <w:rsid w:val="18076ED8"/>
    <w:rsid w:val="186F7B92"/>
    <w:rsid w:val="189F5AF1"/>
    <w:rsid w:val="18A17315"/>
    <w:rsid w:val="19515FA5"/>
    <w:rsid w:val="19A60CCB"/>
    <w:rsid w:val="19C4167D"/>
    <w:rsid w:val="1D1A712D"/>
    <w:rsid w:val="1D5846BF"/>
    <w:rsid w:val="1E1D55E8"/>
    <w:rsid w:val="20967DF0"/>
    <w:rsid w:val="219C04BF"/>
    <w:rsid w:val="259942B6"/>
    <w:rsid w:val="276E4735"/>
    <w:rsid w:val="29730DB9"/>
    <w:rsid w:val="2C0F5CA6"/>
    <w:rsid w:val="303922DA"/>
    <w:rsid w:val="32703AD2"/>
    <w:rsid w:val="33CE022B"/>
    <w:rsid w:val="378B1C80"/>
    <w:rsid w:val="37C009D7"/>
    <w:rsid w:val="37C13DB3"/>
    <w:rsid w:val="37E5144C"/>
    <w:rsid w:val="37F1649D"/>
    <w:rsid w:val="398E2B76"/>
    <w:rsid w:val="3E4E5DC2"/>
    <w:rsid w:val="3F105B57"/>
    <w:rsid w:val="3FA56B10"/>
    <w:rsid w:val="4099417E"/>
    <w:rsid w:val="40E449C1"/>
    <w:rsid w:val="41571C04"/>
    <w:rsid w:val="46B02416"/>
    <w:rsid w:val="46FD11B7"/>
    <w:rsid w:val="48750EDD"/>
    <w:rsid w:val="48C666CD"/>
    <w:rsid w:val="4AA22662"/>
    <w:rsid w:val="52BD7503"/>
    <w:rsid w:val="5371766C"/>
    <w:rsid w:val="5474289D"/>
    <w:rsid w:val="570F4108"/>
    <w:rsid w:val="579654B9"/>
    <w:rsid w:val="57E43EAB"/>
    <w:rsid w:val="59532FF5"/>
    <w:rsid w:val="5B53249E"/>
    <w:rsid w:val="5BBB3D00"/>
    <w:rsid w:val="5CBB651E"/>
    <w:rsid w:val="5FB63223"/>
    <w:rsid w:val="611379E4"/>
    <w:rsid w:val="61211F58"/>
    <w:rsid w:val="62927DE3"/>
    <w:rsid w:val="65B86204"/>
    <w:rsid w:val="65CC6213"/>
    <w:rsid w:val="65E05E01"/>
    <w:rsid w:val="6B4F21E3"/>
    <w:rsid w:val="6C6125EE"/>
    <w:rsid w:val="6CEC5110"/>
    <w:rsid w:val="6E40472D"/>
    <w:rsid w:val="6E641451"/>
    <w:rsid w:val="6EC97112"/>
    <w:rsid w:val="71A4250E"/>
    <w:rsid w:val="733C1465"/>
    <w:rsid w:val="74293AE3"/>
    <w:rsid w:val="753968B9"/>
    <w:rsid w:val="78174B53"/>
    <w:rsid w:val="7A395A3C"/>
    <w:rsid w:val="7B347192"/>
    <w:rsid w:val="7D6C615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qFormat/>
    <w:uiPriority w:val="99"/>
    <w:pPr>
      <w:tabs>
        <w:tab w:val="center" w:pos="4153"/>
        <w:tab w:val="right" w:pos="8306"/>
      </w:tabs>
      <w:snapToGrid w:val="0"/>
      <w:jc w:val="left"/>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列出段落1"/>
    <w:basedOn w:val="1"/>
    <w:qFormat/>
    <w:uiPriority w:val="99"/>
    <w:pPr>
      <w:ind w:firstLine="420" w:firstLineChars="200"/>
    </w:pPr>
  </w:style>
  <w:style w:type="character" w:customStyle="1" w:styleId="8">
    <w:name w:val="Header Char"/>
    <w:basedOn w:val="6"/>
    <w:link w:val="3"/>
    <w:semiHidden/>
    <w:qFormat/>
    <w:locked/>
    <w:uiPriority w:val="99"/>
    <w:rPr>
      <w:rFonts w:ascii="Calibri" w:hAnsi="Calibri" w:eastAsia="宋体" w:cs="Calibri"/>
      <w:sz w:val="18"/>
      <w:szCs w:val="18"/>
    </w:rPr>
  </w:style>
  <w:style w:type="character" w:customStyle="1" w:styleId="9">
    <w:name w:val="Footer Char"/>
    <w:basedOn w:val="6"/>
    <w:link w:val="2"/>
    <w:semiHidden/>
    <w:qFormat/>
    <w:locked/>
    <w:uiPriority w:val="99"/>
    <w:rPr>
      <w:rFonts w:ascii="Calibri" w:hAnsi="Calibri" w:eastAsia="宋体" w:cs="Calibri"/>
      <w:sz w:val="18"/>
      <w:szCs w:val="18"/>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微软中国</Company>
  <Pages>14</Pages>
  <Words>5779</Words>
  <Characters>6343</Characters>
  <Lines>0</Lines>
  <Paragraphs>0</Paragraphs>
  <TotalTime>44</TotalTime>
  <ScaleCrop>false</ScaleCrop>
  <LinksUpToDate>false</LinksUpToDate>
  <CharactersWithSpaces>6363</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2021-02-19T01:48:00Z</dcterms:created>
  <dc:creator>微软用户</dc:creator>
  <cp:lastModifiedBy>省教育厅</cp:lastModifiedBy>
  <cp:lastPrinted>2021-02-08T12:02:00Z</cp:lastPrinted>
  <dcterms:modified xsi:type="dcterms:W3CDTF">2024-02-22T07:41:41Z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32402A3CC99B4D279C0C08E1AD98831A</vt:lpwstr>
  </property>
</Properties>
</file>