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val="en-US" w:eastAsia="zh-CN"/>
        </w:rPr>
        <w:t>琼台师范学院附属幼儿园单位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30"/>
          <w:szCs w:val="30"/>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琼台师范学院附属幼儿园单位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琼台师范学院附属幼儿园单位2024</w:t>
      </w:r>
      <w:r>
        <w:rPr>
          <w:rFonts w:hint="eastAsia" w:ascii="黑体" w:hAnsi="黑体" w:eastAsia="黑体"/>
          <w:sz w:val="32"/>
          <w:szCs w:val="32"/>
          <w:u w:val="none"/>
        </w:rPr>
        <w:t>年单位预算表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琼台师范学院附属幼儿园单位2024</w:t>
      </w:r>
      <w:r>
        <w:rPr>
          <w:rFonts w:hint="eastAsia" w:ascii="黑体" w:hAnsi="黑体" w:eastAsia="黑体"/>
          <w:sz w:val="32"/>
          <w:szCs w:val="32"/>
          <w:u w:val="none"/>
        </w:rPr>
        <w:t>年单位预算情况说明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琼台师范学院附属幼儿园单位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u w:val="none"/>
        </w:rPr>
      </w:pPr>
      <w:r>
        <w:rPr>
          <w:rFonts w:hint="eastAsia" w:ascii="黑体" w:hAnsi="黑体" w:eastAsia="黑体" w:cs="仿宋_GB2312"/>
          <w:sz w:val="32"/>
          <w:szCs w:val="32"/>
          <w:u w:val="none"/>
          <w:lang w:val="en-US" w:eastAsia="zh-CN"/>
        </w:rPr>
        <w:t>一、</w:t>
      </w:r>
      <w:r>
        <w:rPr>
          <w:rFonts w:hint="eastAsia" w:ascii="黑体" w:hAnsi="黑体" w:eastAsia="黑体" w:cs="仿宋_GB2312"/>
          <w:sz w:val="32"/>
          <w:szCs w:val="32"/>
          <w:u w:val="none"/>
        </w:rPr>
        <w:t>主要职能</w:t>
      </w:r>
    </w:p>
    <w:p>
      <w:pPr>
        <w:pStyle w:val="6"/>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sz w:val="32"/>
          <w:szCs w:val="32"/>
        </w:rPr>
      </w:pPr>
      <w:r>
        <w:rPr>
          <w:rFonts w:hint="eastAsia" w:ascii="仿宋_GB2312" w:hAnsi="黑体" w:eastAsia="仿宋_GB2312"/>
          <w:sz w:val="32"/>
          <w:szCs w:val="32"/>
        </w:rPr>
        <w:t>琼台师范学院附属幼儿园是创办于1956年，隶属琼台师范学院，2000年被海南省教育厅评定为海南省示范幼儿园。主要职责为学龄前儿童提供保育和教育服务，幼儿保育、幼儿教育。</w:t>
      </w:r>
    </w:p>
    <w:p>
      <w:pPr>
        <w:spacing w:line="600" w:lineRule="exact"/>
        <w:ind w:firstLine="640" w:firstLineChars="200"/>
        <w:jc w:val="left"/>
        <w:rPr>
          <w:rFonts w:hint="eastAsia" w:ascii="仿宋_GB2312" w:hAnsi="ˎ̥" w:eastAsia="仿宋_GB2312" w:cs="仿宋_GB2312"/>
          <w:kern w:val="0"/>
          <w:sz w:val="32"/>
          <w:szCs w:val="32"/>
          <w:shd w:val="clear" w:color="auto" w:fill="FFFFFF"/>
          <w:lang w:eastAsia="zh-CN"/>
        </w:rPr>
      </w:pPr>
      <w:r>
        <w:rPr>
          <w:rFonts w:hint="default" w:ascii="仿宋_GB2312" w:hAnsi="ˎ̥" w:eastAsia="仿宋_GB2312" w:cs="仿宋_GB2312"/>
          <w:kern w:val="0"/>
          <w:sz w:val="32"/>
          <w:szCs w:val="32"/>
          <w:shd w:val="clear" w:color="auto" w:fill="FFFFFF"/>
        </w:rPr>
        <w:t>根据《海南省机构编制委员会</w:t>
      </w:r>
      <w:r>
        <w:rPr>
          <w:rFonts w:hint="eastAsia" w:ascii="仿宋_GB2312" w:hAnsi="ˎ̥" w:eastAsia="仿宋_GB2312" w:cs="仿宋_GB2312"/>
          <w:kern w:val="0"/>
          <w:sz w:val="32"/>
          <w:szCs w:val="32"/>
          <w:shd w:val="clear" w:color="auto" w:fill="FFFFFF"/>
          <w:lang w:val="en-US" w:eastAsia="zh-CN"/>
        </w:rPr>
        <w:t>办公室</w:t>
      </w:r>
      <w:r>
        <w:rPr>
          <w:rFonts w:hint="default" w:ascii="仿宋_GB2312" w:hAnsi="ˎ̥" w:eastAsia="仿宋_GB2312" w:cs="仿宋_GB2312"/>
          <w:kern w:val="0"/>
          <w:sz w:val="32"/>
          <w:szCs w:val="32"/>
          <w:shd w:val="clear" w:color="auto" w:fill="FFFFFF"/>
        </w:rPr>
        <w:t>关于琼台师范</w:t>
      </w:r>
      <w:r>
        <w:rPr>
          <w:rFonts w:hint="eastAsia" w:ascii="仿宋_GB2312" w:hAnsi="ˎ̥" w:eastAsia="仿宋_GB2312" w:cs="仿宋_GB2312"/>
          <w:kern w:val="0"/>
          <w:sz w:val="32"/>
          <w:szCs w:val="32"/>
          <w:shd w:val="clear" w:color="auto" w:fill="FFFFFF"/>
          <w:lang w:val="en-US" w:eastAsia="zh-CN"/>
        </w:rPr>
        <w:t>高等专科学校附属幼儿园</w:t>
      </w:r>
      <w:r>
        <w:rPr>
          <w:rFonts w:hint="default" w:ascii="仿宋_GB2312" w:hAnsi="ˎ̥" w:eastAsia="仿宋_GB2312" w:cs="仿宋_GB2312"/>
          <w:kern w:val="0"/>
          <w:sz w:val="32"/>
          <w:szCs w:val="32"/>
          <w:shd w:val="clear" w:color="auto" w:fill="FFFFFF"/>
        </w:rPr>
        <w:t>机构编制的通知》（</w:t>
      </w:r>
      <w:r>
        <w:rPr>
          <w:rFonts w:hint="eastAsia" w:ascii="仿宋_GB2312" w:hAnsi="ˎ̥" w:eastAsia="仿宋_GB2312" w:cs="仿宋_GB2312"/>
          <w:kern w:val="0"/>
          <w:sz w:val="32"/>
          <w:szCs w:val="32"/>
          <w:shd w:val="clear" w:color="auto" w:fill="FFFFFF"/>
          <w:lang w:val="en-US" w:eastAsia="zh-CN"/>
        </w:rPr>
        <w:t>琼编办</w:t>
      </w:r>
      <w:r>
        <w:rPr>
          <w:rFonts w:hint="default" w:ascii="仿宋_GB2312" w:hAnsi="ˎ̥" w:eastAsia="仿宋_GB2312" w:cs="仿宋_GB2312"/>
          <w:kern w:val="0"/>
          <w:sz w:val="32"/>
          <w:szCs w:val="32"/>
          <w:shd w:val="clear" w:color="auto" w:fill="FFFFFF"/>
        </w:rPr>
        <w:t>〔201</w:t>
      </w:r>
      <w:r>
        <w:rPr>
          <w:rFonts w:hint="eastAsia" w:ascii="仿宋_GB2312" w:hAnsi="ˎ̥" w:eastAsia="仿宋_GB2312" w:cs="仿宋_GB2312"/>
          <w:kern w:val="0"/>
          <w:sz w:val="32"/>
          <w:szCs w:val="32"/>
          <w:shd w:val="clear" w:color="auto" w:fill="FFFFFF"/>
          <w:lang w:val="en-US" w:eastAsia="zh-CN"/>
        </w:rPr>
        <w:t>2</w:t>
      </w:r>
      <w:r>
        <w:rPr>
          <w:rFonts w:hint="default"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261</w:t>
      </w:r>
      <w:r>
        <w:rPr>
          <w:rFonts w:hint="default" w:ascii="仿宋_GB2312" w:hAnsi="ˎ̥" w:eastAsia="仿宋_GB2312" w:cs="仿宋_GB2312"/>
          <w:kern w:val="0"/>
          <w:sz w:val="32"/>
          <w:szCs w:val="32"/>
          <w:shd w:val="clear" w:color="auto" w:fill="FFFFFF"/>
        </w:rPr>
        <w:t>号）：</w:t>
      </w:r>
      <w:r>
        <w:rPr>
          <w:rFonts w:hint="eastAsia" w:ascii="仿宋_GB2312" w:hAnsi="ˎ̥" w:eastAsia="仿宋_GB2312" w:cs="仿宋_GB2312"/>
          <w:kern w:val="0"/>
          <w:sz w:val="32"/>
          <w:szCs w:val="32"/>
          <w:shd w:val="clear" w:color="auto" w:fill="FFFFFF"/>
          <w:lang w:val="en-US" w:eastAsia="zh-CN"/>
        </w:rPr>
        <w:t>同意将琼台师范高等专科学校附属幼儿园纳入机构编制管理，明确</w:t>
      </w:r>
      <w:r>
        <w:rPr>
          <w:rFonts w:hint="default" w:ascii="仿宋_GB2312" w:hAnsi="ˎ̥" w:eastAsia="仿宋_GB2312" w:cs="仿宋_GB2312"/>
          <w:kern w:val="0"/>
          <w:sz w:val="32"/>
          <w:szCs w:val="32"/>
          <w:shd w:val="clear" w:color="auto" w:fill="FFFFFF"/>
        </w:rPr>
        <w:t>为</w:t>
      </w:r>
      <w:r>
        <w:rPr>
          <w:rFonts w:hint="eastAsia" w:ascii="仿宋_GB2312" w:hAnsi="ˎ̥" w:eastAsia="仿宋_GB2312" w:cs="仿宋_GB2312"/>
          <w:kern w:val="0"/>
          <w:sz w:val="32"/>
          <w:szCs w:val="32"/>
          <w:shd w:val="clear" w:color="auto" w:fill="FFFFFF"/>
          <w:lang w:val="en-US" w:eastAsia="zh-CN"/>
        </w:rPr>
        <w:t>隶属琼台师范高等专科学校的</w:t>
      </w:r>
      <w:r>
        <w:rPr>
          <w:rFonts w:hint="default" w:ascii="仿宋_GB2312" w:hAnsi="ˎ̥" w:eastAsia="仿宋_GB2312" w:cs="仿宋_GB2312"/>
          <w:kern w:val="0"/>
          <w:sz w:val="32"/>
          <w:szCs w:val="32"/>
          <w:shd w:val="clear" w:color="auto" w:fill="FFFFFF"/>
        </w:rPr>
        <w:t>正科级事业单位，</w:t>
      </w:r>
      <w:r>
        <w:rPr>
          <w:rFonts w:hint="eastAsia" w:ascii="仿宋_GB2312" w:hAnsi="ˎ̥" w:eastAsia="仿宋_GB2312" w:cs="仿宋_GB2312"/>
          <w:kern w:val="0"/>
          <w:sz w:val="32"/>
          <w:szCs w:val="32"/>
          <w:shd w:val="clear" w:color="auto" w:fill="FFFFFF"/>
          <w:lang w:val="en-US" w:eastAsia="zh-CN"/>
        </w:rPr>
        <w:t>核定财政预算管理事业编制45名，岗位结构为：单位领导3个（1正2副），一般管理人员岗位1个、专业技术人员岗位41个</w:t>
      </w:r>
      <w:r>
        <w:rPr>
          <w:rFonts w:hint="default"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我园</w:t>
      </w:r>
      <w:r>
        <w:rPr>
          <w:rFonts w:hint="default" w:ascii="仿宋_GB2312" w:hAnsi="ˎ̥" w:eastAsia="仿宋_GB2312" w:cs="仿宋_GB2312"/>
          <w:kern w:val="0"/>
          <w:sz w:val="32"/>
          <w:szCs w:val="32"/>
          <w:shd w:val="clear" w:color="auto" w:fill="FFFFFF"/>
        </w:rPr>
        <w:t>无下属单位</w:t>
      </w:r>
      <w:r>
        <w:rPr>
          <w:rFonts w:hint="eastAsia" w:ascii="仿宋_GB2312" w:hAnsi="ˎ̥" w:eastAsia="仿宋_GB2312" w:cs="仿宋_GB2312"/>
          <w:kern w:val="0"/>
          <w:sz w:val="32"/>
          <w:szCs w:val="32"/>
          <w:shd w:val="clear" w:color="auto" w:fill="FFFFFF"/>
          <w:lang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ˎ̥" w:eastAsia="仿宋_GB2312" w:cs="仿宋_GB2312"/>
          <w:kern w:val="0"/>
          <w:sz w:val="32"/>
          <w:szCs w:val="32"/>
          <w:shd w:val="clear" w:color="auto" w:fill="FFFFFF"/>
          <w:lang w:val="en-US" w:eastAsia="zh-CN"/>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无此类情况。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仿宋_GB2312" w:hAnsi="黑体" w:eastAsia="仿宋_GB2312" w:cs="仿宋_GB2312"/>
          <w:sz w:val="32"/>
          <w:szCs w:val="32"/>
          <w:u w:val="none"/>
          <w:lang w:val="en-US" w:eastAsia="zh-CN"/>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琼台师范学院附属幼儿园单位2024</w:t>
      </w:r>
      <w:r>
        <w:rPr>
          <w:rFonts w:hint="eastAsia" w:ascii="黑体" w:hAnsi="黑体" w:eastAsia="黑体"/>
          <w:sz w:val="32"/>
          <w:szCs w:val="32"/>
          <w:u w:val="none"/>
        </w:rPr>
        <w:t>年单位预算表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（此部分内容即为单位预算公开表</w:t>
      </w:r>
      <w:r>
        <w:rPr>
          <w:rFonts w:hint="eastAsia" w:ascii="仿宋_GB2312" w:hAnsi="黑体" w:eastAsia="仿宋_GB2312"/>
          <w:b/>
          <w:sz w:val="32"/>
          <w:szCs w:val="32"/>
          <w:u w:val="none"/>
          <w:lang w:eastAsia="zh-CN"/>
        </w:rPr>
        <w:t>，</w:t>
      </w:r>
      <w:r>
        <w:rPr>
          <w:rFonts w:hint="eastAsia" w:ascii="仿宋_GB2312" w:hAnsi="黑体" w:eastAsia="仿宋_GB2312"/>
          <w:b/>
          <w:sz w:val="32"/>
          <w:szCs w:val="32"/>
        </w:rPr>
        <w:t>详见表格</w:t>
      </w:r>
      <w:r>
        <w:rPr>
          <w:rFonts w:hint="eastAsia" w:ascii="仿宋_GB2312" w:hAnsi="黑体" w:eastAsia="仿宋_GB2312"/>
          <w:b/>
          <w:sz w:val="32"/>
          <w:szCs w:val="32"/>
          <w:u w:val="none"/>
        </w:rPr>
        <w:t>）</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val="en-US" w:eastAsia="zh-CN"/>
        </w:rPr>
        <w:t>琼台师范学院附属幼儿园单位2024</w:t>
      </w:r>
      <w:r>
        <w:rPr>
          <w:rFonts w:hint="eastAsia" w:ascii="黑体" w:hAnsi="黑体" w:eastAsia="黑体"/>
          <w:sz w:val="32"/>
          <w:szCs w:val="32"/>
          <w:u w:val="none"/>
        </w:rPr>
        <w:t>年单位预算情况说明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lang w:eastAsia="zh-CN"/>
        </w:rPr>
        <w:t>琼台师范学院附属幼儿园单位</w:t>
      </w:r>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sz w:val="32"/>
          <w:szCs w:val="32"/>
          <w:u w:val="none"/>
        </w:rPr>
        <w:t>财政拨款收支预算情况的总体说明</w:t>
      </w:r>
    </w:p>
    <w:p>
      <w:pPr>
        <w:ind w:firstLine="640" w:firstLineChars="200"/>
        <w:jc w:val="left"/>
        <w:rPr>
          <w:rFonts w:ascii="仿宋_GB2312" w:hAnsi="黑体" w:eastAsia="仿宋_GB2312"/>
          <w:color w:val="1F497D" w:themeColor="text2"/>
          <w:sz w:val="32"/>
          <w:szCs w:val="32"/>
          <w:u w:val="none"/>
        </w:rPr>
      </w:pPr>
      <w:r>
        <w:rPr>
          <w:rFonts w:hint="eastAsia" w:ascii="仿宋_GB2312" w:hAnsi="黑体" w:eastAsia="仿宋_GB2312"/>
          <w:color w:val="auto"/>
          <w:sz w:val="32"/>
          <w:szCs w:val="32"/>
          <w:u w:val="none"/>
          <w:lang w:val="en-US" w:eastAsia="zh-CN"/>
        </w:rPr>
        <w:t>琼台师范学院附属幼儿园单位2024</w:t>
      </w:r>
      <w:r>
        <w:rPr>
          <w:rFonts w:hint="eastAsia" w:ascii="仿宋_GB2312" w:hAnsi="黑体" w:eastAsia="仿宋_GB2312"/>
          <w:color w:val="auto"/>
          <w:sz w:val="32"/>
          <w:szCs w:val="32"/>
          <w:u w:val="none"/>
        </w:rPr>
        <w:t>年财政拨款收支总预算</w:t>
      </w:r>
      <w:r>
        <w:rPr>
          <w:rFonts w:hint="eastAsia" w:ascii="仿宋_GB2312" w:hAnsi="黑体" w:eastAsia="仿宋_GB2312" w:cs="仿宋_GB2312"/>
          <w:color w:val="auto"/>
          <w:sz w:val="32"/>
          <w:szCs w:val="32"/>
          <w:u w:val="none"/>
          <w:lang w:val="en-US" w:eastAsia="zh-CN"/>
        </w:rPr>
        <w:t>1093.34</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27.62</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2024年新增某建设津贴的预算</w:t>
      </w:r>
      <w:r>
        <w:rPr>
          <w:rFonts w:hint="eastAsia" w:ascii="仿宋_GB2312" w:hAnsi="黑体" w:eastAsia="仿宋_GB2312"/>
          <w:color w:val="auto"/>
          <w:sz w:val="32"/>
          <w:szCs w:val="32"/>
          <w:u w:val="none"/>
        </w:rPr>
        <w:t>。其中，收入总计</w:t>
      </w:r>
      <w:r>
        <w:rPr>
          <w:rFonts w:hint="eastAsia" w:ascii="仿宋_GB2312" w:hAnsi="黑体" w:eastAsia="仿宋_GB2312" w:cs="仿宋_GB2312"/>
          <w:color w:val="auto"/>
          <w:sz w:val="32"/>
          <w:szCs w:val="32"/>
          <w:u w:val="none"/>
          <w:lang w:val="en-US" w:eastAsia="zh-CN"/>
        </w:rPr>
        <w:t>1093.34</w:t>
      </w:r>
      <w:r>
        <w:rPr>
          <w:rFonts w:hint="eastAsia" w:ascii="仿宋_GB2312" w:hAnsi="黑体" w:eastAsia="仿宋_GB2312"/>
          <w:color w:val="auto"/>
          <w:sz w:val="32"/>
          <w:szCs w:val="32"/>
          <w:u w:val="none"/>
        </w:rPr>
        <w:t>万元，包括一般公共预算本年收入</w:t>
      </w:r>
      <w:r>
        <w:rPr>
          <w:rFonts w:hint="eastAsia" w:ascii="仿宋_GB2312" w:hAnsi="黑体" w:eastAsia="仿宋_GB2312" w:cs="仿宋_GB2312"/>
          <w:color w:val="auto"/>
          <w:sz w:val="32"/>
          <w:szCs w:val="32"/>
          <w:u w:val="none"/>
          <w:lang w:val="en-US" w:eastAsia="zh-CN"/>
        </w:rPr>
        <w:t>1093.34</w:t>
      </w:r>
      <w:r>
        <w:rPr>
          <w:rFonts w:hint="eastAsia" w:ascii="仿宋_GB2312" w:hAnsi="黑体" w:eastAsia="仿宋_GB2312"/>
          <w:color w:val="auto"/>
          <w:sz w:val="32"/>
          <w:szCs w:val="32"/>
          <w:u w:val="none"/>
        </w:rPr>
        <w:t>万元、上年结转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万元，政府性基金预算本年收入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万元；支出总计</w:t>
      </w:r>
      <w:r>
        <w:rPr>
          <w:rFonts w:hint="eastAsia" w:ascii="仿宋_GB2312" w:hAnsi="黑体" w:eastAsia="仿宋_GB2312" w:cs="仿宋_GB2312"/>
          <w:color w:val="auto"/>
          <w:sz w:val="32"/>
          <w:szCs w:val="32"/>
          <w:u w:val="none"/>
          <w:lang w:val="en-US" w:eastAsia="zh-CN"/>
        </w:rPr>
        <w:t>1093.34</w:t>
      </w:r>
      <w:r>
        <w:rPr>
          <w:rFonts w:hint="eastAsia" w:ascii="仿宋_GB2312" w:hAnsi="黑体" w:eastAsia="仿宋_GB2312"/>
          <w:color w:val="auto"/>
          <w:sz w:val="32"/>
          <w:szCs w:val="32"/>
          <w:u w:val="none"/>
        </w:rPr>
        <w:t>万元，包括</w:t>
      </w:r>
      <w:r>
        <w:rPr>
          <w:rFonts w:hint="eastAsia" w:ascii="仿宋_GB2312" w:hAnsi="黑体" w:eastAsia="仿宋_GB2312"/>
          <w:color w:val="auto"/>
          <w:sz w:val="32"/>
          <w:szCs w:val="32"/>
          <w:lang w:eastAsia="zh-CN"/>
        </w:rPr>
        <w:t>教育</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824.20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；社会保障和就业支出</w:t>
      </w:r>
      <w:r>
        <w:rPr>
          <w:rFonts w:hint="eastAsia" w:ascii="仿宋_GB2312" w:hAnsi="黑体" w:eastAsia="仿宋_GB2312"/>
          <w:color w:val="auto"/>
          <w:sz w:val="32"/>
          <w:szCs w:val="32"/>
          <w:lang w:val="en-US" w:eastAsia="zh-CN"/>
        </w:rPr>
        <w:t>178.59</w:t>
      </w:r>
      <w:r>
        <w:rPr>
          <w:rFonts w:hint="eastAsia" w:ascii="仿宋_GB2312" w:hAnsi="黑体" w:eastAsia="仿宋_GB2312"/>
          <w:color w:val="auto"/>
          <w:sz w:val="32"/>
          <w:szCs w:val="32"/>
          <w:lang w:eastAsia="zh-CN"/>
        </w:rPr>
        <w:t>万元；卫生健康支出</w:t>
      </w:r>
      <w:r>
        <w:rPr>
          <w:rFonts w:hint="eastAsia" w:ascii="仿宋_GB2312" w:hAnsi="黑体" w:eastAsia="仿宋_GB2312"/>
          <w:color w:val="auto"/>
          <w:sz w:val="32"/>
          <w:szCs w:val="32"/>
          <w:lang w:val="en-US" w:eastAsia="zh-CN"/>
        </w:rPr>
        <w:t>31.97</w:t>
      </w:r>
      <w:r>
        <w:rPr>
          <w:rFonts w:hint="eastAsia" w:ascii="仿宋_GB2312" w:hAnsi="黑体" w:eastAsia="仿宋_GB2312"/>
          <w:color w:val="auto"/>
          <w:sz w:val="32"/>
          <w:szCs w:val="32"/>
          <w:lang w:eastAsia="zh-CN"/>
        </w:rPr>
        <w:t>万元；住房保障支出</w:t>
      </w:r>
      <w:r>
        <w:rPr>
          <w:rFonts w:hint="eastAsia" w:ascii="仿宋_GB2312" w:hAnsi="黑体" w:eastAsia="仿宋_GB2312"/>
          <w:color w:val="auto"/>
          <w:sz w:val="32"/>
          <w:szCs w:val="32"/>
          <w:lang w:val="en-US" w:eastAsia="zh-CN"/>
        </w:rPr>
        <w:t>58.58</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lang w:val="en-US" w:eastAsia="zh-CN"/>
        </w:rPr>
        <w:t>结转下年0万元</w:t>
      </w:r>
      <w:r>
        <w:rPr>
          <w:rFonts w:hint="eastAsia" w:ascii="仿宋_GB2312" w:hAnsi="黑体" w:eastAsia="仿宋_GB2312"/>
          <w:color w:val="auto"/>
          <w:sz w:val="32"/>
          <w:szCs w:val="32"/>
          <w:u w:val="none"/>
        </w:rPr>
        <w:t>。</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lang w:eastAsia="zh-CN"/>
        </w:rPr>
        <w:t>琼台师范学院附属幼儿园单位</w:t>
      </w:r>
      <w:r>
        <w:rPr>
          <w:rFonts w:hint="eastAsia" w:ascii="黑体" w:hAnsi="黑体" w:eastAsia="黑体"/>
          <w:sz w:val="32"/>
          <w:szCs w:val="32"/>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jc w:val="left"/>
        <w:rPr>
          <w:rFonts w:hint="eastAsia" w:ascii="仿宋_GB2312" w:hAnsi="黑体" w:eastAsia="仿宋_GB2312"/>
          <w:color w:val="1F497D" w:themeColor="text2"/>
          <w:sz w:val="32"/>
          <w:szCs w:val="32"/>
          <w:u w:val="none"/>
          <w:lang w:val="en-US" w:eastAsia="zh-CN"/>
        </w:rPr>
      </w:pPr>
      <w:r>
        <w:rPr>
          <w:rFonts w:hint="eastAsia" w:ascii="仿宋_GB2312" w:hAnsi="黑体" w:eastAsia="仿宋_GB2312"/>
          <w:color w:val="auto"/>
          <w:sz w:val="32"/>
          <w:szCs w:val="32"/>
          <w:u w:val="none"/>
          <w:lang w:val="en-US" w:eastAsia="zh-CN"/>
        </w:rPr>
        <w:t>琼台师范学院附属幼儿园单位2024年一般公共预算当年拨款</w:t>
      </w:r>
      <w:r>
        <w:rPr>
          <w:rFonts w:hint="eastAsia" w:ascii="仿宋_GB2312" w:hAnsi="黑体" w:eastAsia="仿宋_GB2312" w:cs="仿宋_GB2312"/>
          <w:color w:val="auto"/>
          <w:sz w:val="32"/>
          <w:szCs w:val="32"/>
          <w:u w:val="none"/>
          <w:lang w:val="en-US" w:eastAsia="zh-CN"/>
        </w:rPr>
        <w:t>1093.34</w:t>
      </w:r>
      <w:r>
        <w:rPr>
          <w:rFonts w:hint="eastAsia" w:ascii="仿宋_GB2312" w:hAnsi="黑体" w:eastAsia="仿宋_GB2312"/>
          <w:color w:val="auto"/>
          <w:sz w:val="32"/>
          <w:szCs w:val="32"/>
          <w:u w:val="none"/>
          <w:lang w:val="en-US" w:eastAsia="zh-CN"/>
        </w:rPr>
        <w:t>万元，比上年预算数增加</w:t>
      </w:r>
      <w:r>
        <w:rPr>
          <w:rFonts w:hint="eastAsia" w:ascii="仿宋_GB2312" w:hAnsi="黑体" w:eastAsia="仿宋_GB2312" w:cs="仿宋_GB2312"/>
          <w:color w:val="auto"/>
          <w:sz w:val="32"/>
          <w:szCs w:val="32"/>
          <w:u w:val="none"/>
          <w:lang w:val="en-US" w:eastAsia="zh-CN"/>
        </w:rPr>
        <w:t>27.62</w:t>
      </w:r>
      <w:r>
        <w:rPr>
          <w:rFonts w:hint="eastAsia" w:ascii="仿宋_GB2312" w:hAnsi="黑体" w:eastAsia="仿宋_GB2312"/>
          <w:color w:val="auto"/>
          <w:sz w:val="32"/>
          <w:szCs w:val="32"/>
          <w:u w:val="none"/>
          <w:lang w:val="en-US" w:eastAsia="zh-CN"/>
        </w:rPr>
        <w:t>万元，主要</w:t>
      </w:r>
      <w:r>
        <w:rPr>
          <w:rFonts w:hint="eastAsia" w:ascii="仿宋_GB2312" w:hAnsi="黑体" w:eastAsia="仿宋_GB2312"/>
          <w:color w:val="auto"/>
          <w:sz w:val="32"/>
          <w:szCs w:val="32"/>
          <w:u w:val="none"/>
        </w:rPr>
        <w:t>是</w:t>
      </w:r>
      <w:r>
        <w:rPr>
          <w:rFonts w:hint="eastAsia" w:ascii="仿宋_GB2312" w:hAnsi="黑体" w:eastAsia="仿宋_GB2312"/>
          <w:color w:val="auto"/>
          <w:sz w:val="32"/>
          <w:szCs w:val="32"/>
          <w:u w:val="none"/>
          <w:lang w:val="en-US" w:eastAsia="zh-CN"/>
        </w:rPr>
        <w:t>2024年新增某建设津贴的预算</w:t>
      </w:r>
      <w:r>
        <w:rPr>
          <w:rFonts w:hint="eastAsia" w:ascii="仿宋_GB2312" w:hAnsi="黑体" w:eastAsia="仿宋_GB2312"/>
          <w:color w:val="1F497D" w:themeColor="text2"/>
          <w:sz w:val="32"/>
          <w:szCs w:val="32"/>
          <w:u w:val="none"/>
          <w:lang w:val="en-US"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教育支出824.20万元，占75.38%；社会保障和就业支出178.59万元，占16.33%；卫生健康支出31.97万元，占2.92%；住房保障支出58.58万元，占5.36%。</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jc w:val="left"/>
        <w:rPr>
          <w:rFonts w:hint="eastAsia" w:ascii="仿宋_GB2312" w:hAnsi="黑体" w:eastAsia="仿宋_GB2312"/>
          <w:color w:val="1F497D" w:themeColor="text2"/>
          <w:sz w:val="32"/>
          <w:szCs w:val="32"/>
          <w:u w:val="none"/>
          <w:lang w:val="en-US" w:eastAsia="zh-CN"/>
        </w:rPr>
      </w:pPr>
      <w:r>
        <w:rPr>
          <w:rFonts w:hint="eastAsia" w:ascii="仿宋_GB2312" w:hAnsi="黑体" w:eastAsia="仿宋_GB2312"/>
          <w:color w:val="auto"/>
          <w:sz w:val="32"/>
          <w:szCs w:val="32"/>
          <w:u w:val="none"/>
          <w:lang w:val="en-US" w:eastAsia="zh-CN"/>
        </w:rPr>
        <w:t>1.教育支出（类）普通教育（款）学前教育（项）2024年预算数为824.20万元，比上年预算数增加14.64万元，主要是2024年度无“</w:t>
      </w:r>
      <w:r>
        <w:rPr>
          <w:rFonts w:hint="eastAsia" w:ascii="仿宋_GB2312" w:hAnsi="黑体" w:eastAsia="仿宋_GB2312" w:cs="仿宋_GB2312"/>
          <w:color w:val="auto"/>
          <w:sz w:val="32"/>
          <w:szCs w:val="32"/>
          <w:u w:val="none"/>
          <w:lang w:eastAsia="zh-CN"/>
        </w:rPr>
        <w:t>创建示范幼儿园和对口帮扶项目</w:t>
      </w:r>
      <w:r>
        <w:rPr>
          <w:rFonts w:hint="eastAsia" w:ascii="仿宋_GB2312" w:hAnsi="黑体" w:eastAsia="仿宋_GB2312"/>
          <w:color w:val="auto"/>
          <w:sz w:val="32"/>
          <w:szCs w:val="32"/>
          <w:u w:val="none"/>
          <w:lang w:val="en-US" w:eastAsia="zh-CN"/>
        </w:rPr>
        <w:t>”，2024年项目预算总额比上年少26.79万元；而由于调薪、人员岗位职级变动等原因，导致2024年度人员经费（除养老、医疗、年金、公积金外）上涨，比上年度增加了39.32万元，总体来说预算有所增加。</w:t>
      </w:r>
    </w:p>
    <w:p>
      <w:pPr>
        <w:ind w:firstLine="640" w:firstLineChars="200"/>
        <w:jc w:val="left"/>
        <w:rPr>
          <w:rFonts w:hint="eastAsia" w:ascii="仿宋_GB2312" w:hAnsi="黑体" w:eastAsia="仿宋_GB2312"/>
          <w:color w:val="1F497D" w:themeColor="text2"/>
          <w:sz w:val="32"/>
          <w:szCs w:val="32"/>
          <w:u w:val="none"/>
          <w:lang w:val="en-US" w:eastAsia="zh-CN"/>
        </w:rPr>
      </w:pPr>
      <w:r>
        <w:rPr>
          <w:rFonts w:hint="eastAsia" w:ascii="仿宋_GB2312" w:hAnsi="黑体" w:eastAsia="仿宋_GB2312"/>
          <w:color w:val="auto"/>
          <w:sz w:val="32"/>
          <w:szCs w:val="32"/>
          <w:u w:val="none"/>
          <w:lang w:val="en-US" w:eastAsia="zh-CN"/>
        </w:rPr>
        <w:t>2. 社会保障和就业支出（类）行政事业单位养老支出（款）机关事业单位基本养老保险缴费支出（项）2024年预算数为70.66万元，比上年预算数增加6.79万元，主要是因政策调整，基数取值范围扩大导致养老保险预算上涨。</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3.社会保障和就业支出（类）行政事业单位养老支出（款）机关事业单位职业年金缴费支出（项）2024年预算数为107.94万元，比上年预算数减少2.56万元，主要是补缴部分以前年度职业年金单位部分预算因补缴年份比2023年补缴年份短，补缴部分预算比去年少5.96万元。</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4.卫生健康支出（类）行政事业单位医疗（款）事业单位医疗（项）204年预算数为31.97万元，比上年预算数增加3.86万元，主要是因政策调整，基数取值范围扩大导致医疗保险预算上涨。</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5.住房保障支出（类）住房改革支出（款）住房公积金（项）2024年预算数为58.58万元，比上年预算数增加4.90万元，主要是因政策调整，基数取值范围扩大导致住房公积金预算上涨。</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琼台师范学院附属幼儿园单位2024</w:t>
      </w:r>
      <w:r>
        <w:rPr>
          <w:rFonts w:hint="eastAsia" w:ascii="黑体" w:hAnsi="黑体" w:eastAsia="黑体"/>
          <w:sz w:val="32"/>
          <w:szCs w:val="32"/>
          <w:u w:val="none"/>
        </w:rPr>
        <w:t>年一般公共预算基本支出情况说明</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琼台师范学院附属幼儿园单位2024年一般公共预算基本支出为969.88万元，其中：</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人员经费920.42万元，主要包括：基本工资、津贴补贴、绩效工资、机关事业单位基本养老保险缴费、职业年金缴费、职工基本医疗保险缴费、其他社会保障缴费、住房公积金、医疗费、其他工资福利支出、邮电费、奖励金、其他对个人和家庭的补助;</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公用经费49.45万元，主要包括：其他社会保障缴费、其他工资福利支出、办公费、手续费、邮电费、物业管理费、差旅费、维修（护）费、公务接待费、专用材料费、专用燃料费、劳务费、工会经费、公务用车运行维护费、其他交通费用、其他商品和服务支出。</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u w:val="none"/>
          <w:lang w:val="en-US" w:eastAsia="zh-CN"/>
        </w:rPr>
        <w:t>琼台师范学院附属幼儿园单位2024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（一）琼台师范学院附属幼儿园单位2024年一般公共预算“三公”经费预算数为6万元，其中：</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因公出国（境）经费0万元，与上年预算持平，本年度单位无出国安排，</w:t>
      </w:r>
      <w:r>
        <w:rPr>
          <w:rFonts w:ascii="Times New Roman" w:hAnsi="Times New Roman" w:eastAsia="仿宋_GB2312" w:cs="Times New Roman"/>
          <w:sz w:val="32"/>
          <w:u w:val="none"/>
          <w:shd w:val="clear" w:color="auto" w:fill="FFFFFF"/>
        </w:rPr>
        <w:t>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次，出国（境）</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w:t>
      </w:r>
      <w:r>
        <w:rPr>
          <w:rFonts w:hint="eastAsia" w:ascii="Times New Roman" w:hAnsi="Times New Roman" w:eastAsia="仿宋_GB2312" w:cs="Times New Roman"/>
          <w:sz w:val="32"/>
          <w:u w:val="none"/>
          <w:shd w:val="clear" w:color="auto" w:fill="FFFFFF"/>
          <w:lang w:eastAsia="zh-CN"/>
        </w:rPr>
        <w:t>。</w:t>
      </w:r>
      <w:r>
        <w:rPr>
          <w:rFonts w:hint="eastAsia" w:ascii="仿宋_GB2312" w:hAnsi="黑体" w:eastAsia="仿宋_GB2312"/>
          <w:color w:val="auto"/>
          <w:sz w:val="32"/>
          <w:szCs w:val="32"/>
          <w:u w:val="none"/>
          <w:lang w:val="en-US" w:eastAsia="zh-CN"/>
        </w:rPr>
        <w:t>公务用车购置及运行费5万元（其中，公务用车购置费0万元，公务用车运行费5万元），与上年预算持平。公务接待费1万元，与上年预算持平，计划接待5批次约20人。</w:t>
      </w:r>
    </w:p>
    <w:p>
      <w:pPr>
        <w:ind w:firstLine="640" w:firstLineChars="200"/>
        <w:rPr>
          <w:rFonts w:ascii="仿宋_GB2312" w:hAnsi="黑体" w:eastAsia="仿宋_GB2312" w:cs="Times New Roman"/>
          <w:color w:val="000000" w:themeColor="text1"/>
          <w:sz w:val="32"/>
          <w:szCs w:val="32"/>
          <w:u w:val="none"/>
        </w:rPr>
      </w:pPr>
      <w:r>
        <w:rPr>
          <w:rFonts w:hint="eastAsia" w:ascii="仿宋_GB2312" w:hAnsi="黑体" w:eastAsia="仿宋_GB2312"/>
          <w:color w:val="auto"/>
          <w:sz w:val="32"/>
          <w:szCs w:val="32"/>
          <w:u w:val="none"/>
          <w:lang w:val="en-US" w:eastAsia="zh-CN"/>
        </w:rPr>
        <w:t>（二）琼台师范学院附属幼儿园2024年政府性基金预算“三公”经费预算数为0万元</w:t>
      </w:r>
      <w:r>
        <w:rPr>
          <w:rFonts w:hint="eastAsia" w:ascii="仿宋_GB2312" w:hAnsi="黑体" w:eastAsia="仿宋_GB2312"/>
          <w:color w:val="000000" w:themeColor="text1"/>
          <w:sz w:val="32"/>
          <w:szCs w:val="32"/>
          <w:u w:val="none"/>
        </w:rPr>
        <w:t>，其中：</w:t>
      </w:r>
    </w:p>
    <w:p>
      <w:pPr>
        <w:rPr>
          <w:rFonts w:hint="eastAsia" w:ascii="仿宋_GB2312" w:hAnsi="黑体" w:eastAsia="仿宋_GB2312"/>
          <w:color w:val="auto"/>
          <w:sz w:val="32"/>
          <w:szCs w:val="32"/>
          <w:u w:val="none"/>
          <w:lang w:val="en-US" w:eastAsia="zh-CN"/>
        </w:rPr>
      </w:pPr>
      <w:r>
        <w:rPr>
          <w:rFonts w:ascii="Times New Roman" w:hAnsi="Times New Roman" w:eastAsia="仿宋_GB2312" w:cs="Times New Roman"/>
          <w:color w:val="000000" w:themeColor="text1"/>
          <w:sz w:val="32"/>
          <w:u w:val="none"/>
          <w:shd w:val="clear" w:color="auto" w:fill="FFFFFF"/>
        </w:rPr>
        <w:t xml:space="preserve">    因公出国（境）经费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w:t>
      </w:r>
      <w:r>
        <w:rPr>
          <w:rFonts w:ascii="Times New Roman" w:hAnsi="Times New Roman" w:eastAsia="仿宋_GB2312" w:cs="Times New Roman"/>
          <w:color w:val="000000" w:themeColor="text1"/>
          <w:sz w:val="32"/>
          <w:u w:val="none"/>
          <w:shd w:val="clear" w:color="auto" w:fill="FFFFFF"/>
        </w:rPr>
        <w:t>根据安排的</w:t>
      </w:r>
      <w:r>
        <w:rPr>
          <w:rFonts w:hint="eastAsia" w:ascii="仿宋_GB2312" w:hAnsi="黑体" w:eastAsia="仿宋_GB2312" w:cs="仿宋_GB2312"/>
          <w:color w:val="000000" w:themeColor="text1"/>
          <w:sz w:val="32"/>
          <w:szCs w:val="32"/>
          <w:u w:val="none"/>
          <w:lang w:eastAsia="zh-CN"/>
        </w:rPr>
        <w:t>2</w:t>
      </w:r>
      <w:r>
        <w:rPr>
          <w:rFonts w:hint="eastAsia" w:ascii="仿宋_GB2312" w:hAnsi="黑体" w:eastAsia="仿宋_GB2312" w:cs="仿宋_GB2312"/>
          <w:color w:val="000000" w:themeColor="text1"/>
          <w:sz w:val="32"/>
          <w:szCs w:val="32"/>
          <w:u w:val="none"/>
          <w:lang w:val="en-US" w:eastAsia="zh-CN"/>
        </w:rPr>
        <w:t>024</w:t>
      </w:r>
      <w:r>
        <w:rPr>
          <w:rFonts w:ascii="Times New Roman" w:hAnsi="Times New Roman" w:eastAsia="仿宋_GB2312" w:cs="Times New Roman"/>
          <w:color w:val="000000" w:themeColor="text1"/>
          <w:sz w:val="32"/>
          <w:u w:val="none"/>
          <w:shd w:val="clear" w:color="auto" w:fill="FFFFFF"/>
        </w:rPr>
        <w:t>年出国计划，拟安排出国（境）组</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次，出国（境）</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人。公务用车购置及运行费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万元（其中，</w:t>
      </w:r>
      <w:r>
        <w:rPr>
          <w:rFonts w:ascii="Times New Roman" w:hAnsi="Times New Roman" w:eastAsia="仿宋_GB2312" w:cs="Times New Roman"/>
          <w:color w:val="000000" w:themeColor="text1"/>
          <w:sz w:val="32"/>
          <w:u w:val="none"/>
          <w:shd w:val="clear" w:color="auto" w:fill="FFFFFF"/>
        </w:rPr>
        <w:t>公务用车购置</w:t>
      </w:r>
      <w:r>
        <w:rPr>
          <w:rFonts w:hint="eastAsia" w:ascii="Times New Roman" w:hAnsi="Times New Roman" w:eastAsia="仿宋_GB2312" w:cs="Times New Roman"/>
          <w:color w:val="000000" w:themeColor="text1"/>
          <w:sz w:val="32"/>
          <w:u w:val="none"/>
          <w:shd w:val="clear" w:color="auto" w:fill="FFFFFF"/>
        </w:rPr>
        <w:t>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Times New Roman" w:hAnsi="Times New Roman" w:eastAsia="仿宋_GB2312" w:cs="Times New Roman"/>
          <w:color w:val="000000" w:themeColor="text1"/>
          <w:sz w:val="32"/>
          <w:u w:val="none"/>
          <w:shd w:val="clear" w:color="auto" w:fill="FFFFFF"/>
        </w:rPr>
        <w:t>，公务用车</w:t>
      </w:r>
      <w:r>
        <w:rPr>
          <w:rFonts w:ascii="Times New Roman" w:hAnsi="Times New Roman" w:eastAsia="仿宋_GB2312" w:cs="Times New Roman"/>
          <w:color w:val="000000" w:themeColor="text1"/>
          <w:sz w:val="32"/>
          <w:u w:val="none"/>
          <w:shd w:val="clear" w:color="auto" w:fill="FFFFFF"/>
        </w:rPr>
        <w:t>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；公务车保有量</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辆，计划购置</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w:t>
      </w:r>
      <w:r>
        <w:rPr>
          <w:rFonts w:hint="eastAsia" w:ascii="Times New Roman" w:hAnsi="Times New Roman" w:eastAsia="仿宋_GB2312" w:cs="Times New Roman"/>
          <w:color w:val="000000" w:themeColor="text1"/>
          <w:sz w:val="32"/>
          <w:u w:val="none"/>
          <w:shd w:val="clear" w:color="auto" w:fill="FFFFFF"/>
        </w:rPr>
        <w:t>。</w:t>
      </w:r>
      <w:r>
        <w:rPr>
          <w:rFonts w:ascii="仿宋_GB2312" w:hAnsi="黑体" w:eastAsia="仿宋_GB2312" w:cs="Times New Roman"/>
          <w:color w:val="000000" w:themeColor="text1"/>
          <w:sz w:val="32"/>
          <w:szCs w:val="32"/>
          <w:u w:val="none"/>
        </w:rPr>
        <w:t>公务接待费</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万元，与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，计划接待</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人</w:t>
      </w:r>
      <w:r>
        <w:rPr>
          <w:rFonts w:hint="eastAsia" w:ascii="Times New Roman" w:hAnsi="Times New Roman" w:eastAsia="仿宋_GB2312" w:cs="Times New Roman"/>
          <w:color w:val="000000" w:themeColor="text1"/>
          <w:sz w:val="32"/>
          <w:u w:val="none"/>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sz w:val="32"/>
          <w:szCs w:val="32"/>
          <w:u w:val="none"/>
          <w:lang w:val="en-US" w:eastAsia="zh-CN"/>
        </w:rPr>
        <w:t>琼台师范学院附属幼儿园单位2024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hint="eastAsia" w:ascii="仿宋_GB2312" w:hAnsi="黑体" w:eastAsia="仿宋_GB2312"/>
          <w:sz w:val="32"/>
          <w:szCs w:val="32"/>
          <w:lang w:val="en-US" w:eastAsia="zh-CN"/>
        </w:rPr>
      </w:pPr>
      <w:r>
        <w:rPr>
          <w:rFonts w:hint="eastAsia" w:ascii="楷体" w:hAnsi="楷体" w:eastAsia="楷体"/>
          <w:sz w:val="32"/>
          <w:szCs w:val="32"/>
          <w:u w:val="none"/>
        </w:rPr>
        <w:t>（一）政府性基金预算当年规模变化情况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琼台师范学院附属幼儿园单位2024年</w:t>
      </w:r>
      <w:r>
        <w:rPr>
          <w:rFonts w:hint="eastAsia" w:ascii="仿宋_GB2312" w:hAnsi="黑体" w:eastAsia="仿宋_GB2312"/>
          <w:sz w:val="32"/>
          <w:szCs w:val="32"/>
          <w:lang w:eastAsia="zh-CN"/>
        </w:rPr>
        <w:t>无政府性基金预算</w:t>
      </w:r>
      <w:r>
        <w:rPr>
          <w:rFonts w:ascii="仿宋_GB2312" w:eastAsia="仿宋_GB2312"/>
          <w:sz w:val="32"/>
          <w:shd w:val="clear" w:color="auto" w:fill="FFFFFF"/>
        </w:rPr>
        <w:t>当年拨款</w:t>
      </w:r>
      <w:r>
        <w:rPr>
          <w:rFonts w:hint="eastAsia" w:ascii="仿宋_GB2312" w:hAnsi="黑体" w:eastAsia="仿宋_GB2312"/>
          <w:sz w:val="32"/>
          <w:szCs w:val="32"/>
        </w:rPr>
        <w:t>。</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琼台师范学院附属幼儿园单位2024年</w:t>
      </w:r>
      <w:r>
        <w:rPr>
          <w:rFonts w:hint="eastAsia" w:ascii="仿宋_GB2312" w:hAnsi="黑体" w:eastAsia="仿宋_GB2312"/>
          <w:sz w:val="32"/>
          <w:szCs w:val="32"/>
          <w:lang w:eastAsia="zh-CN"/>
        </w:rPr>
        <w:t>无政府性基金预算</w:t>
      </w:r>
      <w:r>
        <w:rPr>
          <w:rFonts w:ascii="仿宋_GB2312" w:eastAsia="仿宋_GB2312"/>
          <w:sz w:val="32"/>
          <w:shd w:val="clear" w:color="auto" w:fill="FFFFFF"/>
        </w:rPr>
        <w:t>当年拨款</w:t>
      </w:r>
      <w:r>
        <w:rPr>
          <w:rFonts w:hint="eastAsia" w:ascii="仿宋_GB2312" w:hAnsi="黑体" w:eastAsia="仿宋_GB2312"/>
          <w:sz w:val="32"/>
          <w:szCs w:val="32"/>
        </w:rPr>
        <w:t>。</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琼台师范学院附属幼儿园单位2024年</w:t>
      </w:r>
      <w:r>
        <w:rPr>
          <w:rFonts w:hint="eastAsia" w:ascii="仿宋_GB2312" w:hAnsi="黑体" w:eastAsia="仿宋_GB2312"/>
          <w:sz w:val="32"/>
          <w:szCs w:val="32"/>
          <w:lang w:eastAsia="zh-CN"/>
        </w:rPr>
        <w:t>无政府性基金预算</w:t>
      </w:r>
      <w:r>
        <w:rPr>
          <w:rFonts w:ascii="仿宋_GB2312" w:eastAsia="仿宋_GB2312"/>
          <w:sz w:val="32"/>
          <w:shd w:val="clear" w:color="auto" w:fill="FFFFFF"/>
        </w:rPr>
        <w:t>当年拨款</w:t>
      </w:r>
      <w:r>
        <w:rPr>
          <w:rFonts w:hint="eastAsia" w:ascii="仿宋_GB2312" w:hAnsi="黑体" w:eastAsia="仿宋_GB2312"/>
          <w:sz w:val="32"/>
          <w:szCs w:val="32"/>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val="en-US" w:eastAsia="zh-CN"/>
        </w:rPr>
        <w:t>琼台师范学院附属幼儿园单位2024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按照综合预算原则，琼台师范学院附属幼儿园单位所有收入和支出均纳入部门预算管理。收入包括：一般公共预算收入、其他收入；支出包括：教育支出、社会保障和就业支出、卫生健康支出、住房保障支出。琼台师范学院附属幼儿园2024年收支总预算1100.59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val="en-US" w:eastAsia="zh-CN"/>
        </w:rPr>
        <w:t>琼台师范学院附属幼儿园单位2024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jc w:val="left"/>
        <w:rPr>
          <w:rFonts w:hint="eastAsia" w:ascii="仿宋_GB2312" w:hAnsi="黑体" w:eastAsia="仿宋_GB2312"/>
          <w:color w:val="1F497D" w:themeColor="text2"/>
          <w:sz w:val="32"/>
          <w:szCs w:val="32"/>
          <w:u w:val="none"/>
          <w:lang w:val="en-US" w:eastAsia="zh-CN"/>
        </w:rPr>
      </w:pPr>
      <w:r>
        <w:rPr>
          <w:rFonts w:hint="eastAsia" w:ascii="仿宋_GB2312" w:hAnsi="黑体" w:eastAsia="仿宋_GB2312"/>
          <w:color w:val="auto"/>
          <w:sz w:val="32"/>
          <w:szCs w:val="32"/>
          <w:u w:val="none"/>
          <w:lang w:val="en-US" w:eastAsia="zh-CN"/>
        </w:rPr>
        <w:t>琼台师范学院附属幼儿园单位2024年收入预算1100.59万元，其中：上年结转7.10万元，占0.65%；经费拨款收入1093.34万元，占99.34%；政府性基金收入0万元，占0%；其它收入0.15万元，占0.01%。比上年预算数增加27.67万元，主要是2024年新增某建设津贴的预算。</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val="en-US" w:eastAsia="zh-CN"/>
        </w:rPr>
        <w:t>琼台师范学院附属幼儿园单位2024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jc w:val="left"/>
        <w:rPr>
          <w:rFonts w:hint="eastAsia" w:ascii="仿宋_GB2312" w:hAnsi="黑体" w:eastAsia="仿宋_GB2312"/>
          <w:color w:val="1F497D" w:themeColor="text2"/>
          <w:sz w:val="32"/>
          <w:szCs w:val="32"/>
          <w:u w:val="none"/>
          <w:lang w:val="en-US" w:eastAsia="zh-CN"/>
        </w:rPr>
      </w:pPr>
      <w:r>
        <w:rPr>
          <w:rFonts w:hint="eastAsia" w:ascii="仿宋_GB2312" w:hAnsi="黑体" w:eastAsia="仿宋_GB2312"/>
          <w:color w:val="auto"/>
          <w:sz w:val="32"/>
          <w:szCs w:val="32"/>
          <w:u w:val="none"/>
          <w:lang w:val="en-US" w:eastAsia="zh-CN"/>
        </w:rPr>
        <w:t>琼台师范学院附属幼儿园单位2024年支出预算1093.54万元，其中：基本支出970.08万元，占88.71%；项目支出123.46万元，占11.29%。比上年预算数增加27.62万元，主要是2024年新增某建设津贴的预算</w:t>
      </w:r>
      <w:r>
        <w:rPr>
          <w:rFonts w:hint="eastAsia" w:ascii="仿宋_GB2312" w:hAnsi="黑体" w:eastAsia="仿宋_GB2312"/>
          <w:color w:val="1F497D" w:themeColor="text2"/>
          <w:sz w:val="32"/>
          <w:szCs w:val="32"/>
          <w:u w:val="none"/>
          <w:lang w:val="en-US" w:eastAsia="zh-CN"/>
        </w:rPr>
        <w:t>。</w:t>
      </w:r>
    </w:p>
    <w:p>
      <w:pPr>
        <w:ind w:firstLine="640" w:firstLineChars="200"/>
        <w:rPr>
          <w:rFonts w:ascii="仿宋_GB2312" w:hAnsi="黑体" w:eastAsia="仿宋_GB2312"/>
          <w:sz w:val="32"/>
          <w:szCs w:val="32"/>
          <w:u w:val="none"/>
        </w:rPr>
      </w:pPr>
      <w:r>
        <w:rPr>
          <w:rFonts w:hint="eastAsia" w:ascii="黑体" w:hAnsi="黑体" w:eastAsia="黑体" w:cs="Times New Roman"/>
          <w:sz w:val="32"/>
          <w:u w:val="none"/>
          <w:shd w:val="clear" w:color="auto" w:fill="FFFFFF"/>
        </w:rPr>
        <w:t>九、其他重要事项的情况说明</w:t>
      </w:r>
    </w:p>
    <w:p>
      <w:pPr>
        <w:ind w:firstLine="640" w:firstLineChars="200"/>
        <w:rPr>
          <w:rFonts w:hint="eastAsia" w:ascii="楷体" w:hAnsi="楷体" w:eastAsia="楷体"/>
          <w:sz w:val="32"/>
          <w:szCs w:val="32"/>
          <w:u w:val="none"/>
          <w:lang w:val="en-US" w:eastAsia="zh-CN"/>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无。</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二</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sz w:val="32"/>
          <w:szCs w:val="32"/>
          <w:lang w:eastAsia="zh-CN"/>
        </w:rPr>
        <w:t>琼台师范学院附属幼儿园单位无</w:t>
      </w:r>
      <w:r>
        <w:rPr>
          <w:rFonts w:hint="eastAsia" w:ascii="仿宋_GB2312" w:hAnsi="黑体" w:eastAsia="仿宋_GB2312" w:cs="仿宋_GB2312"/>
          <w:sz w:val="32"/>
          <w:szCs w:val="32"/>
        </w:rPr>
        <w:t>政府采购预算</w:t>
      </w:r>
      <w:r>
        <w:rPr>
          <w:rFonts w:hint="eastAsia" w:ascii="仿宋_GB2312" w:hAnsi="黑体" w:eastAsia="仿宋_GB2312"/>
          <w:sz w:val="32"/>
          <w:szCs w:val="32"/>
          <w:u w:val="none"/>
        </w:rPr>
        <w:t>。</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三</w:t>
      </w:r>
      <w:r>
        <w:rPr>
          <w:rFonts w:hint="eastAsia" w:ascii="楷体" w:hAnsi="楷体" w:eastAsia="楷体"/>
          <w:sz w:val="32"/>
          <w:szCs w:val="32"/>
          <w:u w:val="none"/>
        </w:rPr>
        <w:t>）国有资产占有使用情况</w:t>
      </w:r>
    </w:p>
    <w:p>
      <w:pPr>
        <w:ind w:firstLine="640" w:firstLineChars="200"/>
        <w:jc w:val="left"/>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highlight w:val="none"/>
          <w:u w:val="none"/>
          <w:lang w:val="en-US" w:eastAsia="zh-CN"/>
        </w:rPr>
        <w:t>2024</w:t>
      </w:r>
      <w:r>
        <w:rPr>
          <w:rFonts w:hint="eastAsia" w:ascii="仿宋_GB2312" w:hAnsi="黑体" w:eastAsia="仿宋_GB2312"/>
          <w:sz w:val="32"/>
          <w:szCs w:val="32"/>
          <w:u w:val="none"/>
        </w:rPr>
        <w:t>年12月31日，</w:t>
      </w:r>
      <w:r>
        <w:rPr>
          <w:rFonts w:hint="eastAsia" w:ascii="仿宋_GB2312" w:hAnsi="黑体" w:eastAsia="仿宋_GB2312"/>
          <w:sz w:val="32"/>
          <w:szCs w:val="32"/>
          <w:lang w:eastAsia="zh-CN"/>
        </w:rPr>
        <w:t>琼台师范学院附属幼儿园单位</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四</w:t>
      </w:r>
      <w:r>
        <w:rPr>
          <w:rFonts w:hint="eastAsia" w:ascii="楷体" w:hAnsi="楷体" w:eastAsia="楷体"/>
          <w:sz w:val="32"/>
          <w:szCs w:val="32"/>
          <w:u w:val="none"/>
        </w:rPr>
        <w:t>）</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2024年琼台师范学院附属幼儿园单位15个项目实行绩效目标管理，涉及一般公共预算1093.34万元、其他0.2万元。</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其中，部分</w:t>
      </w:r>
      <w:bookmarkStart w:id="0" w:name="_GoBack"/>
      <w:bookmarkEnd w:id="0"/>
      <w:r>
        <w:rPr>
          <w:rFonts w:hint="eastAsia" w:ascii="仿宋_GB2312" w:hAnsi="黑体" w:eastAsia="仿宋_GB2312"/>
          <w:color w:val="auto"/>
          <w:sz w:val="32"/>
          <w:szCs w:val="32"/>
          <w:u w:val="none"/>
          <w:lang w:val="en-US" w:eastAsia="zh-CN"/>
        </w:rPr>
        <w:t>项目预算绩效情况：</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1.设备（设施）运行维护与改造项目，预算安排10.00万元，主要用于设施、设备的维修维护与改造，绩效目标是减少安全隐患，优化校园环境，提高办学效率，使幼儿园更适合开展教育教学活动，保障日常教学与办公的正常运转。</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2.设备（装备）购置项目，预算安排47.06万元，主要用于购置幼儿图书、教材、教玩具、教学办公设备等，绩效目标是为满足现代化教学需要，改善教学办公环境，有计划的添置资产设备、教玩具、图书等，提升幼儿园的硬软件条件。</w:t>
      </w:r>
    </w:p>
    <w:p>
      <w:pPr>
        <w:ind w:firstLine="640" w:firstLineChars="200"/>
        <w:jc w:val="left"/>
        <w:rPr>
          <w:rFonts w:hint="eastAsia"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3.公办幼儿园运转补助项目，预算安排32.70万元，主要用于支持公办园的日常运转，绩效目标是保障单位日常运转，提高预算编制质量，严格执行预算。</w:t>
      </w:r>
    </w:p>
    <w:p>
      <w:pPr>
        <w:ind w:firstLine="640" w:firstLineChars="200"/>
        <w:jc w:val="left"/>
        <w:rPr>
          <w:rFonts w:hint="default" w:ascii="仿宋_GB2312" w:hAnsi="黑体" w:eastAsia="仿宋_GB2312"/>
          <w:color w:val="auto"/>
          <w:sz w:val="32"/>
          <w:szCs w:val="32"/>
          <w:u w:val="none"/>
          <w:lang w:val="en-US" w:eastAsia="zh-CN"/>
        </w:rPr>
      </w:pPr>
      <w:r>
        <w:rPr>
          <w:rFonts w:hint="eastAsia" w:ascii="仿宋_GB2312" w:hAnsi="黑体" w:eastAsia="仿宋_GB2312"/>
          <w:color w:val="auto"/>
          <w:sz w:val="32"/>
          <w:szCs w:val="32"/>
          <w:u w:val="none"/>
          <w:lang w:val="en-US" w:eastAsia="zh-CN"/>
        </w:rPr>
        <w:t>4.综合运行事务项目，预算安排33.70万元，主要用于保障单位日常运转，绩效目标是保障单位日常运转，提高预算编制质量，严格执行预算。</w:t>
      </w:r>
    </w:p>
    <w:p>
      <w:pPr>
        <w:jc w:val="center"/>
        <w:rPr>
          <w:rFonts w:ascii="黑体" w:hAnsi="黑体" w:eastAsia="黑体"/>
          <w:sz w:val="32"/>
          <w:szCs w:val="32"/>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黑体" w:eastAsia="仿宋_GB2312" w:cs="仿宋_GB2312"/>
          <w:sz w:val="32"/>
          <w:szCs w:val="32"/>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2NlMjY5YmFhZDBhNTdkODY0ZWViNmE2YmI2ODQ2OWIifQ=="/>
  </w:docVars>
  <w:rsids>
    <w:rsidRoot w:val="00000000"/>
    <w:rsid w:val="008B509F"/>
    <w:rsid w:val="009F1E28"/>
    <w:rsid w:val="009F22FC"/>
    <w:rsid w:val="016F3520"/>
    <w:rsid w:val="020C6555"/>
    <w:rsid w:val="02B65F02"/>
    <w:rsid w:val="030A66C6"/>
    <w:rsid w:val="034D0B15"/>
    <w:rsid w:val="03813FD4"/>
    <w:rsid w:val="03CD0949"/>
    <w:rsid w:val="04011579"/>
    <w:rsid w:val="04216212"/>
    <w:rsid w:val="045B3BAF"/>
    <w:rsid w:val="04783F27"/>
    <w:rsid w:val="04D136A0"/>
    <w:rsid w:val="05630A7F"/>
    <w:rsid w:val="05EB592D"/>
    <w:rsid w:val="05F40C2F"/>
    <w:rsid w:val="064364BD"/>
    <w:rsid w:val="064E23D1"/>
    <w:rsid w:val="06947CB0"/>
    <w:rsid w:val="06E96FAF"/>
    <w:rsid w:val="06F329C4"/>
    <w:rsid w:val="07545048"/>
    <w:rsid w:val="0771541A"/>
    <w:rsid w:val="080C3F6D"/>
    <w:rsid w:val="086129BC"/>
    <w:rsid w:val="08742478"/>
    <w:rsid w:val="08B141B7"/>
    <w:rsid w:val="08D427EB"/>
    <w:rsid w:val="09620F2F"/>
    <w:rsid w:val="09722E42"/>
    <w:rsid w:val="097A6637"/>
    <w:rsid w:val="0A0064DD"/>
    <w:rsid w:val="0A613BEE"/>
    <w:rsid w:val="0AC07DD3"/>
    <w:rsid w:val="0AC71891"/>
    <w:rsid w:val="0AD04E27"/>
    <w:rsid w:val="0C736E02"/>
    <w:rsid w:val="0C8852B9"/>
    <w:rsid w:val="0C971994"/>
    <w:rsid w:val="0CC215B4"/>
    <w:rsid w:val="0D9012F5"/>
    <w:rsid w:val="0DF7746A"/>
    <w:rsid w:val="0E566DE3"/>
    <w:rsid w:val="0F570EBF"/>
    <w:rsid w:val="10243721"/>
    <w:rsid w:val="102F03AF"/>
    <w:rsid w:val="10312301"/>
    <w:rsid w:val="10440464"/>
    <w:rsid w:val="10767FC6"/>
    <w:rsid w:val="107A0889"/>
    <w:rsid w:val="10FE62DE"/>
    <w:rsid w:val="116F755E"/>
    <w:rsid w:val="119A1134"/>
    <w:rsid w:val="1205264E"/>
    <w:rsid w:val="12D56BF0"/>
    <w:rsid w:val="143372D3"/>
    <w:rsid w:val="14AD6E2C"/>
    <w:rsid w:val="14FA1551"/>
    <w:rsid w:val="15271CC1"/>
    <w:rsid w:val="153151ED"/>
    <w:rsid w:val="15944468"/>
    <w:rsid w:val="1596738C"/>
    <w:rsid w:val="15D3577B"/>
    <w:rsid w:val="15E43588"/>
    <w:rsid w:val="172721D0"/>
    <w:rsid w:val="173F293C"/>
    <w:rsid w:val="17F2448A"/>
    <w:rsid w:val="18DB32FF"/>
    <w:rsid w:val="19640E91"/>
    <w:rsid w:val="196B5D7E"/>
    <w:rsid w:val="19EA2394"/>
    <w:rsid w:val="1A2621B5"/>
    <w:rsid w:val="1A680825"/>
    <w:rsid w:val="1AFB3532"/>
    <w:rsid w:val="1B080D1B"/>
    <w:rsid w:val="1B50382A"/>
    <w:rsid w:val="1B873F99"/>
    <w:rsid w:val="1BE978DE"/>
    <w:rsid w:val="1C266B89"/>
    <w:rsid w:val="1C275642"/>
    <w:rsid w:val="1C60332E"/>
    <w:rsid w:val="1C923492"/>
    <w:rsid w:val="1C964BD4"/>
    <w:rsid w:val="1D132548"/>
    <w:rsid w:val="1D3F6228"/>
    <w:rsid w:val="1E2B70F0"/>
    <w:rsid w:val="1E7D5D04"/>
    <w:rsid w:val="1FD625D5"/>
    <w:rsid w:val="20A5356C"/>
    <w:rsid w:val="20E66AEC"/>
    <w:rsid w:val="21F16D78"/>
    <w:rsid w:val="230C3282"/>
    <w:rsid w:val="23E62AA8"/>
    <w:rsid w:val="2405752B"/>
    <w:rsid w:val="24D427BD"/>
    <w:rsid w:val="263C77B6"/>
    <w:rsid w:val="264D0656"/>
    <w:rsid w:val="270A02B9"/>
    <w:rsid w:val="272249BB"/>
    <w:rsid w:val="2741619D"/>
    <w:rsid w:val="281315F7"/>
    <w:rsid w:val="288954B9"/>
    <w:rsid w:val="28F130DD"/>
    <w:rsid w:val="2A01084E"/>
    <w:rsid w:val="2A207C59"/>
    <w:rsid w:val="2A25006E"/>
    <w:rsid w:val="2A342EEC"/>
    <w:rsid w:val="2AAF051E"/>
    <w:rsid w:val="2AFF3081"/>
    <w:rsid w:val="2B922583"/>
    <w:rsid w:val="2BAD54AE"/>
    <w:rsid w:val="2BC8357F"/>
    <w:rsid w:val="2C3652B3"/>
    <w:rsid w:val="2C9532CA"/>
    <w:rsid w:val="2C994585"/>
    <w:rsid w:val="2CE65251"/>
    <w:rsid w:val="2CFFD3C3"/>
    <w:rsid w:val="2D5F060C"/>
    <w:rsid w:val="2E2842BC"/>
    <w:rsid w:val="2E550217"/>
    <w:rsid w:val="2E690B5F"/>
    <w:rsid w:val="2F156FA6"/>
    <w:rsid w:val="2F902689"/>
    <w:rsid w:val="2FA94CC8"/>
    <w:rsid w:val="2FC318CD"/>
    <w:rsid w:val="300919FE"/>
    <w:rsid w:val="303167E8"/>
    <w:rsid w:val="3049437C"/>
    <w:rsid w:val="30B771D7"/>
    <w:rsid w:val="30E365E3"/>
    <w:rsid w:val="318A2F17"/>
    <w:rsid w:val="325E3D6F"/>
    <w:rsid w:val="32676917"/>
    <w:rsid w:val="32745822"/>
    <w:rsid w:val="32845F56"/>
    <w:rsid w:val="32C8419F"/>
    <w:rsid w:val="32EF32BF"/>
    <w:rsid w:val="33A7018D"/>
    <w:rsid w:val="348C3D23"/>
    <w:rsid w:val="34E94CD0"/>
    <w:rsid w:val="35E76CE0"/>
    <w:rsid w:val="367E6E90"/>
    <w:rsid w:val="36CA61EF"/>
    <w:rsid w:val="36DC2440"/>
    <w:rsid w:val="3783180E"/>
    <w:rsid w:val="37DF1B78"/>
    <w:rsid w:val="389E6BFB"/>
    <w:rsid w:val="393725CC"/>
    <w:rsid w:val="39C20AB4"/>
    <w:rsid w:val="3AAE57A9"/>
    <w:rsid w:val="3AF62976"/>
    <w:rsid w:val="3B0E011F"/>
    <w:rsid w:val="3B1B34DB"/>
    <w:rsid w:val="3B38632E"/>
    <w:rsid w:val="3C531FBD"/>
    <w:rsid w:val="3C5B6FBF"/>
    <w:rsid w:val="3C702E1F"/>
    <w:rsid w:val="3C98023A"/>
    <w:rsid w:val="3D232C55"/>
    <w:rsid w:val="3D5F222C"/>
    <w:rsid w:val="3E054AE5"/>
    <w:rsid w:val="3EB54C7D"/>
    <w:rsid w:val="3F8B22CC"/>
    <w:rsid w:val="3FC307D3"/>
    <w:rsid w:val="408078FC"/>
    <w:rsid w:val="40A50B35"/>
    <w:rsid w:val="40C247AA"/>
    <w:rsid w:val="42212687"/>
    <w:rsid w:val="43803E53"/>
    <w:rsid w:val="439246DC"/>
    <w:rsid w:val="439F2D12"/>
    <w:rsid w:val="43EB10BA"/>
    <w:rsid w:val="440B1E22"/>
    <w:rsid w:val="445E63A1"/>
    <w:rsid w:val="44D329F5"/>
    <w:rsid w:val="453634EE"/>
    <w:rsid w:val="4631727A"/>
    <w:rsid w:val="463346E5"/>
    <w:rsid w:val="46FA4A26"/>
    <w:rsid w:val="4721552B"/>
    <w:rsid w:val="47246DD0"/>
    <w:rsid w:val="479121B1"/>
    <w:rsid w:val="47A6227D"/>
    <w:rsid w:val="48247721"/>
    <w:rsid w:val="488D26EA"/>
    <w:rsid w:val="48A31228"/>
    <w:rsid w:val="48B350BC"/>
    <w:rsid w:val="49D27F96"/>
    <w:rsid w:val="49DB22DA"/>
    <w:rsid w:val="4A1177E6"/>
    <w:rsid w:val="4A5F4E58"/>
    <w:rsid w:val="4A7B1D90"/>
    <w:rsid w:val="4C797B37"/>
    <w:rsid w:val="4CD31300"/>
    <w:rsid w:val="4DAD7F88"/>
    <w:rsid w:val="4E267243"/>
    <w:rsid w:val="4E376674"/>
    <w:rsid w:val="4EB64F10"/>
    <w:rsid w:val="4EB82C6C"/>
    <w:rsid w:val="4EBB3612"/>
    <w:rsid w:val="4F131AEE"/>
    <w:rsid w:val="4F905D0F"/>
    <w:rsid w:val="4FDA092E"/>
    <w:rsid w:val="500D32FE"/>
    <w:rsid w:val="501D4C3E"/>
    <w:rsid w:val="507A0FEA"/>
    <w:rsid w:val="50D7382F"/>
    <w:rsid w:val="51834F86"/>
    <w:rsid w:val="51A97F04"/>
    <w:rsid w:val="51BB610E"/>
    <w:rsid w:val="52FA538B"/>
    <w:rsid w:val="53397102"/>
    <w:rsid w:val="5365064A"/>
    <w:rsid w:val="53C22367"/>
    <w:rsid w:val="53F727FD"/>
    <w:rsid w:val="541B48C0"/>
    <w:rsid w:val="542F06D2"/>
    <w:rsid w:val="55263C90"/>
    <w:rsid w:val="559C33EE"/>
    <w:rsid w:val="55C90943"/>
    <w:rsid w:val="563A30C5"/>
    <w:rsid w:val="56781E20"/>
    <w:rsid w:val="56C5485D"/>
    <w:rsid w:val="56C95153"/>
    <w:rsid w:val="574E6358"/>
    <w:rsid w:val="57EE14C7"/>
    <w:rsid w:val="57EE2337"/>
    <w:rsid w:val="588274E8"/>
    <w:rsid w:val="58966841"/>
    <w:rsid w:val="58E62873"/>
    <w:rsid w:val="5A15230B"/>
    <w:rsid w:val="5A556BFB"/>
    <w:rsid w:val="5ABB1591"/>
    <w:rsid w:val="5BCB0E89"/>
    <w:rsid w:val="5C7C1351"/>
    <w:rsid w:val="5D46795D"/>
    <w:rsid w:val="5D8313EB"/>
    <w:rsid w:val="5E1E3AC3"/>
    <w:rsid w:val="5E8B09A6"/>
    <w:rsid w:val="5F86627B"/>
    <w:rsid w:val="5FB23F88"/>
    <w:rsid w:val="5FC30647"/>
    <w:rsid w:val="5FD0749D"/>
    <w:rsid w:val="5FD345D3"/>
    <w:rsid w:val="601E3196"/>
    <w:rsid w:val="605A0FAF"/>
    <w:rsid w:val="612C6774"/>
    <w:rsid w:val="618810A6"/>
    <w:rsid w:val="61BC55DD"/>
    <w:rsid w:val="620D6D87"/>
    <w:rsid w:val="621C1F6C"/>
    <w:rsid w:val="62B65066"/>
    <w:rsid w:val="63924674"/>
    <w:rsid w:val="63B10704"/>
    <w:rsid w:val="642D5212"/>
    <w:rsid w:val="644D143A"/>
    <w:rsid w:val="654E0D9B"/>
    <w:rsid w:val="659927B7"/>
    <w:rsid w:val="664A54DD"/>
    <w:rsid w:val="66B612D2"/>
    <w:rsid w:val="66CF15CD"/>
    <w:rsid w:val="66E00F65"/>
    <w:rsid w:val="66F97292"/>
    <w:rsid w:val="67800563"/>
    <w:rsid w:val="67DA6D9D"/>
    <w:rsid w:val="683905A2"/>
    <w:rsid w:val="68F15586"/>
    <w:rsid w:val="693F1213"/>
    <w:rsid w:val="69A12687"/>
    <w:rsid w:val="69E8020A"/>
    <w:rsid w:val="6AB558AA"/>
    <w:rsid w:val="6ABB1BEA"/>
    <w:rsid w:val="6AED6ED2"/>
    <w:rsid w:val="6AF43DD5"/>
    <w:rsid w:val="6B211E11"/>
    <w:rsid w:val="6B7E16BA"/>
    <w:rsid w:val="6BBE1A3A"/>
    <w:rsid w:val="6BCD705A"/>
    <w:rsid w:val="6C1F5002"/>
    <w:rsid w:val="6C8211E8"/>
    <w:rsid w:val="6D465CED"/>
    <w:rsid w:val="6E5F49AC"/>
    <w:rsid w:val="6E877D3E"/>
    <w:rsid w:val="6EB23F7C"/>
    <w:rsid w:val="6F4A6D25"/>
    <w:rsid w:val="6FDB1131"/>
    <w:rsid w:val="705B1D53"/>
    <w:rsid w:val="70D86F85"/>
    <w:rsid w:val="710608C9"/>
    <w:rsid w:val="716243CD"/>
    <w:rsid w:val="717B30EE"/>
    <w:rsid w:val="717C7E63"/>
    <w:rsid w:val="719B1295"/>
    <w:rsid w:val="727770A7"/>
    <w:rsid w:val="72F07A9F"/>
    <w:rsid w:val="73BF62C8"/>
    <w:rsid w:val="73CF45A9"/>
    <w:rsid w:val="73E46B91"/>
    <w:rsid w:val="740C22D9"/>
    <w:rsid w:val="748C4761"/>
    <w:rsid w:val="74BB6BD0"/>
    <w:rsid w:val="755F75C0"/>
    <w:rsid w:val="759D2085"/>
    <w:rsid w:val="760775FD"/>
    <w:rsid w:val="76432B4B"/>
    <w:rsid w:val="7717196A"/>
    <w:rsid w:val="7783437F"/>
    <w:rsid w:val="77AB2720"/>
    <w:rsid w:val="77AF46A2"/>
    <w:rsid w:val="78113F1A"/>
    <w:rsid w:val="793C3457"/>
    <w:rsid w:val="79696374"/>
    <w:rsid w:val="797E0A6A"/>
    <w:rsid w:val="79B36811"/>
    <w:rsid w:val="79CE3720"/>
    <w:rsid w:val="7A066DF2"/>
    <w:rsid w:val="7A0B0A52"/>
    <w:rsid w:val="7A116092"/>
    <w:rsid w:val="7A5065D9"/>
    <w:rsid w:val="7A895338"/>
    <w:rsid w:val="7B085D84"/>
    <w:rsid w:val="7B264167"/>
    <w:rsid w:val="7B6E508E"/>
    <w:rsid w:val="7B9D73F9"/>
    <w:rsid w:val="7BA66295"/>
    <w:rsid w:val="7BB67CB0"/>
    <w:rsid w:val="7BF37DD4"/>
    <w:rsid w:val="7BF736D2"/>
    <w:rsid w:val="7C3601B0"/>
    <w:rsid w:val="7CAC5E22"/>
    <w:rsid w:val="7CB52DD0"/>
    <w:rsid w:val="7CCF72D0"/>
    <w:rsid w:val="7E257F9E"/>
    <w:rsid w:val="7EC07C5D"/>
    <w:rsid w:val="7EFDD520"/>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4221</Words>
  <Characters>4712</Characters>
  <Lines>27</Lines>
  <Paragraphs>7</Paragraphs>
  <TotalTime>1</TotalTime>
  <ScaleCrop>false</ScaleCrop>
  <LinksUpToDate>false</LinksUpToDate>
  <CharactersWithSpaces>4733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省教育厅</cp:lastModifiedBy>
  <dcterms:modified xsi:type="dcterms:W3CDTF">2024-02-21T09:18:31Z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235E47EF639F440893BA3869978C9016</vt:lpwstr>
  </property>
</Properties>
</file>