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ascii="Times New Roman" w:hAnsi="Times New Roman"/>
        </w:rPr>
      </w:pPr>
      <w:r>
        <w:rPr>
          <w:rFonts w:hint="eastAsia" w:ascii="仿宋_GB2312" w:hAnsi="仿宋_GB2312" w:eastAsia="仿宋_GB2312" w:cs="仿宋_GB2312"/>
          <w:b/>
          <w:bCs/>
          <w:sz w:val="44"/>
          <w:szCs w:val="44"/>
        </w:rPr>
        <w:t>2025年海南省</w:t>
      </w:r>
      <w:r>
        <w:rPr>
          <w:rFonts w:hint="eastAsia" w:ascii="仿宋_GB2312" w:hAnsi="仿宋_GB2312" w:eastAsia="仿宋_GB2312" w:cs="仿宋_GB2312"/>
          <w:b/>
          <w:bCs/>
          <w:sz w:val="44"/>
          <w:szCs w:val="44"/>
          <w:lang w:eastAsia="zh-CN"/>
        </w:rPr>
        <w:t>中等职业学校</w:t>
      </w:r>
      <w:r>
        <w:rPr>
          <w:rFonts w:hint="eastAsia" w:ascii="仿宋_GB2312" w:hAnsi="仿宋_GB2312" w:eastAsia="仿宋_GB2312" w:cs="仿宋_GB2312"/>
          <w:b/>
          <w:bCs/>
          <w:sz w:val="44"/>
          <w:szCs w:val="44"/>
        </w:rPr>
        <w:t>学生</w:t>
      </w:r>
      <w:r>
        <w:rPr>
          <w:rFonts w:hint="eastAsia" w:ascii="仿宋_GB2312" w:hAnsi="仿宋_GB2312" w:eastAsia="仿宋_GB2312" w:cs="仿宋_GB2312"/>
          <w:b/>
          <w:bCs/>
          <w:sz w:val="44"/>
          <w:szCs w:val="44"/>
          <w:lang w:eastAsia="zh-CN"/>
        </w:rPr>
        <w:t>职业</w:t>
      </w:r>
      <w:r>
        <w:rPr>
          <w:rFonts w:hint="eastAsia" w:ascii="仿宋_GB2312" w:hAnsi="仿宋_GB2312" w:eastAsia="仿宋_GB2312" w:cs="仿宋_GB2312"/>
          <w:b/>
          <w:bCs/>
          <w:sz w:val="44"/>
          <w:szCs w:val="44"/>
        </w:rPr>
        <w:t>技能大赛</w:t>
      </w:r>
      <w:r>
        <w:rPr>
          <w:rFonts w:hint="eastAsia" w:ascii="仿宋_GB2312" w:hAnsi="仿宋_GB2312" w:eastAsia="仿宋_GB2312" w:cs="仿宋_GB2312"/>
          <w:b/>
          <w:bCs/>
          <w:sz w:val="44"/>
          <w:szCs w:val="44"/>
          <w:lang w:eastAsia="zh-CN"/>
        </w:rPr>
        <w:t>“</w:t>
      </w:r>
      <w:r>
        <w:rPr>
          <w:rFonts w:hint="eastAsia" w:ascii="仿宋_GB2312" w:hAnsi="仿宋_GB2312" w:eastAsia="仿宋_GB2312" w:cs="仿宋_GB2312"/>
          <w:b/>
          <w:bCs/>
          <w:sz w:val="44"/>
          <w:szCs w:val="44"/>
          <w:lang w:val="en-US" w:eastAsia="zh-CN"/>
        </w:rPr>
        <w:t>饲料营养与检测</w:t>
      </w:r>
      <w:r>
        <w:rPr>
          <w:rFonts w:hint="eastAsia" w:ascii="仿宋_GB2312" w:hAnsi="仿宋_GB2312" w:eastAsia="仿宋_GB2312" w:cs="仿宋_GB2312"/>
          <w:b/>
          <w:bCs/>
          <w:sz w:val="44"/>
          <w:szCs w:val="44"/>
          <w:lang w:eastAsia="zh-CN"/>
        </w:rPr>
        <w:t>”</w:t>
      </w:r>
      <w:bookmarkStart w:id="0" w:name="_GoBack"/>
      <w:bookmarkEnd w:id="0"/>
      <w:r>
        <w:rPr>
          <w:rFonts w:hint="eastAsia" w:ascii="仿宋_GB2312" w:hAnsi="仿宋_GB2312" w:eastAsia="仿宋_GB2312" w:cs="仿宋_GB2312"/>
          <w:b/>
          <w:bCs/>
          <w:sz w:val="44"/>
          <w:szCs w:val="44"/>
        </w:rPr>
        <w:t>赛项规程</w:t>
      </w:r>
    </w:p>
    <w:p>
      <w:pPr>
        <w:pStyle w:val="3"/>
        <w:spacing w:before="156" w:after="156"/>
        <w:ind w:firstLine="562" w:firstLineChars="200"/>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一、赛项信息</w:t>
      </w:r>
    </w:p>
    <w:tbl>
      <w:tblPr>
        <w:tblStyle w:val="12"/>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281"/>
        <w:gridCol w:w="1461"/>
        <w:gridCol w:w="888"/>
        <w:gridCol w:w="803"/>
        <w:gridCol w:w="408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5000" w:type="pct"/>
            <w:gridSpan w:val="5"/>
            <w:vAlign w:val="center"/>
          </w:tcPr>
          <w:p>
            <w:pPr>
              <w:adjustRightInd w:val="0"/>
              <w:snapToGrid w:val="0"/>
              <w:jc w:val="center"/>
              <w:rPr>
                <w:rFonts w:hint="eastAsia" w:ascii="仿宋_GB2312" w:hAnsi="仿宋_GB2312" w:eastAsia="仿宋_GB2312" w:cs="仿宋_GB2312"/>
                <w:sz w:val="24"/>
              </w:rPr>
            </w:pPr>
            <w:r>
              <w:rPr>
                <w:rFonts w:hint="eastAsia" w:ascii="仿宋_GB2312" w:hAnsi="仿宋_GB2312" w:eastAsia="仿宋_GB2312" w:cs="仿宋_GB2312"/>
                <w:b/>
                <w:sz w:val="28"/>
                <w:szCs w:val="28"/>
              </w:rPr>
              <w:t>赛项类别</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5000" w:type="pct"/>
            <w:gridSpan w:val="5"/>
            <w:vAlign w:val="center"/>
          </w:tcPr>
          <w:p>
            <w:pPr>
              <w:adjustRightInd w:val="0"/>
              <w:snapToGrid w:val="0"/>
              <w:jc w:val="center"/>
              <w:rPr>
                <w:rFonts w:hint="eastAsia" w:ascii="仿宋_GB2312" w:hAnsi="仿宋_GB2312" w:eastAsia="仿宋_GB2312" w:cs="仿宋_GB2312"/>
                <w:sz w:val="24"/>
              </w:rPr>
            </w:pPr>
            <w:r>
              <w:rPr>
                <w:rFonts w:hint="eastAsia" w:ascii="仿宋_GB2312" w:hAnsi="仿宋_GB2312" w:eastAsia="仿宋_GB2312" w:cs="仿宋_GB2312"/>
                <w:sz w:val="24"/>
              </w:rPr>
              <w:sym w:font="Wingdings 2" w:char="0052"/>
            </w:r>
            <w:r>
              <w:rPr>
                <w:rFonts w:hint="eastAsia" w:ascii="仿宋_GB2312" w:hAnsi="仿宋_GB2312" w:eastAsia="仿宋_GB2312" w:cs="仿宋_GB2312"/>
                <w:sz w:val="24"/>
              </w:rPr>
              <w:t xml:space="preserve">每年赛    </w:t>
            </w:r>
            <w:r>
              <w:rPr>
                <w:rFonts w:hint="eastAsia" w:ascii="仿宋_GB2312" w:hAnsi="仿宋_GB2312" w:eastAsia="仿宋_GB2312" w:cs="仿宋_GB2312"/>
                <w:sz w:val="24"/>
              </w:rPr>
              <w:sym w:font="Wingdings 2" w:char="00A3"/>
            </w:r>
            <w:r>
              <w:rPr>
                <w:rFonts w:hint="eastAsia" w:ascii="仿宋_GB2312" w:hAnsi="仿宋_GB2312" w:eastAsia="仿宋_GB2312" w:cs="仿宋_GB2312"/>
                <w:sz w:val="24"/>
              </w:rPr>
              <w:t>隔年赛（</w:t>
            </w:r>
            <w:r>
              <w:rPr>
                <w:rFonts w:hint="eastAsia" w:ascii="仿宋_GB2312" w:hAnsi="仿宋_GB2312" w:eastAsia="仿宋_GB2312" w:cs="仿宋_GB2312"/>
                <w:sz w:val="24"/>
              </w:rPr>
              <w:sym w:font="Wingdings 2" w:char="00A3"/>
            </w:r>
            <w:r>
              <w:rPr>
                <w:rFonts w:hint="eastAsia" w:ascii="仿宋_GB2312" w:hAnsi="仿宋_GB2312" w:eastAsia="仿宋_GB2312" w:cs="仿宋_GB2312"/>
                <w:sz w:val="24"/>
              </w:rPr>
              <w:t>单数年/</w:t>
            </w:r>
            <w:r>
              <w:rPr>
                <w:rFonts w:hint="eastAsia" w:ascii="仿宋_GB2312" w:hAnsi="仿宋_GB2312" w:eastAsia="仿宋_GB2312" w:cs="仿宋_GB2312"/>
                <w:sz w:val="24"/>
              </w:rPr>
              <w:sym w:font="Wingdings 2" w:char="00A3"/>
            </w:r>
            <w:r>
              <w:rPr>
                <w:rFonts w:hint="eastAsia" w:ascii="仿宋_GB2312" w:hAnsi="仿宋_GB2312" w:eastAsia="仿宋_GB2312" w:cs="仿宋_GB2312"/>
                <w:sz w:val="24"/>
              </w:rPr>
              <w:t>双数年）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5000" w:type="pct"/>
            <w:gridSpan w:val="5"/>
            <w:vAlign w:val="center"/>
          </w:tcPr>
          <w:p>
            <w:pPr>
              <w:adjustRightInd w:val="0"/>
              <w:snapToGrid w:val="0"/>
              <w:jc w:val="center"/>
              <w:rPr>
                <w:rFonts w:hint="eastAsia" w:ascii="仿宋_GB2312" w:hAnsi="仿宋_GB2312" w:eastAsia="仿宋_GB2312" w:cs="仿宋_GB2312"/>
                <w:sz w:val="24"/>
              </w:rPr>
            </w:pPr>
            <w:r>
              <w:rPr>
                <w:rFonts w:hint="eastAsia" w:ascii="仿宋_GB2312" w:hAnsi="仿宋_GB2312" w:eastAsia="仿宋_GB2312" w:cs="仿宋_GB2312"/>
                <w:b/>
                <w:sz w:val="28"/>
                <w:szCs w:val="28"/>
              </w:rPr>
              <w:t>赛项组别</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5000" w:type="pct"/>
            <w:gridSpan w:val="5"/>
            <w:vAlign w:val="center"/>
          </w:tcPr>
          <w:p>
            <w:pPr>
              <w:adjustRightInd w:val="0"/>
              <w:snapToGrid w:val="0"/>
              <w:jc w:val="center"/>
              <w:rPr>
                <w:rFonts w:hint="eastAsia" w:ascii="仿宋_GB2312" w:hAnsi="仿宋_GB2312" w:eastAsia="仿宋_GB2312" w:cs="仿宋_GB2312"/>
                <w:b/>
                <w:sz w:val="28"/>
                <w:szCs w:val="28"/>
              </w:rPr>
            </w:pPr>
            <w:r>
              <w:rPr>
                <w:rFonts w:hint="eastAsia" w:ascii="仿宋_GB2312" w:hAnsi="仿宋_GB2312" w:eastAsia="仿宋_GB2312" w:cs="仿宋_GB2312"/>
                <w:sz w:val="24"/>
              </w:rPr>
              <w:sym w:font="Wingdings 2" w:char="0052"/>
            </w:r>
            <w:r>
              <w:rPr>
                <w:rFonts w:hint="eastAsia" w:ascii="仿宋_GB2312" w:hAnsi="仿宋_GB2312" w:eastAsia="仿宋_GB2312" w:cs="仿宋_GB2312"/>
                <w:sz w:val="24"/>
              </w:rPr>
              <w:t xml:space="preserve">中等职业教育   </w:t>
            </w:r>
            <w:r>
              <w:rPr>
                <w:rFonts w:hint="eastAsia" w:ascii="仿宋_GB2312" w:hAnsi="仿宋_GB2312" w:eastAsia="仿宋_GB2312" w:cs="仿宋_GB2312"/>
                <w:sz w:val="24"/>
              </w:rPr>
              <w:sym w:font="Wingdings 2" w:char="00A3"/>
            </w:r>
            <w:r>
              <w:rPr>
                <w:rFonts w:hint="eastAsia" w:ascii="仿宋_GB2312" w:hAnsi="仿宋_GB2312" w:eastAsia="仿宋_GB2312" w:cs="仿宋_GB2312"/>
                <w:sz w:val="24"/>
              </w:rPr>
              <w:t>高等职业教育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5000" w:type="pct"/>
            <w:gridSpan w:val="5"/>
            <w:vAlign w:val="center"/>
          </w:tcPr>
          <w:p>
            <w:pPr>
              <w:adjustRightInd w:val="0"/>
              <w:snapToGrid w:val="0"/>
              <w:jc w:val="center"/>
              <w:rPr>
                <w:rFonts w:hint="eastAsia" w:ascii="仿宋_GB2312" w:hAnsi="仿宋_GB2312" w:eastAsia="仿宋_GB2312" w:cs="仿宋_GB2312"/>
                <w:sz w:val="24"/>
              </w:rPr>
            </w:pPr>
            <w:r>
              <w:rPr>
                <w:rFonts w:hint="eastAsia" w:ascii="仿宋_GB2312" w:hAnsi="仿宋_GB2312" w:eastAsia="仿宋_GB2312" w:cs="仿宋_GB2312"/>
                <w:sz w:val="24"/>
              </w:rPr>
              <w:sym w:font="Wingdings 2" w:char="0052"/>
            </w:r>
            <w:r>
              <w:rPr>
                <w:rFonts w:hint="eastAsia" w:ascii="仿宋_GB2312" w:hAnsi="仿宋_GB2312" w:eastAsia="仿宋_GB2312" w:cs="仿宋_GB2312"/>
                <w:sz w:val="24"/>
              </w:rPr>
              <w:t>学生赛（</w:t>
            </w:r>
            <w:r>
              <w:rPr>
                <w:rFonts w:hint="eastAsia" w:ascii="仿宋_GB2312" w:hAnsi="仿宋_GB2312" w:eastAsia="仿宋_GB2312" w:cs="仿宋_GB2312"/>
                <w:sz w:val="24"/>
              </w:rPr>
              <w:sym w:font="Wingdings 2" w:char="00A3"/>
            </w:r>
            <w:r>
              <w:rPr>
                <w:rFonts w:hint="eastAsia" w:ascii="仿宋_GB2312" w:hAnsi="仿宋_GB2312" w:eastAsia="仿宋_GB2312" w:cs="仿宋_GB2312"/>
                <w:sz w:val="24"/>
              </w:rPr>
              <w:t>个人/</w:t>
            </w:r>
            <w:r>
              <w:rPr>
                <w:rFonts w:hint="eastAsia" w:ascii="仿宋_GB2312" w:hAnsi="仿宋_GB2312" w:eastAsia="仿宋_GB2312" w:cs="仿宋_GB2312"/>
                <w:sz w:val="24"/>
              </w:rPr>
              <w:sym w:font="Wingdings 2" w:char="0052"/>
            </w:r>
            <w:r>
              <w:rPr>
                <w:rFonts w:hint="eastAsia" w:ascii="仿宋_GB2312" w:hAnsi="仿宋_GB2312" w:eastAsia="仿宋_GB2312" w:cs="仿宋_GB2312"/>
                <w:sz w:val="24"/>
              </w:rPr>
              <w:t xml:space="preserve">团体） </w:t>
            </w:r>
            <w:r>
              <w:rPr>
                <w:rFonts w:hint="eastAsia" w:ascii="仿宋_GB2312" w:hAnsi="仿宋_GB2312" w:eastAsia="仿宋_GB2312" w:cs="仿宋_GB2312"/>
                <w:sz w:val="24"/>
              </w:rPr>
              <w:sym w:font="Wingdings 2" w:char="00A3"/>
            </w:r>
            <w:r>
              <w:rPr>
                <w:rFonts w:hint="eastAsia" w:ascii="仿宋_GB2312" w:hAnsi="仿宋_GB2312" w:eastAsia="仿宋_GB2312" w:cs="仿宋_GB2312"/>
                <w:sz w:val="24"/>
              </w:rPr>
              <w:t xml:space="preserve">教师赛（试点） </w:t>
            </w:r>
            <w:r>
              <w:rPr>
                <w:rFonts w:hint="eastAsia" w:ascii="仿宋_GB2312" w:hAnsi="仿宋_GB2312" w:eastAsia="仿宋_GB2312" w:cs="仿宋_GB2312"/>
                <w:sz w:val="24"/>
              </w:rPr>
              <w:sym w:font="Wingdings 2" w:char="00A3"/>
            </w:r>
            <w:r>
              <w:rPr>
                <w:rFonts w:hint="eastAsia" w:ascii="仿宋_GB2312" w:hAnsi="仿宋_GB2312" w:eastAsia="仿宋_GB2312" w:cs="仿宋_GB2312"/>
                <w:sz w:val="24"/>
              </w:rPr>
              <w:t>师生同赛（试点）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5000" w:type="pct"/>
            <w:gridSpan w:val="5"/>
            <w:vAlign w:val="center"/>
          </w:tcPr>
          <w:p>
            <w:pPr>
              <w:adjustRightInd w:val="0"/>
              <w:snapToGrid w:val="0"/>
              <w:jc w:val="center"/>
              <w:rPr>
                <w:rFonts w:hint="eastAsia" w:ascii="仿宋_GB2312" w:hAnsi="仿宋_GB2312" w:eastAsia="仿宋_GB2312" w:cs="仿宋_GB2312"/>
                <w:sz w:val="24"/>
              </w:rPr>
            </w:pPr>
            <w:r>
              <w:rPr>
                <w:rFonts w:hint="eastAsia" w:ascii="仿宋_GB2312" w:hAnsi="仿宋_GB2312" w:eastAsia="仿宋_GB2312" w:cs="仿宋_GB2312"/>
                <w:b/>
                <w:sz w:val="28"/>
                <w:szCs w:val="28"/>
              </w:rPr>
              <w:t>涉及专业大类、专业类、专业及核心课程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68" w:hRule="atLeast"/>
          <w:jc w:val="center"/>
        </w:trPr>
        <w:tc>
          <w:tcPr>
            <w:tcW w:w="752" w:type="pct"/>
            <w:vAlign w:val="center"/>
          </w:tcPr>
          <w:p>
            <w:pPr>
              <w:adjustRightInd w:val="0"/>
              <w:snapToGrid w:val="0"/>
              <w:jc w:val="center"/>
              <w:rPr>
                <w:rFonts w:hint="eastAsia" w:ascii="仿宋_GB2312" w:hAnsi="仿宋_GB2312" w:eastAsia="仿宋_GB2312" w:cs="仿宋_GB2312"/>
                <w:b/>
                <w:sz w:val="24"/>
              </w:rPr>
            </w:pPr>
            <w:r>
              <w:rPr>
                <w:rFonts w:hint="eastAsia" w:ascii="仿宋_GB2312" w:hAnsi="仿宋_GB2312" w:eastAsia="仿宋_GB2312" w:cs="仿宋_GB2312"/>
                <w:sz w:val="24"/>
              </w:rPr>
              <w:t>专业大类</w:t>
            </w:r>
          </w:p>
        </w:tc>
        <w:tc>
          <w:tcPr>
            <w:tcW w:w="857" w:type="pct"/>
            <w:vAlign w:val="center"/>
          </w:tcPr>
          <w:p>
            <w:pPr>
              <w:adjustRightInd w:val="0"/>
              <w:snapToGrid w:val="0"/>
              <w:jc w:val="center"/>
              <w:rPr>
                <w:rFonts w:hint="eastAsia" w:ascii="仿宋_GB2312" w:hAnsi="仿宋_GB2312" w:eastAsia="仿宋_GB2312" w:cs="仿宋_GB2312"/>
                <w:b/>
                <w:sz w:val="24"/>
              </w:rPr>
            </w:pPr>
            <w:r>
              <w:rPr>
                <w:rFonts w:hint="eastAsia" w:ascii="仿宋_GB2312" w:hAnsi="仿宋_GB2312" w:eastAsia="仿宋_GB2312" w:cs="仿宋_GB2312"/>
                <w:sz w:val="24"/>
              </w:rPr>
              <w:t>专业类</w:t>
            </w:r>
          </w:p>
        </w:tc>
        <w:tc>
          <w:tcPr>
            <w:tcW w:w="992" w:type="pct"/>
            <w:gridSpan w:val="2"/>
            <w:vAlign w:val="center"/>
          </w:tcPr>
          <w:p>
            <w:pPr>
              <w:adjustRightInd w:val="0"/>
              <w:snapToGrid w:val="0"/>
              <w:jc w:val="center"/>
              <w:rPr>
                <w:rFonts w:hint="eastAsia" w:ascii="仿宋_GB2312" w:hAnsi="仿宋_GB2312" w:eastAsia="仿宋_GB2312" w:cs="仿宋_GB2312"/>
                <w:b/>
                <w:sz w:val="24"/>
              </w:rPr>
            </w:pPr>
            <w:r>
              <w:rPr>
                <w:rFonts w:hint="eastAsia" w:ascii="仿宋_GB2312" w:hAnsi="仿宋_GB2312" w:eastAsia="仿宋_GB2312" w:cs="仿宋_GB2312"/>
                <w:sz w:val="24"/>
              </w:rPr>
              <w:t>专业名称</w:t>
            </w:r>
          </w:p>
        </w:tc>
        <w:tc>
          <w:tcPr>
            <w:tcW w:w="2397" w:type="pct"/>
            <w:vAlign w:val="center"/>
          </w:tcPr>
          <w:p>
            <w:pPr>
              <w:adjustRightInd w:val="0"/>
              <w:snapToGrid w:val="0"/>
              <w:jc w:val="center"/>
              <w:rPr>
                <w:rFonts w:hint="eastAsia" w:ascii="仿宋_GB2312" w:hAnsi="仿宋_GB2312" w:eastAsia="仿宋_GB2312" w:cs="仿宋_GB2312"/>
                <w:b/>
                <w:sz w:val="24"/>
              </w:rPr>
            </w:pPr>
            <w:r>
              <w:rPr>
                <w:rFonts w:hint="eastAsia" w:ascii="仿宋_GB2312" w:hAnsi="仿宋_GB2312" w:eastAsia="仿宋_GB2312" w:cs="仿宋_GB2312"/>
                <w:sz w:val="24"/>
              </w:rPr>
              <w:t>核心课程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2" w:type="pct"/>
            <w:vMerge w:val="restart"/>
            <w:vAlign w:val="center"/>
          </w:tcPr>
          <w:p>
            <w:pPr>
              <w:adjustRightInd w:val="0"/>
              <w:snapToGrid w:val="0"/>
              <w:spacing w:line="360"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61农林牧渔</w:t>
            </w:r>
          </w:p>
        </w:tc>
        <w:tc>
          <w:tcPr>
            <w:tcW w:w="857" w:type="pct"/>
            <w:vMerge w:val="restart"/>
            <w:vAlign w:val="center"/>
          </w:tcPr>
          <w:p>
            <w:pPr>
              <w:adjustRightInd w:val="0"/>
              <w:snapToGrid w:val="0"/>
              <w:spacing w:line="360" w:lineRule="auto"/>
              <w:jc w:val="center"/>
              <w:rPr>
                <w:rFonts w:hint="eastAsia" w:ascii="仿宋_GB2312" w:hAnsi="仿宋_GB2312" w:eastAsia="仿宋_GB2312" w:cs="仿宋_GB2312"/>
                <w:sz w:val="24"/>
              </w:rPr>
            </w:pPr>
            <w:r>
              <w:rPr>
                <w:rFonts w:hint="eastAsia" w:ascii="仿宋_GB2312" w:hAnsi="仿宋_GB2312" w:eastAsia="仿宋_GB2312" w:cs="仿宋_GB2312"/>
                <w:b w:val="0"/>
                <w:bCs w:val="0"/>
                <w:color w:val="000000"/>
                <w:sz w:val="24"/>
                <w:szCs w:val="24"/>
              </w:rPr>
              <w:t>6103 畜 牧业类</w:t>
            </w:r>
          </w:p>
        </w:tc>
        <w:tc>
          <w:tcPr>
            <w:tcW w:w="992" w:type="pct"/>
            <w:gridSpan w:val="2"/>
            <w:vMerge w:val="restart"/>
            <w:vAlign w:val="center"/>
          </w:tcPr>
          <w:p>
            <w:pPr>
              <w:adjustRightInd w:val="0"/>
              <w:snapToGrid w:val="0"/>
              <w:spacing w:line="360" w:lineRule="auto"/>
              <w:jc w:val="center"/>
              <w:rPr>
                <w:rFonts w:hint="eastAsia" w:ascii="仿宋_GB2312" w:hAnsi="仿宋_GB2312" w:eastAsia="仿宋_GB2312" w:cs="仿宋_GB2312"/>
                <w:sz w:val="24"/>
              </w:rPr>
            </w:pPr>
            <w:r>
              <w:rPr>
                <w:rFonts w:hint="eastAsia" w:ascii="仿宋_GB2312" w:hAnsi="仿宋_GB2312" w:eastAsia="仿宋_GB2312" w:cs="仿宋_GB2312"/>
                <w:b w:val="0"/>
                <w:bCs w:val="0"/>
                <w:color w:val="000000"/>
                <w:sz w:val="24"/>
                <w:szCs w:val="24"/>
              </w:rPr>
              <w:t>610301 畜禽生产技术</w:t>
            </w:r>
          </w:p>
        </w:tc>
        <w:tc>
          <w:tcPr>
            <w:tcW w:w="2397" w:type="pct"/>
            <w:vAlign w:val="center"/>
          </w:tcPr>
          <w:p>
            <w:pPr>
              <w:adjustRightInd w:val="0"/>
              <w:snapToGrid w:val="0"/>
              <w:jc w:val="center"/>
              <w:rPr>
                <w:rFonts w:hint="eastAsia" w:ascii="仿宋_GB2312" w:hAnsi="仿宋_GB2312" w:eastAsia="仿宋_GB2312" w:cs="仿宋_GB2312"/>
                <w:sz w:val="24"/>
              </w:rPr>
            </w:pPr>
            <w:r>
              <w:rPr>
                <w:rFonts w:hint="eastAsia" w:ascii="仿宋_GB2312" w:hAnsi="仿宋_GB2312" w:eastAsia="仿宋_GB2312" w:cs="仿宋_GB2312"/>
                <w:b w:val="0"/>
                <w:bCs w:val="0"/>
                <w:color w:val="000000"/>
                <w:sz w:val="24"/>
                <w:szCs w:val="24"/>
              </w:rPr>
              <w:t>饲料加工技术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2" w:type="pct"/>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857" w:type="pct"/>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992" w:type="pct"/>
            <w:gridSpan w:val="2"/>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2397" w:type="pct"/>
            <w:vAlign w:val="center"/>
          </w:tcPr>
          <w:p>
            <w:pPr>
              <w:adjustRightInd w:val="0"/>
              <w:snapToGrid w:val="0"/>
              <w:jc w:val="center"/>
              <w:rPr>
                <w:rFonts w:hint="eastAsia" w:ascii="仿宋_GB2312" w:hAnsi="仿宋_GB2312" w:eastAsia="仿宋_GB2312" w:cs="仿宋_GB2312"/>
                <w:sz w:val="24"/>
              </w:rPr>
            </w:pPr>
            <w:r>
              <w:rPr>
                <w:rFonts w:hint="eastAsia" w:ascii="仿宋_GB2312" w:hAnsi="仿宋_GB2312" w:eastAsia="仿宋_GB2312" w:cs="仿宋_GB2312"/>
                <w:b w:val="0"/>
                <w:bCs w:val="0"/>
                <w:color w:val="000000"/>
                <w:sz w:val="24"/>
                <w:szCs w:val="24"/>
              </w:rPr>
              <w:t>畜禽营养与饲料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2" w:type="pct"/>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857" w:type="pct"/>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992" w:type="pct"/>
            <w:gridSpan w:val="2"/>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2397" w:type="pct"/>
            <w:vAlign w:val="center"/>
          </w:tcPr>
          <w:p>
            <w:pPr>
              <w:adjustRightInd w:val="0"/>
              <w:snapToGrid w:val="0"/>
              <w:jc w:val="center"/>
              <w:rPr>
                <w:rFonts w:hint="eastAsia" w:ascii="仿宋_GB2312" w:hAnsi="仿宋_GB2312" w:eastAsia="仿宋_GB2312" w:cs="仿宋_GB2312"/>
                <w:sz w:val="24"/>
              </w:rPr>
            </w:pPr>
            <w:r>
              <w:rPr>
                <w:rFonts w:hint="eastAsia" w:ascii="仿宋_GB2312" w:hAnsi="仿宋_GB2312" w:eastAsia="仿宋_GB2312" w:cs="仿宋_GB2312"/>
                <w:b w:val="0"/>
                <w:bCs w:val="0"/>
                <w:color w:val="000000"/>
                <w:sz w:val="24"/>
                <w:szCs w:val="24"/>
              </w:rPr>
              <w:t>养猪技术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2" w:type="pct"/>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857" w:type="pct"/>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992" w:type="pct"/>
            <w:gridSpan w:val="2"/>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2397" w:type="pct"/>
            <w:vAlign w:val="center"/>
          </w:tcPr>
          <w:p>
            <w:pPr>
              <w:adjustRightInd w:val="0"/>
              <w:snapToGrid w:val="0"/>
              <w:jc w:val="center"/>
              <w:rPr>
                <w:rFonts w:hint="eastAsia" w:ascii="仿宋_GB2312" w:hAnsi="仿宋_GB2312" w:eastAsia="仿宋_GB2312" w:cs="仿宋_GB2312"/>
                <w:sz w:val="24"/>
              </w:rPr>
            </w:pPr>
            <w:r>
              <w:rPr>
                <w:rFonts w:hint="eastAsia" w:ascii="仿宋_GB2312" w:hAnsi="仿宋_GB2312" w:eastAsia="仿宋_GB2312" w:cs="仿宋_GB2312"/>
                <w:b w:val="0"/>
                <w:bCs w:val="0"/>
                <w:color w:val="000000"/>
                <w:sz w:val="24"/>
                <w:szCs w:val="24"/>
              </w:rPr>
              <w:t>养禽技术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2" w:type="pct"/>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857" w:type="pct"/>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992" w:type="pct"/>
            <w:gridSpan w:val="2"/>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2397" w:type="pct"/>
            <w:vAlign w:val="center"/>
          </w:tcPr>
          <w:p>
            <w:pPr>
              <w:adjustRightInd w:val="0"/>
              <w:snapToGrid w:val="0"/>
              <w:jc w:val="center"/>
              <w:rPr>
                <w:rFonts w:hint="eastAsia" w:ascii="仿宋_GB2312" w:hAnsi="仿宋_GB2312" w:eastAsia="仿宋_GB2312" w:cs="仿宋_GB2312"/>
                <w:sz w:val="24"/>
              </w:rPr>
            </w:pPr>
            <w:r>
              <w:rPr>
                <w:rFonts w:hint="eastAsia" w:ascii="仿宋_GB2312" w:hAnsi="仿宋_GB2312" w:eastAsia="仿宋_GB2312" w:cs="仿宋_GB2312"/>
                <w:b w:val="0"/>
                <w:bCs w:val="0"/>
                <w:color w:val="000000"/>
                <w:sz w:val="24"/>
                <w:szCs w:val="24"/>
              </w:rPr>
              <w:t>养牛技术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2" w:type="pct"/>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857" w:type="pct"/>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992" w:type="pct"/>
            <w:gridSpan w:val="2"/>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2397" w:type="pct"/>
            <w:vAlign w:val="center"/>
          </w:tcPr>
          <w:p>
            <w:pPr>
              <w:adjustRightInd w:val="0"/>
              <w:snapToGrid w:val="0"/>
              <w:jc w:val="center"/>
              <w:rPr>
                <w:rFonts w:hint="eastAsia" w:ascii="仿宋_GB2312" w:hAnsi="仿宋_GB2312" w:eastAsia="仿宋_GB2312" w:cs="仿宋_GB2312"/>
                <w:sz w:val="24"/>
              </w:rPr>
            </w:pPr>
            <w:r>
              <w:rPr>
                <w:rFonts w:hint="eastAsia" w:ascii="仿宋_GB2312" w:hAnsi="仿宋_GB2312" w:eastAsia="仿宋_GB2312" w:cs="仿宋_GB2312"/>
                <w:b w:val="0"/>
                <w:bCs w:val="0"/>
                <w:color w:val="000000"/>
                <w:sz w:val="24"/>
                <w:szCs w:val="24"/>
              </w:rPr>
              <w:t>养羊技术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2" w:type="pct"/>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857" w:type="pct"/>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992" w:type="pct"/>
            <w:gridSpan w:val="2"/>
            <w:vMerge w:val="restart"/>
            <w:vAlign w:val="center"/>
          </w:tcPr>
          <w:p>
            <w:pPr>
              <w:adjustRightInd w:val="0"/>
              <w:snapToGrid w:val="0"/>
              <w:spacing w:line="360" w:lineRule="auto"/>
              <w:jc w:val="center"/>
              <w:rPr>
                <w:rFonts w:hint="eastAsia" w:ascii="仿宋_GB2312" w:hAnsi="仿宋_GB2312" w:eastAsia="仿宋_GB2312" w:cs="仿宋_GB2312"/>
                <w:sz w:val="24"/>
              </w:rPr>
            </w:pPr>
            <w:r>
              <w:rPr>
                <w:rFonts w:hint="eastAsia" w:ascii="仿宋_GB2312" w:hAnsi="仿宋_GB2312" w:eastAsia="仿宋_GB2312" w:cs="仿宋_GB2312"/>
                <w:b w:val="0"/>
                <w:bCs w:val="0"/>
                <w:color w:val="000000"/>
                <w:sz w:val="24"/>
                <w:szCs w:val="24"/>
              </w:rPr>
              <w:t>610302 特种动物养殖</w:t>
            </w:r>
          </w:p>
        </w:tc>
        <w:tc>
          <w:tcPr>
            <w:tcW w:w="2397" w:type="pct"/>
            <w:vAlign w:val="center"/>
          </w:tcPr>
          <w:p>
            <w:pPr>
              <w:adjustRightInd w:val="0"/>
              <w:snapToGrid w:val="0"/>
              <w:jc w:val="center"/>
              <w:rPr>
                <w:rFonts w:hint="eastAsia" w:ascii="仿宋_GB2312" w:hAnsi="仿宋_GB2312" w:eastAsia="仿宋_GB2312" w:cs="仿宋_GB2312"/>
                <w:sz w:val="24"/>
              </w:rPr>
            </w:pPr>
            <w:r>
              <w:rPr>
                <w:rFonts w:hint="eastAsia" w:ascii="仿宋_GB2312" w:hAnsi="仿宋_GB2312" w:eastAsia="仿宋_GB2312" w:cs="仿宋_GB2312"/>
                <w:b w:val="0"/>
                <w:bCs w:val="0"/>
                <w:color w:val="000000"/>
                <w:sz w:val="24"/>
                <w:szCs w:val="24"/>
              </w:rPr>
              <w:t>特种动物饲料配制与加工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2" w:type="pct"/>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857" w:type="pct"/>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992" w:type="pct"/>
            <w:gridSpan w:val="2"/>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2397" w:type="pct"/>
            <w:vAlign w:val="center"/>
          </w:tcPr>
          <w:p>
            <w:pPr>
              <w:adjustRightInd w:val="0"/>
              <w:snapToGrid w:val="0"/>
              <w:jc w:val="center"/>
              <w:rPr>
                <w:rFonts w:hint="eastAsia" w:ascii="仿宋_GB2312" w:hAnsi="仿宋_GB2312" w:eastAsia="仿宋_GB2312" w:cs="仿宋_GB2312"/>
                <w:sz w:val="24"/>
              </w:rPr>
            </w:pPr>
            <w:r>
              <w:rPr>
                <w:rFonts w:hint="eastAsia" w:ascii="仿宋_GB2312" w:hAnsi="仿宋_GB2312" w:eastAsia="仿宋_GB2312" w:cs="仿宋_GB2312"/>
                <w:b w:val="0"/>
                <w:bCs w:val="0"/>
                <w:color w:val="000000"/>
                <w:sz w:val="24"/>
                <w:szCs w:val="24"/>
              </w:rPr>
              <w:t>肉兔智能化养殖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2" w:type="pct"/>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857" w:type="pct"/>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992" w:type="pct"/>
            <w:gridSpan w:val="2"/>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2397" w:type="pct"/>
            <w:vAlign w:val="center"/>
          </w:tcPr>
          <w:p>
            <w:pPr>
              <w:adjustRightInd w:val="0"/>
              <w:snapToGrid w:val="0"/>
              <w:jc w:val="center"/>
              <w:rPr>
                <w:rFonts w:hint="eastAsia" w:ascii="仿宋_GB2312" w:hAnsi="仿宋_GB2312" w:eastAsia="仿宋_GB2312" w:cs="仿宋_GB2312"/>
                <w:sz w:val="24"/>
              </w:rPr>
            </w:pPr>
            <w:r>
              <w:rPr>
                <w:rFonts w:hint="eastAsia" w:ascii="仿宋_GB2312" w:hAnsi="仿宋_GB2312" w:eastAsia="仿宋_GB2312" w:cs="仿宋_GB2312"/>
                <w:b w:val="0"/>
                <w:bCs w:val="0"/>
                <w:color w:val="000000"/>
                <w:sz w:val="24"/>
                <w:szCs w:val="24"/>
              </w:rPr>
              <w:t>药用动物生态养殖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2" w:type="pct"/>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857" w:type="pct"/>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992" w:type="pct"/>
            <w:gridSpan w:val="2"/>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2397" w:type="pct"/>
            <w:vAlign w:val="center"/>
          </w:tcPr>
          <w:p>
            <w:pPr>
              <w:adjustRightInd w:val="0"/>
              <w:snapToGrid w:val="0"/>
              <w:jc w:val="center"/>
              <w:rPr>
                <w:rFonts w:hint="eastAsia" w:ascii="仿宋_GB2312" w:hAnsi="仿宋_GB2312" w:eastAsia="仿宋_GB2312" w:cs="仿宋_GB2312"/>
                <w:sz w:val="24"/>
              </w:rPr>
            </w:pPr>
            <w:r>
              <w:rPr>
                <w:rFonts w:hint="eastAsia" w:ascii="仿宋_GB2312" w:hAnsi="仿宋_GB2312" w:eastAsia="仿宋_GB2312" w:cs="仿宋_GB2312"/>
                <w:b w:val="0"/>
                <w:bCs w:val="0"/>
                <w:color w:val="000000"/>
                <w:sz w:val="24"/>
                <w:szCs w:val="24"/>
              </w:rPr>
              <w:t>毛皮动物生态养殖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2" w:type="pct"/>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857" w:type="pct"/>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992" w:type="pct"/>
            <w:gridSpan w:val="2"/>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2397" w:type="pct"/>
            <w:vAlign w:val="center"/>
          </w:tcPr>
          <w:p>
            <w:pPr>
              <w:adjustRightInd w:val="0"/>
              <w:snapToGrid w:val="0"/>
              <w:jc w:val="center"/>
              <w:rPr>
                <w:rFonts w:hint="eastAsia" w:ascii="仿宋_GB2312" w:hAnsi="仿宋_GB2312" w:eastAsia="仿宋_GB2312" w:cs="仿宋_GB2312"/>
                <w:sz w:val="24"/>
              </w:rPr>
            </w:pPr>
            <w:r>
              <w:rPr>
                <w:rFonts w:hint="eastAsia" w:ascii="仿宋_GB2312" w:hAnsi="仿宋_GB2312" w:eastAsia="仿宋_GB2312" w:cs="仿宋_GB2312"/>
                <w:b w:val="0"/>
                <w:bCs w:val="0"/>
                <w:color w:val="000000"/>
                <w:sz w:val="24"/>
                <w:szCs w:val="24"/>
              </w:rPr>
              <w:t>珍禽生态养殖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2" w:type="pct"/>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857" w:type="pct"/>
            <w:vMerge w:val="restart"/>
            <w:vAlign w:val="center"/>
          </w:tcPr>
          <w:p>
            <w:pPr>
              <w:adjustRightInd w:val="0"/>
              <w:snapToGrid w:val="0"/>
              <w:spacing w:line="360" w:lineRule="auto"/>
              <w:jc w:val="center"/>
              <w:rPr>
                <w:rFonts w:hint="eastAsia" w:ascii="仿宋_GB2312" w:hAnsi="仿宋_GB2312" w:eastAsia="仿宋_GB2312" w:cs="仿宋_GB2312"/>
                <w:sz w:val="24"/>
              </w:rPr>
            </w:pPr>
            <w:r>
              <w:rPr>
                <w:rFonts w:hint="eastAsia" w:ascii="仿宋_GB2312" w:hAnsi="仿宋_GB2312" w:eastAsia="仿宋_GB2312" w:cs="仿宋_GB2312"/>
                <w:b w:val="0"/>
                <w:bCs w:val="0"/>
                <w:color w:val="000000"/>
                <w:sz w:val="24"/>
                <w:szCs w:val="24"/>
              </w:rPr>
              <w:t>6104 渔 业类</w:t>
            </w:r>
          </w:p>
        </w:tc>
        <w:tc>
          <w:tcPr>
            <w:tcW w:w="992" w:type="pct"/>
            <w:gridSpan w:val="2"/>
            <w:vMerge w:val="restart"/>
            <w:vAlign w:val="center"/>
          </w:tcPr>
          <w:p>
            <w:pPr>
              <w:adjustRightInd w:val="0"/>
              <w:snapToGrid w:val="0"/>
              <w:spacing w:line="360" w:lineRule="auto"/>
              <w:jc w:val="center"/>
              <w:rPr>
                <w:rFonts w:hint="eastAsia" w:ascii="仿宋_GB2312" w:hAnsi="仿宋_GB2312" w:eastAsia="仿宋_GB2312" w:cs="仿宋_GB2312"/>
                <w:sz w:val="24"/>
              </w:rPr>
            </w:pPr>
            <w:r>
              <w:rPr>
                <w:rFonts w:hint="eastAsia" w:ascii="仿宋_GB2312" w:hAnsi="仿宋_GB2312" w:eastAsia="仿宋_GB2312" w:cs="仿宋_GB2312"/>
                <w:b w:val="0"/>
                <w:bCs w:val="0"/>
                <w:color w:val="000000"/>
                <w:sz w:val="24"/>
                <w:szCs w:val="24"/>
              </w:rPr>
              <w:t>610401 淡水养殖</w:t>
            </w:r>
          </w:p>
        </w:tc>
        <w:tc>
          <w:tcPr>
            <w:tcW w:w="2397" w:type="pct"/>
            <w:vAlign w:val="center"/>
          </w:tcPr>
          <w:p>
            <w:pPr>
              <w:adjustRightInd w:val="0"/>
              <w:snapToGrid w:val="0"/>
              <w:jc w:val="center"/>
              <w:textAlignment w:val="center"/>
              <w:rPr>
                <w:rFonts w:hint="eastAsia" w:ascii="仿宋_GB2312" w:hAnsi="仿宋_GB2312" w:eastAsia="仿宋_GB2312" w:cs="仿宋_GB2312"/>
                <w:sz w:val="24"/>
              </w:rPr>
            </w:pPr>
            <w:r>
              <w:rPr>
                <w:rFonts w:hint="eastAsia" w:ascii="仿宋_GB2312" w:hAnsi="仿宋_GB2312" w:eastAsia="仿宋_GB2312" w:cs="仿宋_GB2312"/>
                <w:b w:val="0"/>
                <w:bCs w:val="0"/>
                <w:color w:val="000000"/>
                <w:sz w:val="24"/>
                <w:szCs w:val="24"/>
              </w:rPr>
              <w:t>水产动物饲料配制与加工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2" w:type="pct"/>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857" w:type="pct"/>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992" w:type="pct"/>
            <w:gridSpan w:val="2"/>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2397" w:type="pct"/>
            <w:vAlign w:val="center"/>
          </w:tcPr>
          <w:p>
            <w:pPr>
              <w:adjustRightInd w:val="0"/>
              <w:snapToGrid w:val="0"/>
              <w:jc w:val="center"/>
              <w:textAlignment w:val="center"/>
              <w:rPr>
                <w:rFonts w:hint="eastAsia" w:ascii="仿宋_GB2312" w:hAnsi="仿宋_GB2312" w:eastAsia="仿宋_GB2312" w:cs="仿宋_GB2312"/>
                <w:sz w:val="24"/>
              </w:rPr>
            </w:pPr>
            <w:r>
              <w:rPr>
                <w:rFonts w:hint="eastAsia" w:ascii="仿宋_GB2312" w:hAnsi="仿宋_GB2312" w:eastAsia="仿宋_GB2312" w:cs="仿宋_GB2312"/>
                <w:b w:val="0"/>
                <w:bCs w:val="0"/>
                <w:color w:val="000000"/>
                <w:sz w:val="24"/>
                <w:szCs w:val="24"/>
              </w:rPr>
              <w:t>池塘养鱼技术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2" w:type="pct"/>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857" w:type="pct"/>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992" w:type="pct"/>
            <w:gridSpan w:val="2"/>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2397" w:type="pct"/>
            <w:vAlign w:val="center"/>
          </w:tcPr>
          <w:p>
            <w:pPr>
              <w:adjustRightInd w:val="0"/>
              <w:snapToGrid w:val="0"/>
              <w:jc w:val="center"/>
              <w:textAlignment w:val="center"/>
              <w:rPr>
                <w:rFonts w:hint="eastAsia" w:ascii="仿宋_GB2312" w:hAnsi="仿宋_GB2312" w:eastAsia="仿宋_GB2312" w:cs="仿宋_GB2312"/>
                <w:sz w:val="24"/>
              </w:rPr>
            </w:pPr>
            <w:r>
              <w:rPr>
                <w:rFonts w:hint="eastAsia" w:ascii="仿宋_GB2312" w:hAnsi="仿宋_GB2312" w:eastAsia="仿宋_GB2312" w:cs="仿宋_GB2312"/>
                <w:b w:val="0"/>
                <w:bCs w:val="0"/>
                <w:color w:val="000000"/>
                <w:sz w:val="24"/>
                <w:szCs w:val="24"/>
              </w:rPr>
              <w:t>虾蟹养殖技术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2" w:type="pct"/>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857" w:type="pct"/>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992" w:type="pct"/>
            <w:gridSpan w:val="2"/>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2397" w:type="pct"/>
            <w:vAlign w:val="center"/>
          </w:tcPr>
          <w:p>
            <w:pPr>
              <w:adjustRightInd w:val="0"/>
              <w:snapToGrid w:val="0"/>
              <w:jc w:val="center"/>
              <w:textAlignment w:val="center"/>
              <w:rPr>
                <w:rFonts w:hint="eastAsia" w:ascii="仿宋_GB2312" w:hAnsi="仿宋_GB2312" w:eastAsia="仿宋_GB2312" w:cs="仿宋_GB2312"/>
                <w:sz w:val="24"/>
              </w:rPr>
            </w:pPr>
            <w:r>
              <w:rPr>
                <w:rFonts w:hint="eastAsia" w:ascii="仿宋_GB2312" w:hAnsi="仿宋_GB2312" w:eastAsia="仿宋_GB2312" w:cs="仿宋_GB2312"/>
                <w:b w:val="0"/>
                <w:bCs w:val="0"/>
                <w:color w:val="000000"/>
                <w:sz w:val="24"/>
                <w:szCs w:val="24"/>
              </w:rPr>
              <w:t>特种水产养殖技术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2" w:type="pct"/>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857" w:type="pct"/>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992" w:type="pct"/>
            <w:gridSpan w:val="2"/>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2397" w:type="pct"/>
            <w:vAlign w:val="center"/>
          </w:tcPr>
          <w:p>
            <w:pPr>
              <w:adjustRightInd w:val="0"/>
              <w:snapToGrid w:val="0"/>
              <w:jc w:val="center"/>
              <w:textAlignment w:val="center"/>
              <w:rPr>
                <w:rFonts w:hint="eastAsia" w:ascii="仿宋_GB2312" w:hAnsi="仿宋_GB2312" w:eastAsia="仿宋_GB2312" w:cs="仿宋_GB2312"/>
                <w:sz w:val="24"/>
              </w:rPr>
            </w:pPr>
            <w:r>
              <w:rPr>
                <w:rFonts w:hint="eastAsia" w:ascii="仿宋_GB2312" w:hAnsi="仿宋_GB2312" w:eastAsia="仿宋_GB2312" w:cs="仿宋_GB2312"/>
                <w:b w:val="0"/>
                <w:bCs w:val="0"/>
                <w:color w:val="000000"/>
                <w:sz w:val="24"/>
                <w:szCs w:val="24"/>
              </w:rPr>
              <w:t>养殖水质检测与尾水处理技术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2" w:type="pct"/>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857" w:type="pct"/>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992" w:type="pct"/>
            <w:gridSpan w:val="2"/>
            <w:vMerge w:val="restart"/>
            <w:vAlign w:val="center"/>
          </w:tcPr>
          <w:p>
            <w:pPr>
              <w:adjustRightInd w:val="0"/>
              <w:snapToGrid w:val="0"/>
              <w:spacing w:line="360" w:lineRule="auto"/>
              <w:jc w:val="center"/>
              <w:rPr>
                <w:rFonts w:hint="eastAsia" w:ascii="仿宋_GB2312" w:hAnsi="仿宋_GB2312" w:eastAsia="仿宋_GB2312" w:cs="仿宋_GB2312"/>
                <w:sz w:val="24"/>
              </w:rPr>
            </w:pPr>
            <w:r>
              <w:rPr>
                <w:rFonts w:hint="eastAsia" w:ascii="仿宋_GB2312" w:hAnsi="仿宋_GB2312" w:eastAsia="仿宋_GB2312" w:cs="仿宋_GB2312"/>
                <w:b w:val="0"/>
                <w:bCs w:val="0"/>
                <w:color w:val="000000"/>
                <w:sz w:val="24"/>
                <w:szCs w:val="24"/>
              </w:rPr>
              <w:t>610402 海水养殖</w:t>
            </w:r>
          </w:p>
        </w:tc>
        <w:tc>
          <w:tcPr>
            <w:tcW w:w="2397" w:type="pct"/>
            <w:vAlign w:val="center"/>
          </w:tcPr>
          <w:p>
            <w:pPr>
              <w:adjustRightInd w:val="0"/>
              <w:snapToGrid w:val="0"/>
              <w:jc w:val="center"/>
              <w:rPr>
                <w:rFonts w:hint="eastAsia" w:ascii="仿宋_GB2312" w:hAnsi="仿宋_GB2312" w:eastAsia="仿宋_GB2312" w:cs="仿宋_GB2312"/>
                <w:sz w:val="24"/>
              </w:rPr>
            </w:pPr>
            <w:r>
              <w:rPr>
                <w:rFonts w:hint="eastAsia" w:ascii="仿宋_GB2312" w:hAnsi="仿宋_GB2312" w:eastAsia="仿宋_GB2312" w:cs="仿宋_GB2312"/>
                <w:b w:val="0"/>
                <w:bCs w:val="0"/>
                <w:color w:val="000000"/>
                <w:sz w:val="24"/>
                <w:szCs w:val="24"/>
              </w:rPr>
              <w:t>海水鱼类增养殖技术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2" w:type="pct"/>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857" w:type="pct"/>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992" w:type="pct"/>
            <w:gridSpan w:val="2"/>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2397" w:type="pct"/>
            <w:vAlign w:val="center"/>
          </w:tcPr>
          <w:p>
            <w:pPr>
              <w:adjustRightInd w:val="0"/>
              <w:snapToGrid w:val="0"/>
              <w:jc w:val="center"/>
              <w:rPr>
                <w:rFonts w:hint="eastAsia" w:ascii="仿宋_GB2312" w:hAnsi="仿宋_GB2312" w:eastAsia="仿宋_GB2312" w:cs="仿宋_GB2312"/>
                <w:sz w:val="24"/>
              </w:rPr>
            </w:pPr>
            <w:r>
              <w:rPr>
                <w:rFonts w:hint="eastAsia" w:ascii="仿宋_GB2312" w:hAnsi="仿宋_GB2312" w:eastAsia="仿宋_GB2312" w:cs="仿宋_GB2312"/>
                <w:b w:val="0"/>
                <w:bCs w:val="0"/>
                <w:color w:val="000000"/>
                <w:sz w:val="24"/>
                <w:szCs w:val="24"/>
              </w:rPr>
              <w:t>海水虾蟹类增养殖技术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2" w:type="pct"/>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857" w:type="pct"/>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992" w:type="pct"/>
            <w:gridSpan w:val="2"/>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2397" w:type="pct"/>
            <w:vAlign w:val="center"/>
          </w:tcPr>
          <w:p>
            <w:pPr>
              <w:adjustRightInd w:val="0"/>
              <w:snapToGrid w:val="0"/>
              <w:jc w:val="center"/>
              <w:rPr>
                <w:rFonts w:hint="eastAsia" w:ascii="仿宋_GB2312" w:hAnsi="仿宋_GB2312" w:eastAsia="仿宋_GB2312" w:cs="仿宋_GB2312"/>
                <w:sz w:val="24"/>
              </w:rPr>
            </w:pPr>
            <w:r>
              <w:rPr>
                <w:rFonts w:hint="eastAsia" w:ascii="仿宋_GB2312" w:hAnsi="仿宋_GB2312" w:eastAsia="仿宋_GB2312" w:cs="仿宋_GB2312"/>
                <w:b w:val="0"/>
                <w:bCs w:val="0"/>
                <w:color w:val="000000"/>
                <w:sz w:val="24"/>
                <w:szCs w:val="24"/>
              </w:rPr>
              <w:t>海水贝类增养殖技术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2" w:type="pct"/>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857" w:type="pct"/>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992" w:type="pct"/>
            <w:gridSpan w:val="2"/>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2397" w:type="pct"/>
            <w:vAlign w:val="center"/>
          </w:tcPr>
          <w:p>
            <w:pPr>
              <w:adjustRightInd w:val="0"/>
              <w:snapToGrid w:val="0"/>
              <w:jc w:val="center"/>
              <w:rPr>
                <w:rFonts w:hint="eastAsia" w:ascii="仿宋_GB2312" w:hAnsi="仿宋_GB2312" w:eastAsia="仿宋_GB2312" w:cs="仿宋_GB2312"/>
                <w:sz w:val="24"/>
              </w:rPr>
            </w:pPr>
            <w:r>
              <w:rPr>
                <w:rFonts w:hint="eastAsia" w:ascii="仿宋_GB2312" w:hAnsi="仿宋_GB2312" w:eastAsia="仿宋_GB2312" w:cs="仿宋_GB2312"/>
                <w:b w:val="0"/>
                <w:bCs w:val="0"/>
                <w:color w:val="000000"/>
                <w:sz w:val="24"/>
                <w:szCs w:val="24"/>
              </w:rPr>
              <w:t>饵料生物培养技术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2" w:type="pct"/>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857" w:type="pct"/>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992" w:type="pct"/>
            <w:gridSpan w:val="2"/>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2397" w:type="pct"/>
            <w:vAlign w:val="center"/>
          </w:tcPr>
          <w:p>
            <w:pPr>
              <w:adjustRightInd w:val="0"/>
              <w:snapToGrid w:val="0"/>
              <w:jc w:val="center"/>
              <w:rPr>
                <w:rFonts w:hint="eastAsia" w:ascii="仿宋_GB2312" w:hAnsi="仿宋_GB2312" w:eastAsia="仿宋_GB2312" w:cs="仿宋_GB2312"/>
                <w:sz w:val="24"/>
              </w:rPr>
            </w:pPr>
            <w:r>
              <w:rPr>
                <w:rFonts w:hint="eastAsia" w:ascii="仿宋_GB2312" w:hAnsi="仿宋_GB2312" w:eastAsia="仿宋_GB2312" w:cs="仿宋_GB2312"/>
                <w:b w:val="0"/>
                <w:bCs w:val="0"/>
                <w:color w:val="000000"/>
                <w:sz w:val="24"/>
                <w:szCs w:val="24"/>
              </w:rPr>
              <w:t>水质分析与调控技术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56" w:hRule="atLeast"/>
          <w:jc w:val="center"/>
        </w:trPr>
        <w:tc>
          <w:tcPr>
            <w:tcW w:w="5000" w:type="pct"/>
            <w:gridSpan w:val="5"/>
            <w:vAlign w:val="center"/>
          </w:tcPr>
          <w:p>
            <w:pPr>
              <w:adjustRightInd w:val="0"/>
              <w:snapToGrid w:val="0"/>
              <w:jc w:val="center"/>
              <w:rPr>
                <w:rFonts w:hint="eastAsia" w:ascii="仿宋_GB2312" w:hAnsi="仿宋_GB2312" w:eastAsia="仿宋_GB2312" w:cs="仿宋_GB2312"/>
                <w:b/>
                <w:sz w:val="24"/>
              </w:rPr>
            </w:pPr>
            <w:r>
              <w:rPr>
                <w:rFonts w:hint="eastAsia" w:ascii="仿宋_GB2312" w:hAnsi="仿宋_GB2312" w:eastAsia="仿宋_GB2312" w:cs="仿宋_GB2312"/>
                <w:b/>
                <w:sz w:val="28"/>
                <w:szCs w:val="28"/>
              </w:rPr>
              <w:t>对接产业行业、对应岗位（群）及核心能力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80" w:hRule="atLeast"/>
          <w:jc w:val="center"/>
        </w:trPr>
        <w:tc>
          <w:tcPr>
            <w:tcW w:w="752" w:type="pct"/>
            <w:vAlign w:val="center"/>
          </w:tcPr>
          <w:p>
            <w:pPr>
              <w:adjustRightInd w:val="0"/>
              <w:snapToGrid w:val="0"/>
              <w:jc w:val="center"/>
              <w:rPr>
                <w:rFonts w:hint="eastAsia" w:ascii="仿宋_GB2312" w:hAnsi="仿宋_GB2312" w:eastAsia="仿宋_GB2312" w:cs="仿宋_GB2312"/>
                <w:b/>
                <w:sz w:val="24"/>
              </w:rPr>
            </w:pPr>
            <w:r>
              <w:rPr>
                <w:rFonts w:hint="eastAsia" w:ascii="仿宋_GB2312" w:hAnsi="仿宋_GB2312" w:eastAsia="仿宋_GB2312" w:cs="仿宋_GB2312"/>
                <w:sz w:val="24"/>
              </w:rPr>
              <w:t>产业行业</w:t>
            </w:r>
          </w:p>
        </w:tc>
        <w:tc>
          <w:tcPr>
            <w:tcW w:w="1378" w:type="pct"/>
            <w:gridSpan w:val="2"/>
            <w:vAlign w:val="center"/>
          </w:tcPr>
          <w:p>
            <w:pPr>
              <w:adjustRightInd w:val="0"/>
              <w:snapToGrid w:val="0"/>
              <w:jc w:val="center"/>
              <w:rPr>
                <w:rFonts w:hint="eastAsia" w:ascii="仿宋_GB2312" w:hAnsi="仿宋_GB2312" w:eastAsia="仿宋_GB2312" w:cs="仿宋_GB2312"/>
                <w:b/>
                <w:sz w:val="24"/>
              </w:rPr>
            </w:pPr>
            <w:r>
              <w:rPr>
                <w:rFonts w:hint="eastAsia" w:ascii="仿宋_GB2312" w:hAnsi="仿宋_GB2312" w:eastAsia="仿宋_GB2312" w:cs="仿宋_GB2312"/>
                <w:sz w:val="24"/>
              </w:rPr>
              <w:t>岗位（群）</w:t>
            </w:r>
          </w:p>
        </w:tc>
        <w:tc>
          <w:tcPr>
            <w:tcW w:w="2869" w:type="pct"/>
            <w:gridSpan w:val="2"/>
            <w:vAlign w:val="center"/>
          </w:tcPr>
          <w:p>
            <w:pPr>
              <w:adjustRightInd w:val="0"/>
              <w:snapToGrid w:val="0"/>
              <w:jc w:val="center"/>
              <w:rPr>
                <w:rFonts w:hint="eastAsia" w:ascii="仿宋_GB2312" w:hAnsi="仿宋_GB2312" w:eastAsia="仿宋_GB2312" w:cs="仿宋_GB2312"/>
                <w:b/>
                <w:sz w:val="24"/>
              </w:rPr>
            </w:pPr>
            <w:r>
              <w:rPr>
                <w:rFonts w:hint="eastAsia" w:ascii="仿宋_GB2312" w:hAnsi="仿宋_GB2312" w:eastAsia="仿宋_GB2312" w:cs="仿宋_GB2312"/>
                <w:sz w:val="24"/>
              </w:rPr>
              <w:t>核心能力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2" w:type="pct"/>
            <w:vMerge w:val="restart"/>
            <w:vAlign w:val="center"/>
          </w:tcPr>
          <w:p>
            <w:pPr>
              <w:keepNext w:val="0"/>
              <w:keepLines w:val="0"/>
              <w:widowControl/>
              <w:suppressLineNumbers w:val="0"/>
              <w:jc w:val="left"/>
              <w:rPr>
                <w:rFonts w:hint="eastAsia" w:ascii="仿宋_GB2312" w:hAnsi="仿宋_GB2312" w:eastAsia="仿宋_GB2312" w:cs="仿宋_GB2312"/>
              </w:rPr>
            </w:pPr>
            <w:r>
              <w:rPr>
                <w:rFonts w:hint="eastAsia" w:ascii="仿宋_GB2312" w:hAnsi="仿宋_GB2312" w:eastAsia="仿宋_GB2312" w:cs="仿宋_GB2312"/>
                <w:b w:val="0"/>
                <w:bCs w:val="0"/>
                <w:color w:val="000000"/>
                <w:kern w:val="0"/>
                <w:sz w:val="24"/>
                <w:szCs w:val="24"/>
                <w:lang w:val="en-US" w:eastAsia="zh-CN" w:bidi="ar"/>
              </w:rPr>
              <w:t>乡村振兴与</w:t>
            </w:r>
          </w:p>
          <w:p>
            <w:pPr>
              <w:keepNext w:val="0"/>
              <w:keepLines w:val="0"/>
              <w:widowControl/>
              <w:suppressLineNumbers w:val="0"/>
              <w:jc w:val="left"/>
              <w:rPr>
                <w:rFonts w:hint="eastAsia" w:ascii="仿宋_GB2312" w:hAnsi="仿宋_GB2312" w:eastAsia="仿宋_GB2312" w:cs="仿宋_GB2312"/>
              </w:rPr>
            </w:pPr>
            <w:r>
              <w:rPr>
                <w:rFonts w:hint="eastAsia" w:ascii="仿宋_GB2312" w:hAnsi="仿宋_GB2312" w:eastAsia="仿宋_GB2312" w:cs="仿宋_GB2312"/>
                <w:b w:val="0"/>
                <w:bCs w:val="0"/>
                <w:color w:val="000000"/>
                <w:kern w:val="0"/>
                <w:sz w:val="24"/>
                <w:szCs w:val="24"/>
                <w:lang w:val="en-US" w:eastAsia="zh-CN" w:bidi="ar"/>
              </w:rPr>
              <w:t>绿色发展</w:t>
            </w:r>
          </w:p>
          <w:p>
            <w:pPr>
              <w:adjustRightInd w:val="0"/>
              <w:snapToGrid w:val="0"/>
              <w:spacing w:line="360" w:lineRule="auto"/>
              <w:jc w:val="center"/>
              <w:rPr>
                <w:rFonts w:hint="eastAsia" w:ascii="仿宋_GB2312" w:hAnsi="仿宋_GB2312" w:eastAsia="仿宋_GB2312" w:cs="仿宋_GB2312"/>
                <w:sz w:val="24"/>
              </w:rPr>
            </w:pPr>
          </w:p>
        </w:tc>
        <w:tc>
          <w:tcPr>
            <w:tcW w:w="1378" w:type="pct"/>
            <w:gridSpan w:val="2"/>
            <w:vMerge w:val="restart"/>
            <w:vAlign w:val="center"/>
          </w:tcPr>
          <w:p>
            <w:pPr>
              <w:adjustRightInd w:val="0"/>
              <w:snapToGrid w:val="0"/>
              <w:spacing w:line="360" w:lineRule="auto"/>
              <w:jc w:val="center"/>
              <w:rPr>
                <w:rFonts w:hint="eastAsia" w:ascii="仿宋_GB2312" w:hAnsi="仿宋_GB2312" w:eastAsia="仿宋_GB2312" w:cs="仿宋_GB2312"/>
                <w:sz w:val="24"/>
              </w:rPr>
            </w:pPr>
            <w:r>
              <w:rPr>
                <w:rFonts w:hint="eastAsia" w:ascii="仿宋_GB2312" w:hAnsi="仿宋_GB2312" w:eastAsia="仿宋_GB2312" w:cs="仿宋_GB2312"/>
                <w:b w:val="0"/>
                <w:bCs w:val="0"/>
                <w:color w:val="000000"/>
                <w:sz w:val="24"/>
                <w:szCs w:val="24"/>
              </w:rPr>
              <w:t>畜牧业生产</w:t>
            </w:r>
          </w:p>
        </w:tc>
        <w:tc>
          <w:tcPr>
            <w:tcW w:w="2869" w:type="pct"/>
            <w:gridSpan w:val="2"/>
            <w:vAlign w:val="center"/>
          </w:tcPr>
          <w:p>
            <w:pPr>
              <w:adjustRightInd w:val="0"/>
              <w:snapToGrid w:val="0"/>
              <w:spacing w:line="360" w:lineRule="auto"/>
              <w:rPr>
                <w:rFonts w:hint="eastAsia" w:ascii="仿宋_GB2312" w:hAnsi="仿宋_GB2312" w:eastAsia="仿宋_GB2312" w:cs="仿宋_GB2312"/>
                <w:sz w:val="24"/>
              </w:rPr>
            </w:pPr>
            <w:r>
              <w:rPr>
                <w:rFonts w:hint="eastAsia" w:ascii="仿宋_GB2312" w:hAnsi="仿宋_GB2312" w:eastAsia="仿宋_GB2312" w:cs="仿宋_GB2312"/>
                <w:b w:val="0"/>
                <w:bCs w:val="0"/>
                <w:color w:val="000000"/>
                <w:sz w:val="24"/>
                <w:szCs w:val="24"/>
              </w:rPr>
              <w:t>掌握常见饲料原料的营养作用的能力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2" w:type="pct"/>
            <w:vMerge w:val="continue"/>
            <w:vAlign w:val="center"/>
          </w:tcPr>
          <w:p>
            <w:pPr>
              <w:adjustRightInd w:val="0"/>
              <w:snapToGrid w:val="0"/>
              <w:spacing w:line="360" w:lineRule="auto"/>
              <w:rPr>
                <w:rFonts w:hint="eastAsia" w:ascii="仿宋_GB2312" w:hAnsi="仿宋_GB2312" w:eastAsia="仿宋_GB2312" w:cs="仿宋_GB2312"/>
              </w:rPr>
            </w:pPr>
          </w:p>
        </w:tc>
        <w:tc>
          <w:tcPr>
            <w:tcW w:w="1378" w:type="pct"/>
            <w:gridSpan w:val="2"/>
            <w:vMerge w:val="continue"/>
            <w:vAlign w:val="center"/>
          </w:tcPr>
          <w:p>
            <w:pPr>
              <w:adjustRightInd w:val="0"/>
              <w:snapToGrid w:val="0"/>
              <w:spacing w:line="360" w:lineRule="auto"/>
              <w:rPr>
                <w:rFonts w:hint="eastAsia" w:ascii="仿宋_GB2312" w:hAnsi="仿宋_GB2312" w:eastAsia="仿宋_GB2312" w:cs="仿宋_GB2312"/>
              </w:rPr>
            </w:pPr>
          </w:p>
        </w:tc>
        <w:tc>
          <w:tcPr>
            <w:tcW w:w="2869" w:type="pct"/>
            <w:gridSpan w:val="2"/>
            <w:vAlign w:val="center"/>
          </w:tcPr>
          <w:p>
            <w:pPr>
              <w:adjustRightInd w:val="0"/>
              <w:snapToGrid w:val="0"/>
              <w:spacing w:line="360" w:lineRule="auto"/>
              <w:rPr>
                <w:rFonts w:hint="eastAsia" w:ascii="仿宋_GB2312" w:hAnsi="仿宋_GB2312" w:eastAsia="仿宋_GB2312" w:cs="仿宋_GB2312"/>
                <w:sz w:val="24"/>
              </w:rPr>
            </w:pPr>
            <w:r>
              <w:rPr>
                <w:rFonts w:hint="eastAsia" w:ascii="仿宋_GB2312" w:hAnsi="仿宋_GB2312" w:eastAsia="仿宋_GB2312" w:cs="仿宋_GB2312"/>
                <w:b w:val="0"/>
                <w:bCs w:val="0"/>
                <w:color w:val="000000"/>
                <w:sz w:val="24"/>
                <w:szCs w:val="24"/>
              </w:rPr>
              <w:t>饲料常规成分分析的能力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2" w:type="pct"/>
            <w:vMerge w:val="continue"/>
            <w:vAlign w:val="center"/>
          </w:tcPr>
          <w:p>
            <w:pPr>
              <w:adjustRightInd w:val="0"/>
              <w:snapToGrid w:val="0"/>
              <w:spacing w:line="360" w:lineRule="auto"/>
              <w:rPr>
                <w:rFonts w:hint="eastAsia" w:ascii="仿宋_GB2312" w:hAnsi="仿宋_GB2312" w:eastAsia="仿宋_GB2312" w:cs="仿宋_GB2312"/>
                <w:sz w:val="24"/>
              </w:rPr>
            </w:pPr>
          </w:p>
        </w:tc>
        <w:tc>
          <w:tcPr>
            <w:tcW w:w="1378" w:type="pct"/>
            <w:gridSpan w:val="2"/>
            <w:vMerge w:val="continue"/>
            <w:vAlign w:val="center"/>
          </w:tcPr>
          <w:p>
            <w:pPr>
              <w:adjustRightInd w:val="0"/>
              <w:snapToGrid w:val="0"/>
              <w:spacing w:line="360" w:lineRule="auto"/>
              <w:rPr>
                <w:rFonts w:hint="eastAsia" w:ascii="仿宋_GB2312" w:hAnsi="仿宋_GB2312" w:eastAsia="仿宋_GB2312" w:cs="仿宋_GB2312"/>
                <w:sz w:val="24"/>
              </w:rPr>
            </w:pPr>
          </w:p>
        </w:tc>
        <w:tc>
          <w:tcPr>
            <w:tcW w:w="2869" w:type="pct"/>
            <w:gridSpan w:val="2"/>
            <w:vAlign w:val="center"/>
          </w:tcPr>
          <w:p>
            <w:pPr>
              <w:adjustRightInd w:val="0"/>
              <w:snapToGrid w:val="0"/>
              <w:spacing w:line="360" w:lineRule="auto"/>
              <w:rPr>
                <w:rFonts w:hint="eastAsia" w:ascii="仿宋_GB2312" w:hAnsi="仿宋_GB2312" w:eastAsia="仿宋_GB2312" w:cs="仿宋_GB2312"/>
                <w:sz w:val="24"/>
              </w:rPr>
            </w:pPr>
            <w:r>
              <w:rPr>
                <w:rFonts w:hint="eastAsia" w:ascii="仿宋_GB2312" w:hAnsi="仿宋_GB2312" w:eastAsia="仿宋_GB2312" w:cs="仿宋_GB2312"/>
                <w:b w:val="0"/>
                <w:bCs w:val="0"/>
                <w:color w:val="000000"/>
                <w:sz w:val="24"/>
                <w:szCs w:val="24"/>
              </w:rPr>
              <w:t>畜禽饲料加工的能力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2" w:type="pct"/>
            <w:vMerge w:val="continue"/>
            <w:vAlign w:val="center"/>
          </w:tcPr>
          <w:p>
            <w:pPr>
              <w:adjustRightInd w:val="0"/>
              <w:snapToGrid w:val="0"/>
              <w:spacing w:line="360" w:lineRule="auto"/>
              <w:rPr>
                <w:rFonts w:hint="eastAsia" w:ascii="仿宋_GB2312" w:hAnsi="仿宋_GB2312" w:eastAsia="仿宋_GB2312" w:cs="仿宋_GB2312"/>
                <w:sz w:val="24"/>
              </w:rPr>
            </w:pPr>
          </w:p>
        </w:tc>
        <w:tc>
          <w:tcPr>
            <w:tcW w:w="1378" w:type="pct"/>
            <w:gridSpan w:val="2"/>
            <w:vMerge w:val="continue"/>
            <w:vAlign w:val="center"/>
          </w:tcPr>
          <w:p>
            <w:pPr>
              <w:adjustRightInd w:val="0"/>
              <w:snapToGrid w:val="0"/>
              <w:spacing w:line="360" w:lineRule="auto"/>
              <w:rPr>
                <w:rFonts w:hint="eastAsia" w:ascii="仿宋_GB2312" w:hAnsi="仿宋_GB2312" w:eastAsia="仿宋_GB2312" w:cs="仿宋_GB2312"/>
                <w:sz w:val="24"/>
              </w:rPr>
            </w:pPr>
          </w:p>
        </w:tc>
        <w:tc>
          <w:tcPr>
            <w:tcW w:w="2869" w:type="pct"/>
            <w:gridSpan w:val="2"/>
            <w:vAlign w:val="center"/>
          </w:tcPr>
          <w:p>
            <w:pPr>
              <w:adjustRightInd w:val="0"/>
              <w:snapToGrid w:val="0"/>
              <w:spacing w:line="360" w:lineRule="auto"/>
              <w:rPr>
                <w:rFonts w:hint="eastAsia" w:ascii="仿宋_GB2312" w:hAnsi="仿宋_GB2312" w:eastAsia="仿宋_GB2312" w:cs="仿宋_GB2312"/>
                <w:sz w:val="24"/>
              </w:rPr>
            </w:pPr>
            <w:r>
              <w:rPr>
                <w:rFonts w:hint="eastAsia" w:ascii="仿宋_GB2312" w:hAnsi="仿宋_GB2312" w:eastAsia="仿宋_GB2312" w:cs="仿宋_GB2312"/>
                <w:b w:val="0"/>
                <w:bCs w:val="0"/>
                <w:color w:val="000000"/>
                <w:sz w:val="24"/>
                <w:szCs w:val="24"/>
              </w:rPr>
              <w:t>根据畜禽营养需要进行饲料配合的能力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2" w:type="pct"/>
            <w:vMerge w:val="continue"/>
            <w:vAlign w:val="center"/>
          </w:tcPr>
          <w:p>
            <w:pPr>
              <w:adjustRightInd w:val="0"/>
              <w:snapToGrid w:val="0"/>
              <w:spacing w:line="360" w:lineRule="auto"/>
              <w:rPr>
                <w:rFonts w:hint="eastAsia" w:ascii="仿宋_GB2312" w:hAnsi="仿宋_GB2312" w:eastAsia="仿宋_GB2312" w:cs="仿宋_GB2312"/>
                <w:sz w:val="24"/>
              </w:rPr>
            </w:pPr>
          </w:p>
        </w:tc>
        <w:tc>
          <w:tcPr>
            <w:tcW w:w="1378" w:type="pct"/>
            <w:gridSpan w:val="2"/>
            <w:vMerge w:val="continue"/>
            <w:vAlign w:val="center"/>
          </w:tcPr>
          <w:p>
            <w:pPr>
              <w:adjustRightInd w:val="0"/>
              <w:snapToGrid w:val="0"/>
              <w:spacing w:line="360" w:lineRule="auto"/>
              <w:rPr>
                <w:rFonts w:hint="eastAsia" w:ascii="仿宋_GB2312" w:hAnsi="仿宋_GB2312" w:eastAsia="仿宋_GB2312" w:cs="仿宋_GB2312"/>
                <w:sz w:val="24"/>
              </w:rPr>
            </w:pPr>
          </w:p>
        </w:tc>
        <w:tc>
          <w:tcPr>
            <w:tcW w:w="2869" w:type="pct"/>
            <w:gridSpan w:val="2"/>
            <w:vAlign w:val="center"/>
          </w:tcPr>
          <w:p>
            <w:pPr>
              <w:adjustRightInd w:val="0"/>
              <w:snapToGrid w:val="0"/>
              <w:spacing w:line="360" w:lineRule="auto"/>
              <w:rPr>
                <w:rFonts w:hint="eastAsia" w:ascii="仿宋_GB2312" w:hAnsi="仿宋_GB2312" w:eastAsia="仿宋_GB2312" w:cs="仿宋_GB2312"/>
                <w:sz w:val="24"/>
              </w:rPr>
            </w:pPr>
            <w:r>
              <w:rPr>
                <w:rFonts w:hint="eastAsia" w:ascii="仿宋_GB2312" w:hAnsi="仿宋_GB2312" w:eastAsia="仿宋_GB2312" w:cs="仿宋_GB2312"/>
                <w:b w:val="0"/>
                <w:bCs w:val="0"/>
                <w:color w:val="000000"/>
                <w:sz w:val="24"/>
                <w:szCs w:val="24"/>
              </w:rPr>
              <w:t>特种动物饲料配制、加工与贮存的能力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2" w:type="pct"/>
            <w:vMerge w:val="continue"/>
            <w:vAlign w:val="center"/>
          </w:tcPr>
          <w:p>
            <w:pPr>
              <w:adjustRightInd w:val="0"/>
              <w:snapToGrid w:val="0"/>
              <w:jc w:val="center"/>
              <w:rPr>
                <w:rFonts w:hint="eastAsia" w:ascii="仿宋_GB2312" w:hAnsi="仿宋_GB2312" w:eastAsia="仿宋_GB2312" w:cs="仿宋_GB2312"/>
                <w:sz w:val="24"/>
              </w:rPr>
            </w:pPr>
          </w:p>
        </w:tc>
        <w:tc>
          <w:tcPr>
            <w:tcW w:w="1378" w:type="pct"/>
            <w:gridSpan w:val="2"/>
            <w:vMerge w:val="restart"/>
            <w:vAlign w:val="center"/>
          </w:tcPr>
          <w:p>
            <w:pPr>
              <w:adjustRightInd w:val="0"/>
              <w:snapToGrid w:val="0"/>
              <w:spacing w:line="360" w:lineRule="auto"/>
              <w:jc w:val="center"/>
              <w:rPr>
                <w:rFonts w:hint="eastAsia" w:ascii="仿宋_GB2312" w:hAnsi="仿宋_GB2312" w:eastAsia="仿宋_GB2312" w:cs="仿宋_GB2312"/>
                <w:sz w:val="24"/>
              </w:rPr>
            </w:pPr>
            <w:r>
              <w:rPr>
                <w:rFonts w:hint="eastAsia" w:ascii="仿宋_GB2312" w:hAnsi="仿宋_GB2312" w:eastAsia="仿宋_GB2312" w:cs="仿宋_GB2312"/>
                <w:b w:val="0"/>
                <w:bCs w:val="0"/>
                <w:color w:val="000000"/>
                <w:sz w:val="24"/>
                <w:szCs w:val="24"/>
              </w:rPr>
              <w:t>渔业生产</w:t>
            </w:r>
          </w:p>
        </w:tc>
        <w:tc>
          <w:tcPr>
            <w:tcW w:w="2869" w:type="pct"/>
            <w:gridSpan w:val="2"/>
            <w:vAlign w:val="center"/>
          </w:tcPr>
          <w:p>
            <w:pPr>
              <w:keepNext w:val="0"/>
              <w:keepLines w:val="0"/>
              <w:widowControl/>
              <w:suppressLineNumbers w:val="0"/>
              <w:adjustRightInd w:val="0"/>
              <w:snapToGrid w:val="0"/>
              <w:spacing w:line="360" w:lineRule="auto"/>
              <w:jc w:val="left"/>
              <w:rPr>
                <w:rFonts w:hint="eastAsia" w:ascii="仿宋_GB2312" w:hAnsi="仿宋_GB2312" w:eastAsia="仿宋_GB2312" w:cs="仿宋_GB2312"/>
                <w:sz w:val="24"/>
              </w:rPr>
            </w:pPr>
            <w:r>
              <w:rPr>
                <w:rFonts w:hint="eastAsia" w:ascii="仿宋_GB2312" w:hAnsi="仿宋_GB2312" w:eastAsia="仿宋_GB2312" w:cs="仿宋_GB2312"/>
                <w:b w:val="0"/>
                <w:bCs w:val="0"/>
                <w:color w:val="000000"/>
                <w:kern w:val="0"/>
                <w:sz w:val="24"/>
                <w:szCs w:val="24"/>
                <w:lang w:val="en-US" w:eastAsia="zh-CN" w:bidi="ar"/>
              </w:rPr>
              <w:t>掌握常见饲料原料的营养作用的能力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2" w:type="pct"/>
            <w:vMerge w:val="continue"/>
            <w:vAlign w:val="center"/>
          </w:tcPr>
          <w:p>
            <w:pPr>
              <w:adjustRightInd w:val="0"/>
              <w:snapToGrid w:val="0"/>
              <w:spacing w:line="360" w:lineRule="auto"/>
              <w:rPr>
                <w:rFonts w:hint="eastAsia" w:ascii="仿宋_GB2312" w:hAnsi="仿宋_GB2312" w:eastAsia="仿宋_GB2312" w:cs="仿宋_GB2312"/>
              </w:rPr>
            </w:pPr>
          </w:p>
        </w:tc>
        <w:tc>
          <w:tcPr>
            <w:tcW w:w="1378" w:type="pct"/>
            <w:gridSpan w:val="2"/>
            <w:vMerge w:val="continue"/>
            <w:vAlign w:val="center"/>
          </w:tcPr>
          <w:p>
            <w:pPr>
              <w:adjustRightInd w:val="0"/>
              <w:snapToGrid w:val="0"/>
              <w:spacing w:line="360" w:lineRule="auto"/>
              <w:jc w:val="center"/>
              <w:rPr>
                <w:rFonts w:hint="eastAsia" w:ascii="仿宋_GB2312" w:hAnsi="仿宋_GB2312" w:eastAsia="仿宋_GB2312" w:cs="仿宋_GB2312"/>
              </w:rPr>
            </w:pPr>
          </w:p>
        </w:tc>
        <w:tc>
          <w:tcPr>
            <w:tcW w:w="2869" w:type="pct"/>
            <w:gridSpan w:val="2"/>
            <w:vAlign w:val="center"/>
          </w:tcPr>
          <w:p>
            <w:pPr>
              <w:keepNext w:val="0"/>
              <w:keepLines w:val="0"/>
              <w:widowControl/>
              <w:suppressLineNumbers w:val="0"/>
              <w:adjustRightInd w:val="0"/>
              <w:snapToGrid w:val="0"/>
              <w:spacing w:line="360" w:lineRule="auto"/>
              <w:jc w:val="left"/>
              <w:rPr>
                <w:rFonts w:hint="eastAsia" w:ascii="仿宋_GB2312" w:hAnsi="仿宋_GB2312" w:eastAsia="仿宋_GB2312" w:cs="仿宋_GB2312"/>
                <w:sz w:val="24"/>
              </w:rPr>
            </w:pPr>
            <w:r>
              <w:rPr>
                <w:rFonts w:hint="eastAsia" w:ascii="仿宋_GB2312" w:hAnsi="仿宋_GB2312" w:eastAsia="仿宋_GB2312" w:cs="仿宋_GB2312"/>
                <w:b w:val="0"/>
                <w:bCs w:val="0"/>
                <w:color w:val="000000"/>
                <w:kern w:val="0"/>
                <w:sz w:val="24"/>
                <w:szCs w:val="24"/>
                <w:lang w:val="en-US" w:eastAsia="zh-CN" w:bidi="ar"/>
              </w:rPr>
              <w:t>饲料常规成分分析的能力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2" w:type="pct"/>
            <w:vMerge w:val="continue"/>
            <w:vAlign w:val="center"/>
          </w:tcPr>
          <w:p>
            <w:pPr>
              <w:adjustRightInd w:val="0"/>
              <w:snapToGrid w:val="0"/>
              <w:spacing w:line="360" w:lineRule="auto"/>
              <w:rPr>
                <w:rFonts w:hint="eastAsia" w:ascii="仿宋_GB2312" w:hAnsi="仿宋_GB2312" w:eastAsia="仿宋_GB2312" w:cs="仿宋_GB2312"/>
                <w:sz w:val="24"/>
              </w:rPr>
            </w:pPr>
          </w:p>
        </w:tc>
        <w:tc>
          <w:tcPr>
            <w:tcW w:w="1378" w:type="pct"/>
            <w:gridSpan w:val="2"/>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2869" w:type="pct"/>
            <w:gridSpan w:val="2"/>
            <w:vAlign w:val="center"/>
          </w:tcPr>
          <w:p>
            <w:pPr>
              <w:keepNext w:val="0"/>
              <w:keepLines w:val="0"/>
              <w:widowControl/>
              <w:suppressLineNumbers w:val="0"/>
              <w:adjustRightInd w:val="0"/>
              <w:snapToGrid w:val="0"/>
              <w:spacing w:line="360" w:lineRule="auto"/>
              <w:jc w:val="left"/>
              <w:rPr>
                <w:rFonts w:hint="eastAsia" w:ascii="仿宋_GB2312" w:hAnsi="仿宋_GB2312" w:eastAsia="仿宋_GB2312" w:cs="仿宋_GB2312"/>
                <w:sz w:val="24"/>
              </w:rPr>
            </w:pPr>
            <w:r>
              <w:rPr>
                <w:rFonts w:hint="eastAsia" w:ascii="仿宋_GB2312" w:hAnsi="仿宋_GB2312" w:eastAsia="仿宋_GB2312" w:cs="仿宋_GB2312"/>
                <w:b w:val="0"/>
                <w:bCs w:val="0"/>
                <w:color w:val="000000"/>
                <w:kern w:val="0"/>
                <w:sz w:val="24"/>
                <w:szCs w:val="24"/>
                <w:lang w:val="en-US" w:eastAsia="zh-CN" w:bidi="ar"/>
              </w:rPr>
              <w:t>水产饲料原料营养检测与分析能力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2" w:type="pct"/>
            <w:vMerge w:val="continue"/>
            <w:vAlign w:val="center"/>
          </w:tcPr>
          <w:p>
            <w:pPr>
              <w:adjustRightInd w:val="0"/>
              <w:snapToGrid w:val="0"/>
              <w:spacing w:line="360" w:lineRule="auto"/>
              <w:rPr>
                <w:rFonts w:hint="eastAsia" w:ascii="仿宋_GB2312" w:hAnsi="仿宋_GB2312" w:eastAsia="仿宋_GB2312" w:cs="仿宋_GB2312"/>
                <w:sz w:val="24"/>
              </w:rPr>
            </w:pPr>
          </w:p>
        </w:tc>
        <w:tc>
          <w:tcPr>
            <w:tcW w:w="1378" w:type="pct"/>
            <w:gridSpan w:val="2"/>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2869" w:type="pct"/>
            <w:gridSpan w:val="2"/>
            <w:vAlign w:val="center"/>
          </w:tcPr>
          <w:p>
            <w:pPr>
              <w:keepNext w:val="0"/>
              <w:keepLines w:val="0"/>
              <w:widowControl/>
              <w:suppressLineNumbers w:val="0"/>
              <w:adjustRightInd w:val="0"/>
              <w:snapToGrid w:val="0"/>
              <w:spacing w:line="360" w:lineRule="auto"/>
              <w:jc w:val="left"/>
              <w:rPr>
                <w:rFonts w:hint="eastAsia" w:ascii="仿宋_GB2312" w:hAnsi="仿宋_GB2312" w:eastAsia="仿宋_GB2312" w:cs="仿宋_GB2312"/>
                <w:sz w:val="24"/>
              </w:rPr>
            </w:pPr>
            <w:r>
              <w:rPr>
                <w:rFonts w:hint="eastAsia" w:ascii="仿宋_GB2312" w:hAnsi="仿宋_GB2312" w:eastAsia="仿宋_GB2312" w:cs="仿宋_GB2312"/>
                <w:b w:val="0"/>
                <w:bCs w:val="0"/>
                <w:color w:val="000000"/>
                <w:kern w:val="0"/>
                <w:sz w:val="24"/>
                <w:szCs w:val="24"/>
                <w:lang w:val="en-US" w:eastAsia="zh-CN" w:bidi="ar"/>
              </w:rPr>
              <w:t>海水水生动物饲养、饵料生物培养的能力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2" w:type="pct"/>
            <w:vMerge w:val="continue"/>
            <w:vAlign w:val="center"/>
          </w:tcPr>
          <w:p>
            <w:pPr>
              <w:adjustRightInd w:val="0"/>
              <w:snapToGrid w:val="0"/>
              <w:spacing w:line="360" w:lineRule="auto"/>
              <w:rPr>
                <w:rFonts w:hint="eastAsia" w:ascii="仿宋_GB2312" w:hAnsi="仿宋_GB2312" w:eastAsia="仿宋_GB2312" w:cs="仿宋_GB2312"/>
                <w:sz w:val="24"/>
              </w:rPr>
            </w:pPr>
          </w:p>
        </w:tc>
        <w:tc>
          <w:tcPr>
            <w:tcW w:w="1378" w:type="pct"/>
            <w:gridSpan w:val="2"/>
            <w:vMerge w:val="continue"/>
            <w:vAlign w:val="center"/>
          </w:tcPr>
          <w:p>
            <w:pPr>
              <w:adjustRightInd w:val="0"/>
              <w:snapToGrid w:val="0"/>
              <w:spacing w:line="360" w:lineRule="auto"/>
              <w:jc w:val="center"/>
              <w:rPr>
                <w:rFonts w:hint="eastAsia" w:ascii="仿宋_GB2312" w:hAnsi="仿宋_GB2312" w:eastAsia="仿宋_GB2312" w:cs="仿宋_GB2312"/>
                <w:sz w:val="24"/>
              </w:rPr>
            </w:pPr>
          </w:p>
        </w:tc>
        <w:tc>
          <w:tcPr>
            <w:tcW w:w="2869" w:type="pct"/>
            <w:gridSpan w:val="2"/>
            <w:vAlign w:val="center"/>
          </w:tcPr>
          <w:p>
            <w:pPr>
              <w:keepNext w:val="0"/>
              <w:keepLines w:val="0"/>
              <w:widowControl/>
              <w:suppressLineNumbers w:val="0"/>
              <w:adjustRightInd w:val="0"/>
              <w:snapToGrid w:val="0"/>
              <w:spacing w:line="360" w:lineRule="auto"/>
              <w:jc w:val="left"/>
              <w:rPr>
                <w:rFonts w:hint="eastAsia" w:ascii="仿宋_GB2312" w:hAnsi="仿宋_GB2312" w:eastAsia="仿宋_GB2312" w:cs="仿宋_GB2312"/>
                <w:sz w:val="24"/>
              </w:rPr>
            </w:pPr>
            <w:r>
              <w:rPr>
                <w:rFonts w:hint="eastAsia" w:ascii="仿宋_GB2312" w:hAnsi="仿宋_GB2312" w:eastAsia="仿宋_GB2312" w:cs="仿宋_GB2312"/>
                <w:b w:val="0"/>
                <w:bCs w:val="0"/>
                <w:color w:val="000000"/>
                <w:kern w:val="0"/>
                <w:sz w:val="24"/>
                <w:szCs w:val="24"/>
                <w:lang w:val="en-US" w:eastAsia="zh-CN" w:bidi="ar"/>
              </w:rPr>
              <w:t>掌握常见饲料原料的营养作用的能力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2" w:type="pct"/>
            <w:vMerge w:val="continue"/>
            <w:vAlign w:val="center"/>
          </w:tcPr>
          <w:p>
            <w:pPr>
              <w:adjustRightInd w:val="0"/>
              <w:snapToGrid w:val="0"/>
              <w:jc w:val="center"/>
              <w:rPr>
                <w:rFonts w:hint="eastAsia" w:ascii="仿宋_GB2312" w:hAnsi="仿宋_GB2312" w:eastAsia="仿宋_GB2312" w:cs="仿宋_GB2312"/>
                <w:sz w:val="24"/>
              </w:rPr>
            </w:pPr>
          </w:p>
        </w:tc>
        <w:tc>
          <w:tcPr>
            <w:tcW w:w="1378" w:type="pct"/>
            <w:gridSpan w:val="2"/>
            <w:vMerge w:val="restart"/>
            <w:vAlign w:val="center"/>
          </w:tcPr>
          <w:p>
            <w:pPr>
              <w:adjustRightInd w:val="0"/>
              <w:snapToGrid w:val="0"/>
              <w:spacing w:line="360" w:lineRule="auto"/>
              <w:jc w:val="center"/>
              <w:rPr>
                <w:rFonts w:hint="eastAsia" w:ascii="仿宋_GB2312" w:hAnsi="仿宋_GB2312" w:eastAsia="仿宋_GB2312" w:cs="仿宋_GB2312"/>
                <w:sz w:val="24"/>
              </w:rPr>
            </w:pPr>
            <w:r>
              <w:rPr>
                <w:rFonts w:hint="eastAsia" w:ascii="仿宋_GB2312" w:hAnsi="仿宋_GB2312" w:eastAsia="仿宋_GB2312" w:cs="仿宋_GB2312"/>
                <w:b w:val="0"/>
                <w:bCs w:val="0"/>
                <w:color w:val="000000"/>
                <w:sz w:val="24"/>
                <w:szCs w:val="24"/>
              </w:rPr>
              <w:t>智慧农业</w:t>
            </w:r>
          </w:p>
        </w:tc>
        <w:tc>
          <w:tcPr>
            <w:tcW w:w="2869" w:type="pct"/>
            <w:gridSpan w:val="2"/>
            <w:vAlign w:val="center"/>
          </w:tcPr>
          <w:p>
            <w:pPr>
              <w:keepNext w:val="0"/>
              <w:keepLines w:val="0"/>
              <w:widowControl/>
              <w:suppressLineNumbers w:val="0"/>
              <w:adjustRightInd w:val="0"/>
              <w:snapToGrid w:val="0"/>
              <w:spacing w:line="360" w:lineRule="auto"/>
              <w:jc w:val="left"/>
              <w:rPr>
                <w:rFonts w:hint="eastAsia" w:ascii="仿宋_GB2312" w:hAnsi="仿宋_GB2312" w:eastAsia="仿宋_GB2312" w:cs="仿宋_GB2312"/>
                <w:sz w:val="24"/>
              </w:rPr>
            </w:pPr>
            <w:r>
              <w:rPr>
                <w:rFonts w:hint="eastAsia" w:ascii="仿宋_GB2312" w:hAnsi="仿宋_GB2312" w:eastAsia="仿宋_GB2312" w:cs="仿宋_GB2312"/>
                <w:b w:val="0"/>
                <w:bCs w:val="0"/>
                <w:color w:val="000000"/>
                <w:kern w:val="0"/>
                <w:sz w:val="24"/>
                <w:szCs w:val="24"/>
                <w:lang w:val="en-US" w:eastAsia="zh-CN" w:bidi="ar"/>
              </w:rPr>
              <w:t>循环农业与再生资源利用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2" w:type="pct"/>
            <w:vMerge w:val="continue"/>
            <w:vAlign w:val="center"/>
          </w:tcPr>
          <w:p>
            <w:pPr>
              <w:adjustRightInd w:val="0"/>
              <w:snapToGrid w:val="0"/>
              <w:spacing w:line="360" w:lineRule="auto"/>
              <w:rPr>
                <w:rFonts w:hint="eastAsia" w:ascii="仿宋_GB2312" w:hAnsi="仿宋_GB2312" w:eastAsia="仿宋_GB2312" w:cs="仿宋_GB2312"/>
              </w:rPr>
            </w:pPr>
          </w:p>
        </w:tc>
        <w:tc>
          <w:tcPr>
            <w:tcW w:w="1378" w:type="pct"/>
            <w:gridSpan w:val="2"/>
            <w:vMerge w:val="continue"/>
            <w:vAlign w:val="center"/>
          </w:tcPr>
          <w:p>
            <w:pPr>
              <w:adjustRightInd w:val="0"/>
              <w:snapToGrid w:val="0"/>
              <w:spacing w:line="360" w:lineRule="auto"/>
              <w:rPr>
                <w:rFonts w:hint="eastAsia" w:ascii="仿宋_GB2312" w:hAnsi="仿宋_GB2312" w:eastAsia="仿宋_GB2312" w:cs="仿宋_GB2312"/>
              </w:rPr>
            </w:pPr>
          </w:p>
        </w:tc>
        <w:tc>
          <w:tcPr>
            <w:tcW w:w="2869" w:type="pct"/>
            <w:gridSpan w:val="2"/>
            <w:vAlign w:val="center"/>
          </w:tcPr>
          <w:p>
            <w:pPr>
              <w:keepNext w:val="0"/>
              <w:keepLines w:val="0"/>
              <w:widowControl/>
              <w:suppressLineNumbers w:val="0"/>
              <w:adjustRightInd w:val="0"/>
              <w:snapToGrid w:val="0"/>
              <w:spacing w:line="360" w:lineRule="auto"/>
              <w:jc w:val="left"/>
              <w:rPr>
                <w:rFonts w:hint="eastAsia" w:ascii="仿宋_GB2312" w:hAnsi="仿宋_GB2312" w:eastAsia="仿宋_GB2312" w:cs="仿宋_GB2312"/>
                <w:sz w:val="24"/>
              </w:rPr>
            </w:pPr>
            <w:r>
              <w:rPr>
                <w:rFonts w:hint="eastAsia" w:ascii="仿宋_GB2312" w:hAnsi="仿宋_GB2312" w:eastAsia="仿宋_GB2312" w:cs="仿宋_GB2312"/>
                <w:b w:val="0"/>
                <w:bCs w:val="0"/>
                <w:color w:val="000000"/>
                <w:kern w:val="0"/>
                <w:sz w:val="24"/>
                <w:szCs w:val="24"/>
                <w:lang w:val="en-US" w:eastAsia="zh-CN" w:bidi="ar"/>
              </w:rPr>
              <w:t>作物生产技术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2" w:type="pct"/>
            <w:vMerge w:val="continue"/>
            <w:vAlign w:val="center"/>
          </w:tcPr>
          <w:p>
            <w:pPr>
              <w:adjustRightInd w:val="0"/>
              <w:snapToGrid w:val="0"/>
              <w:spacing w:line="360" w:lineRule="auto"/>
              <w:rPr>
                <w:rFonts w:hint="eastAsia" w:ascii="仿宋_GB2312" w:hAnsi="仿宋_GB2312" w:eastAsia="仿宋_GB2312" w:cs="仿宋_GB2312"/>
                <w:sz w:val="24"/>
              </w:rPr>
            </w:pPr>
          </w:p>
        </w:tc>
        <w:tc>
          <w:tcPr>
            <w:tcW w:w="1378" w:type="pct"/>
            <w:gridSpan w:val="2"/>
            <w:vMerge w:val="continue"/>
            <w:vAlign w:val="center"/>
          </w:tcPr>
          <w:p>
            <w:pPr>
              <w:adjustRightInd w:val="0"/>
              <w:snapToGrid w:val="0"/>
              <w:spacing w:line="360" w:lineRule="auto"/>
              <w:rPr>
                <w:rFonts w:hint="eastAsia" w:ascii="仿宋_GB2312" w:hAnsi="仿宋_GB2312" w:eastAsia="仿宋_GB2312" w:cs="仿宋_GB2312"/>
                <w:sz w:val="24"/>
              </w:rPr>
            </w:pPr>
          </w:p>
        </w:tc>
        <w:tc>
          <w:tcPr>
            <w:tcW w:w="2869" w:type="pct"/>
            <w:gridSpan w:val="2"/>
            <w:vAlign w:val="center"/>
          </w:tcPr>
          <w:p>
            <w:pPr>
              <w:keepNext w:val="0"/>
              <w:keepLines w:val="0"/>
              <w:widowControl/>
              <w:suppressLineNumbers w:val="0"/>
              <w:adjustRightInd w:val="0"/>
              <w:snapToGrid w:val="0"/>
              <w:spacing w:line="360" w:lineRule="auto"/>
              <w:jc w:val="left"/>
              <w:rPr>
                <w:rFonts w:hint="eastAsia" w:ascii="仿宋_GB2312" w:hAnsi="仿宋_GB2312" w:eastAsia="仿宋_GB2312" w:cs="仿宋_GB2312"/>
                <w:sz w:val="24"/>
              </w:rPr>
            </w:pPr>
            <w:r>
              <w:rPr>
                <w:rFonts w:hint="eastAsia" w:ascii="仿宋_GB2312" w:hAnsi="仿宋_GB2312" w:eastAsia="仿宋_GB2312" w:cs="仿宋_GB2312"/>
                <w:b w:val="0"/>
                <w:bCs w:val="0"/>
                <w:color w:val="000000"/>
                <w:kern w:val="0"/>
                <w:sz w:val="24"/>
                <w:szCs w:val="24"/>
                <w:lang w:val="en-US" w:eastAsia="zh-CN" w:bidi="ar"/>
              </w:rPr>
              <w:t>林业生产技术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2" w:type="pct"/>
            <w:vMerge w:val="continue"/>
            <w:vAlign w:val="center"/>
          </w:tcPr>
          <w:p>
            <w:pPr>
              <w:adjustRightInd w:val="0"/>
              <w:snapToGrid w:val="0"/>
              <w:jc w:val="center"/>
              <w:rPr>
                <w:rFonts w:hint="eastAsia" w:ascii="仿宋_GB2312" w:hAnsi="仿宋_GB2312" w:eastAsia="仿宋_GB2312" w:cs="仿宋_GB2312"/>
                <w:b/>
                <w:sz w:val="24"/>
              </w:rPr>
            </w:pPr>
          </w:p>
        </w:tc>
        <w:tc>
          <w:tcPr>
            <w:tcW w:w="1378" w:type="pct"/>
            <w:gridSpan w:val="2"/>
            <w:vMerge w:val="restart"/>
            <w:vAlign w:val="center"/>
          </w:tcPr>
          <w:p>
            <w:pPr>
              <w:adjustRightInd w:val="0"/>
              <w:snapToGrid w:val="0"/>
              <w:spacing w:line="360" w:lineRule="auto"/>
              <w:jc w:val="left"/>
              <w:rPr>
                <w:rFonts w:hint="eastAsia" w:ascii="仿宋_GB2312" w:hAnsi="仿宋_GB2312" w:eastAsia="仿宋_GB2312" w:cs="仿宋_GB2312"/>
                <w:b/>
                <w:sz w:val="24"/>
              </w:rPr>
            </w:pPr>
            <w:r>
              <w:rPr>
                <w:rFonts w:hint="eastAsia" w:ascii="仿宋_GB2312" w:hAnsi="仿宋_GB2312" w:eastAsia="仿宋_GB2312" w:cs="仿宋_GB2312"/>
                <w:b w:val="0"/>
                <w:bCs w:val="0"/>
                <w:color w:val="000000"/>
                <w:sz w:val="24"/>
                <w:szCs w:val="24"/>
              </w:rPr>
              <w:t>一二三产融合发展</w:t>
            </w:r>
          </w:p>
        </w:tc>
        <w:tc>
          <w:tcPr>
            <w:tcW w:w="2869" w:type="pct"/>
            <w:gridSpan w:val="2"/>
            <w:vAlign w:val="center"/>
          </w:tcPr>
          <w:p>
            <w:pPr>
              <w:keepNext w:val="0"/>
              <w:keepLines w:val="0"/>
              <w:widowControl/>
              <w:suppressLineNumbers w:val="0"/>
              <w:adjustRightInd w:val="0"/>
              <w:snapToGrid w:val="0"/>
              <w:spacing w:line="360" w:lineRule="auto"/>
              <w:jc w:val="left"/>
              <w:rPr>
                <w:rFonts w:hint="eastAsia" w:ascii="仿宋_GB2312" w:hAnsi="仿宋_GB2312" w:eastAsia="仿宋_GB2312" w:cs="仿宋_GB2312"/>
                <w:sz w:val="24"/>
              </w:rPr>
            </w:pPr>
            <w:r>
              <w:rPr>
                <w:rFonts w:hint="eastAsia" w:ascii="仿宋_GB2312" w:hAnsi="仿宋_GB2312" w:eastAsia="仿宋_GB2312" w:cs="仿宋_GB2312"/>
                <w:b w:val="0"/>
                <w:bCs w:val="0"/>
                <w:color w:val="000000"/>
                <w:kern w:val="0"/>
                <w:sz w:val="24"/>
                <w:szCs w:val="24"/>
                <w:lang w:val="en-US" w:eastAsia="zh-CN" w:bidi="ar"/>
              </w:rPr>
              <w:t>农产品营销与储运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2" w:type="pct"/>
            <w:vMerge w:val="continue"/>
            <w:vAlign w:val="center"/>
          </w:tcPr>
          <w:p>
            <w:pPr>
              <w:adjustRightInd w:val="0"/>
              <w:snapToGrid w:val="0"/>
              <w:spacing w:line="360" w:lineRule="auto"/>
              <w:rPr>
                <w:rFonts w:hint="eastAsia" w:ascii="仿宋_GB2312" w:hAnsi="仿宋_GB2312" w:eastAsia="仿宋_GB2312" w:cs="仿宋_GB2312"/>
              </w:rPr>
            </w:pPr>
          </w:p>
        </w:tc>
        <w:tc>
          <w:tcPr>
            <w:tcW w:w="1378" w:type="pct"/>
            <w:gridSpan w:val="2"/>
            <w:vMerge w:val="continue"/>
            <w:vAlign w:val="center"/>
          </w:tcPr>
          <w:p>
            <w:pPr>
              <w:adjustRightInd w:val="0"/>
              <w:snapToGrid w:val="0"/>
              <w:spacing w:line="360" w:lineRule="auto"/>
              <w:rPr>
                <w:rFonts w:hint="eastAsia" w:ascii="仿宋_GB2312" w:hAnsi="仿宋_GB2312" w:eastAsia="仿宋_GB2312" w:cs="仿宋_GB2312"/>
              </w:rPr>
            </w:pPr>
          </w:p>
        </w:tc>
        <w:tc>
          <w:tcPr>
            <w:tcW w:w="2869" w:type="pct"/>
            <w:gridSpan w:val="2"/>
            <w:vAlign w:val="center"/>
          </w:tcPr>
          <w:p>
            <w:pPr>
              <w:keepNext w:val="0"/>
              <w:keepLines w:val="0"/>
              <w:widowControl/>
              <w:suppressLineNumbers w:val="0"/>
              <w:adjustRightInd w:val="0"/>
              <w:snapToGrid w:val="0"/>
              <w:spacing w:line="360" w:lineRule="auto"/>
              <w:jc w:val="left"/>
              <w:rPr>
                <w:rFonts w:hint="eastAsia" w:ascii="仿宋_GB2312" w:hAnsi="仿宋_GB2312" w:eastAsia="仿宋_GB2312" w:cs="仿宋_GB2312"/>
                <w:sz w:val="24"/>
              </w:rPr>
            </w:pPr>
            <w:r>
              <w:rPr>
                <w:rFonts w:hint="eastAsia" w:ascii="仿宋_GB2312" w:hAnsi="仿宋_GB2312" w:eastAsia="仿宋_GB2312" w:cs="仿宋_GB2312"/>
                <w:b w:val="0"/>
                <w:bCs w:val="0"/>
                <w:color w:val="000000"/>
                <w:kern w:val="0"/>
                <w:sz w:val="24"/>
                <w:szCs w:val="24"/>
                <w:lang w:val="en-US" w:eastAsia="zh-CN" w:bidi="ar"/>
              </w:rPr>
              <w:t>设施农业生产技术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2" w:type="pct"/>
            <w:vMerge w:val="continue"/>
            <w:vAlign w:val="center"/>
          </w:tcPr>
          <w:p>
            <w:pPr>
              <w:adjustRightInd w:val="0"/>
              <w:snapToGrid w:val="0"/>
              <w:spacing w:line="360" w:lineRule="auto"/>
              <w:rPr>
                <w:rFonts w:hint="eastAsia" w:ascii="仿宋_GB2312" w:hAnsi="仿宋_GB2312" w:eastAsia="仿宋_GB2312" w:cs="仿宋_GB2312"/>
                <w:sz w:val="24"/>
              </w:rPr>
            </w:pPr>
          </w:p>
        </w:tc>
        <w:tc>
          <w:tcPr>
            <w:tcW w:w="1378" w:type="pct"/>
            <w:gridSpan w:val="2"/>
            <w:vMerge w:val="continue"/>
            <w:vAlign w:val="center"/>
          </w:tcPr>
          <w:p>
            <w:pPr>
              <w:adjustRightInd w:val="0"/>
              <w:snapToGrid w:val="0"/>
              <w:spacing w:line="360" w:lineRule="auto"/>
              <w:rPr>
                <w:rFonts w:hint="eastAsia" w:ascii="仿宋_GB2312" w:hAnsi="仿宋_GB2312" w:eastAsia="仿宋_GB2312" w:cs="仿宋_GB2312"/>
                <w:sz w:val="24"/>
              </w:rPr>
            </w:pPr>
          </w:p>
        </w:tc>
        <w:tc>
          <w:tcPr>
            <w:tcW w:w="2869" w:type="pct"/>
            <w:gridSpan w:val="2"/>
            <w:vAlign w:val="center"/>
          </w:tcPr>
          <w:p>
            <w:pPr>
              <w:keepNext w:val="0"/>
              <w:keepLines w:val="0"/>
              <w:widowControl/>
              <w:suppressLineNumbers w:val="0"/>
              <w:adjustRightInd w:val="0"/>
              <w:snapToGrid w:val="0"/>
              <w:spacing w:line="360" w:lineRule="auto"/>
              <w:jc w:val="left"/>
              <w:rPr>
                <w:rFonts w:hint="eastAsia" w:ascii="仿宋_GB2312" w:hAnsi="仿宋_GB2312" w:eastAsia="仿宋_GB2312" w:cs="仿宋_GB2312"/>
                <w:sz w:val="24"/>
              </w:rPr>
            </w:pPr>
            <w:r>
              <w:rPr>
                <w:rFonts w:hint="eastAsia" w:ascii="仿宋_GB2312" w:hAnsi="仿宋_GB2312" w:eastAsia="仿宋_GB2312" w:cs="仿宋_GB2312"/>
                <w:b w:val="0"/>
                <w:bCs w:val="0"/>
                <w:color w:val="000000"/>
                <w:kern w:val="0"/>
                <w:sz w:val="24"/>
                <w:szCs w:val="24"/>
                <w:lang w:val="en-US" w:eastAsia="zh-CN" w:bidi="ar"/>
              </w:rPr>
              <w:t>农资营销与服务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2" w:type="pct"/>
            <w:vMerge w:val="continue"/>
            <w:vAlign w:val="center"/>
          </w:tcPr>
          <w:p>
            <w:pPr>
              <w:adjustRightInd w:val="0"/>
              <w:snapToGrid w:val="0"/>
              <w:jc w:val="center"/>
              <w:rPr>
                <w:rFonts w:hint="eastAsia" w:ascii="仿宋_GB2312" w:hAnsi="仿宋_GB2312" w:eastAsia="仿宋_GB2312" w:cs="仿宋_GB2312"/>
                <w:b/>
                <w:sz w:val="24"/>
              </w:rPr>
            </w:pPr>
          </w:p>
        </w:tc>
        <w:tc>
          <w:tcPr>
            <w:tcW w:w="1378" w:type="pct"/>
            <w:gridSpan w:val="2"/>
            <w:vMerge w:val="restart"/>
            <w:vAlign w:val="center"/>
          </w:tcPr>
          <w:p>
            <w:pPr>
              <w:adjustRightInd w:val="0"/>
              <w:snapToGrid w:val="0"/>
              <w:spacing w:line="360" w:lineRule="auto"/>
              <w:jc w:val="left"/>
              <w:rPr>
                <w:rFonts w:hint="eastAsia" w:ascii="仿宋_GB2312" w:hAnsi="仿宋_GB2312" w:eastAsia="仿宋_GB2312" w:cs="仿宋_GB2312"/>
                <w:sz w:val="24"/>
              </w:rPr>
            </w:pPr>
            <w:r>
              <w:rPr>
                <w:rFonts w:hint="eastAsia" w:ascii="仿宋_GB2312" w:hAnsi="仿宋_GB2312" w:eastAsia="仿宋_GB2312" w:cs="仿宋_GB2312"/>
                <w:b w:val="0"/>
                <w:bCs w:val="0"/>
                <w:color w:val="000000"/>
                <w:sz w:val="24"/>
                <w:szCs w:val="24"/>
              </w:rPr>
              <w:t>林草生态保护</w:t>
            </w:r>
          </w:p>
        </w:tc>
        <w:tc>
          <w:tcPr>
            <w:tcW w:w="2869" w:type="pct"/>
            <w:gridSpan w:val="2"/>
            <w:vAlign w:val="center"/>
          </w:tcPr>
          <w:p>
            <w:pPr>
              <w:keepNext w:val="0"/>
              <w:keepLines w:val="0"/>
              <w:widowControl/>
              <w:suppressLineNumbers w:val="0"/>
              <w:adjustRightInd w:val="0"/>
              <w:snapToGrid w:val="0"/>
              <w:spacing w:line="360" w:lineRule="auto"/>
              <w:jc w:val="left"/>
              <w:rPr>
                <w:rFonts w:hint="eastAsia" w:ascii="仿宋_GB2312" w:hAnsi="仿宋_GB2312" w:eastAsia="仿宋_GB2312" w:cs="仿宋_GB2312"/>
                <w:sz w:val="24"/>
              </w:rPr>
            </w:pPr>
            <w:r>
              <w:rPr>
                <w:rFonts w:hint="eastAsia" w:ascii="仿宋_GB2312" w:hAnsi="仿宋_GB2312" w:eastAsia="仿宋_GB2312" w:cs="仿宋_GB2312"/>
                <w:b w:val="0"/>
                <w:bCs w:val="0"/>
                <w:color w:val="000000"/>
                <w:kern w:val="0"/>
                <w:sz w:val="24"/>
                <w:szCs w:val="24"/>
                <w:lang w:val="en-US" w:eastAsia="zh-CN" w:bidi="ar"/>
              </w:rPr>
              <w:t>饲草栽培与加工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2" w:type="pct"/>
            <w:vMerge w:val="continue"/>
            <w:vAlign w:val="center"/>
          </w:tcPr>
          <w:p>
            <w:pPr>
              <w:adjustRightInd w:val="0"/>
              <w:snapToGrid w:val="0"/>
              <w:spacing w:line="360" w:lineRule="auto"/>
              <w:rPr>
                <w:rFonts w:hint="eastAsia" w:ascii="仿宋_GB2312" w:hAnsi="仿宋_GB2312" w:eastAsia="仿宋_GB2312" w:cs="仿宋_GB2312"/>
              </w:rPr>
            </w:pPr>
          </w:p>
        </w:tc>
        <w:tc>
          <w:tcPr>
            <w:tcW w:w="1378" w:type="pct"/>
            <w:gridSpan w:val="2"/>
            <w:vMerge w:val="continue"/>
            <w:vAlign w:val="center"/>
          </w:tcPr>
          <w:p>
            <w:pPr>
              <w:adjustRightInd w:val="0"/>
              <w:snapToGrid w:val="0"/>
              <w:spacing w:line="360" w:lineRule="auto"/>
              <w:rPr>
                <w:rFonts w:hint="eastAsia" w:ascii="仿宋_GB2312" w:hAnsi="仿宋_GB2312" w:eastAsia="仿宋_GB2312" w:cs="仿宋_GB2312"/>
              </w:rPr>
            </w:pPr>
          </w:p>
        </w:tc>
        <w:tc>
          <w:tcPr>
            <w:tcW w:w="2869" w:type="pct"/>
            <w:gridSpan w:val="2"/>
            <w:vAlign w:val="center"/>
          </w:tcPr>
          <w:p>
            <w:pPr>
              <w:keepNext w:val="0"/>
              <w:keepLines w:val="0"/>
              <w:widowControl/>
              <w:suppressLineNumbers w:val="0"/>
              <w:adjustRightInd w:val="0"/>
              <w:snapToGrid w:val="0"/>
              <w:spacing w:line="360" w:lineRule="auto"/>
              <w:jc w:val="left"/>
              <w:rPr>
                <w:rFonts w:hint="eastAsia" w:ascii="仿宋_GB2312" w:hAnsi="仿宋_GB2312" w:eastAsia="仿宋_GB2312" w:cs="仿宋_GB2312"/>
                <w:sz w:val="24"/>
              </w:rPr>
            </w:pPr>
            <w:r>
              <w:rPr>
                <w:rFonts w:hint="eastAsia" w:ascii="仿宋_GB2312" w:hAnsi="仿宋_GB2312" w:eastAsia="仿宋_GB2312" w:cs="仿宋_GB2312"/>
                <w:b w:val="0"/>
                <w:bCs w:val="0"/>
                <w:color w:val="000000"/>
                <w:kern w:val="0"/>
                <w:sz w:val="24"/>
                <w:szCs w:val="24"/>
                <w:lang w:val="en-US" w:eastAsia="zh-CN" w:bidi="ar"/>
              </w:rPr>
              <w:t>生态环境保护</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2" w:type="pct"/>
            <w:vMerge w:val="continue"/>
            <w:vAlign w:val="center"/>
          </w:tcPr>
          <w:p>
            <w:pPr>
              <w:adjustRightInd w:val="0"/>
              <w:snapToGrid w:val="0"/>
              <w:spacing w:line="360" w:lineRule="auto"/>
              <w:rPr>
                <w:rFonts w:hint="eastAsia" w:ascii="仿宋_GB2312" w:hAnsi="仿宋_GB2312" w:eastAsia="仿宋_GB2312" w:cs="仿宋_GB2312"/>
                <w:sz w:val="24"/>
              </w:rPr>
            </w:pPr>
          </w:p>
        </w:tc>
        <w:tc>
          <w:tcPr>
            <w:tcW w:w="1378" w:type="pct"/>
            <w:gridSpan w:val="2"/>
            <w:vMerge w:val="continue"/>
            <w:vAlign w:val="center"/>
          </w:tcPr>
          <w:p>
            <w:pPr>
              <w:adjustRightInd w:val="0"/>
              <w:snapToGrid w:val="0"/>
              <w:spacing w:line="360" w:lineRule="auto"/>
              <w:rPr>
                <w:rFonts w:hint="eastAsia" w:ascii="仿宋_GB2312" w:hAnsi="仿宋_GB2312" w:eastAsia="仿宋_GB2312" w:cs="仿宋_GB2312"/>
                <w:sz w:val="24"/>
              </w:rPr>
            </w:pPr>
          </w:p>
        </w:tc>
        <w:tc>
          <w:tcPr>
            <w:tcW w:w="2869" w:type="pct"/>
            <w:gridSpan w:val="2"/>
            <w:vAlign w:val="center"/>
          </w:tcPr>
          <w:p>
            <w:pPr>
              <w:keepNext w:val="0"/>
              <w:keepLines w:val="0"/>
              <w:widowControl/>
              <w:suppressLineNumbers w:val="0"/>
              <w:adjustRightInd w:val="0"/>
              <w:snapToGrid w:val="0"/>
              <w:spacing w:line="360" w:lineRule="auto"/>
              <w:jc w:val="left"/>
              <w:rPr>
                <w:rFonts w:hint="eastAsia" w:ascii="仿宋_GB2312" w:hAnsi="仿宋_GB2312" w:eastAsia="仿宋_GB2312" w:cs="仿宋_GB2312"/>
                <w:sz w:val="24"/>
              </w:rPr>
            </w:pPr>
            <w:r>
              <w:rPr>
                <w:rFonts w:hint="eastAsia" w:ascii="仿宋_GB2312" w:hAnsi="仿宋_GB2312" w:eastAsia="仿宋_GB2312" w:cs="仿宋_GB2312"/>
                <w:b w:val="0"/>
                <w:bCs w:val="0"/>
                <w:color w:val="000000"/>
                <w:kern w:val="0"/>
                <w:sz w:val="24"/>
                <w:szCs w:val="24"/>
                <w:lang w:val="en-US" w:eastAsia="zh-CN" w:bidi="ar"/>
              </w:rPr>
              <w:t>森林资源保护与管理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2" w:type="pct"/>
            <w:vMerge w:val="continue"/>
            <w:vAlign w:val="center"/>
          </w:tcPr>
          <w:p>
            <w:pPr>
              <w:adjustRightInd w:val="0"/>
              <w:snapToGrid w:val="0"/>
              <w:spacing w:line="360" w:lineRule="auto"/>
              <w:rPr>
                <w:rFonts w:hint="eastAsia" w:ascii="仿宋_GB2312" w:hAnsi="仿宋_GB2312" w:eastAsia="仿宋_GB2312" w:cs="仿宋_GB2312"/>
                <w:sz w:val="24"/>
              </w:rPr>
            </w:pPr>
          </w:p>
        </w:tc>
        <w:tc>
          <w:tcPr>
            <w:tcW w:w="1378" w:type="pct"/>
            <w:gridSpan w:val="2"/>
            <w:vMerge w:val="restart"/>
            <w:vAlign w:val="center"/>
          </w:tcPr>
          <w:p>
            <w:pPr>
              <w:adjustRightInd w:val="0"/>
              <w:snapToGrid w:val="0"/>
              <w:spacing w:line="360" w:lineRule="auto"/>
              <w:rPr>
                <w:rFonts w:hint="eastAsia" w:ascii="仿宋_GB2312" w:hAnsi="仿宋_GB2312" w:eastAsia="仿宋_GB2312" w:cs="仿宋_GB2312"/>
                <w:sz w:val="24"/>
              </w:rPr>
            </w:pPr>
            <w:r>
              <w:rPr>
                <w:rFonts w:hint="eastAsia" w:ascii="仿宋_GB2312" w:hAnsi="仿宋_GB2312" w:eastAsia="仿宋_GB2312" w:cs="仿宋_GB2312"/>
                <w:b w:val="0"/>
                <w:bCs w:val="0"/>
                <w:color w:val="000000"/>
                <w:sz w:val="24"/>
                <w:szCs w:val="24"/>
              </w:rPr>
              <w:t>农产品供给安全</w:t>
            </w:r>
          </w:p>
        </w:tc>
        <w:tc>
          <w:tcPr>
            <w:tcW w:w="2869" w:type="pct"/>
            <w:gridSpan w:val="2"/>
            <w:vAlign w:val="center"/>
          </w:tcPr>
          <w:p>
            <w:pPr>
              <w:keepNext w:val="0"/>
              <w:keepLines w:val="0"/>
              <w:widowControl/>
              <w:suppressLineNumbers w:val="0"/>
              <w:adjustRightInd w:val="0"/>
              <w:snapToGrid w:val="0"/>
              <w:spacing w:line="360" w:lineRule="auto"/>
              <w:jc w:val="left"/>
              <w:rPr>
                <w:rFonts w:hint="eastAsia" w:ascii="仿宋_GB2312" w:hAnsi="仿宋_GB2312" w:eastAsia="仿宋_GB2312" w:cs="仿宋_GB2312"/>
                <w:b w:val="0"/>
                <w:bCs w:val="0"/>
                <w:color w:val="000000"/>
                <w:kern w:val="0"/>
                <w:sz w:val="24"/>
                <w:szCs w:val="24"/>
                <w:lang w:val="en-US" w:eastAsia="zh-CN" w:bidi="ar"/>
              </w:rPr>
            </w:pPr>
            <w:r>
              <w:rPr>
                <w:rFonts w:hint="eastAsia" w:ascii="仿宋_GB2312" w:hAnsi="仿宋_GB2312" w:eastAsia="仿宋_GB2312" w:cs="仿宋_GB2312"/>
                <w:b w:val="0"/>
                <w:bCs w:val="0"/>
                <w:color w:val="000000"/>
                <w:kern w:val="0"/>
                <w:sz w:val="24"/>
                <w:szCs w:val="24"/>
                <w:lang w:val="en-US" w:eastAsia="zh-CN" w:bidi="ar"/>
              </w:rPr>
              <w:t>农产品加工与质量检测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2" w:type="pct"/>
            <w:vMerge w:val="continue"/>
            <w:vAlign w:val="center"/>
          </w:tcPr>
          <w:p>
            <w:pPr>
              <w:adjustRightInd w:val="0"/>
              <w:snapToGrid w:val="0"/>
              <w:spacing w:line="360" w:lineRule="auto"/>
              <w:rPr>
                <w:rFonts w:hint="eastAsia" w:ascii="仿宋_GB2312" w:hAnsi="仿宋_GB2312" w:eastAsia="仿宋_GB2312" w:cs="仿宋_GB2312"/>
                <w:sz w:val="24"/>
              </w:rPr>
            </w:pPr>
          </w:p>
        </w:tc>
        <w:tc>
          <w:tcPr>
            <w:tcW w:w="1378" w:type="pct"/>
            <w:gridSpan w:val="2"/>
            <w:vMerge w:val="continue"/>
            <w:vAlign w:val="center"/>
          </w:tcPr>
          <w:p>
            <w:pPr>
              <w:adjustRightInd w:val="0"/>
              <w:snapToGrid w:val="0"/>
              <w:spacing w:line="360" w:lineRule="auto"/>
              <w:rPr>
                <w:rFonts w:hint="eastAsia" w:ascii="仿宋_GB2312" w:hAnsi="仿宋_GB2312" w:eastAsia="仿宋_GB2312" w:cs="仿宋_GB2312"/>
                <w:sz w:val="24"/>
              </w:rPr>
            </w:pPr>
          </w:p>
        </w:tc>
        <w:tc>
          <w:tcPr>
            <w:tcW w:w="2869" w:type="pct"/>
            <w:gridSpan w:val="2"/>
            <w:vAlign w:val="center"/>
          </w:tcPr>
          <w:p>
            <w:pPr>
              <w:keepNext w:val="0"/>
              <w:keepLines w:val="0"/>
              <w:widowControl/>
              <w:suppressLineNumbers w:val="0"/>
              <w:adjustRightInd w:val="0"/>
              <w:snapToGrid w:val="0"/>
              <w:spacing w:line="360" w:lineRule="auto"/>
              <w:jc w:val="left"/>
              <w:rPr>
                <w:rFonts w:hint="eastAsia" w:ascii="仿宋_GB2312" w:hAnsi="仿宋_GB2312" w:eastAsia="仿宋_GB2312" w:cs="仿宋_GB2312"/>
                <w:b w:val="0"/>
                <w:bCs w:val="0"/>
                <w:color w:val="000000"/>
                <w:kern w:val="0"/>
                <w:sz w:val="24"/>
                <w:szCs w:val="24"/>
                <w:lang w:val="en-US" w:eastAsia="zh-CN" w:bidi="ar"/>
              </w:rPr>
            </w:pPr>
            <w:r>
              <w:rPr>
                <w:rFonts w:hint="eastAsia" w:ascii="仿宋_GB2312" w:hAnsi="仿宋_GB2312" w:eastAsia="仿宋_GB2312" w:cs="仿宋_GB2312"/>
                <w:b w:val="0"/>
                <w:bCs w:val="0"/>
                <w:color w:val="000000"/>
                <w:kern w:val="0"/>
                <w:sz w:val="24"/>
                <w:szCs w:val="24"/>
                <w:lang w:val="en-US" w:eastAsia="zh-CN" w:bidi="ar"/>
              </w:rPr>
              <w:t>生物产品检验检测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2" w:type="pct"/>
            <w:vMerge w:val="continue"/>
            <w:vAlign w:val="center"/>
          </w:tcPr>
          <w:p>
            <w:pPr>
              <w:adjustRightInd w:val="0"/>
              <w:snapToGrid w:val="0"/>
              <w:spacing w:line="360" w:lineRule="auto"/>
              <w:rPr>
                <w:rFonts w:hint="eastAsia" w:ascii="仿宋_GB2312" w:hAnsi="仿宋_GB2312" w:eastAsia="仿宋_GB2312" w:cs="仿宋_GB2312"/>
                <w:sz w:val="24"/>
              </w:rPr>
            </w:pPr>
          </w:p>
        </w:tc>
        <w:tc>
          <w:tcPr>
            <w:tcW w:w="1378" w:type="pct"/>
            <w:gridSpan w:val="2"/>
            <w:vMerge w:val="continue"/>
            <w:vAlign w:val="center"/>
          </w:tcPr>
          <w:p>
            <w:pPr>
              <w:adjustRightInd w:val="0"/>
              <w:snapToGrid w:val="0"/>
              <w:spacing w:line="360" w:lineRule="auto"/>
              <w:rPr>
                <w:rFonts w:hint="eastAsia" w:ascii="仿宋_GB2312" w:hAnsi="仿宋_GB2312" w:eastAsia="仿宋_GB2312" w:cs="仿宋_GB2312"/>
                <w:sz w:val="24"/>
              </w:rPr>
            </w:pPr>
          </w:p>
        </w:tc>
        <w:tc>
          <w:tcPr>
            <w:tcW w:w="2869" w:type="pct"/>
            <w:gridSpan w:val="2"/>
            <w:vAlign w:val="center"/>
          </w:tcPr>
          <w:p>
            <w:pPr>
              <w:keepNext w:val="0"/>
              <w:keepLines w:val="0"/>
              <w:widowControl/>
              <w:suppressLineNumbers w:val="0"/>
              <w:adjustRightInd w:val="0"/>
              <w:snapToGrid w:val="0"/>
              <w:spacing w:line="360" w:lineRule="auto"/>
              <w:jc w:val="left"/>
              <w:rPr>
                <w:rFonts w:hint="eastAsia" w:ascii="仿宋_GB2312" w:hAnsi="仿宋_GB2312" w:eastAsia="仿宋_GB2312" w:cs="仿宋_GB2312"/>
                <w:b w:val="0"/>
                <w:bCs w:val="0"/>
                <w:color w:val="000000"/>
                <w:kern w:val="0"/>
                <w:sz w:val="24"/>
                <w:szCs w:val="24"/>
                <w:lang w:val="en-US" w:eastAsia="zh-CN" w:bidi="ar"/>
              </w:rPr>
            </w:pPr>
            <w:r>
              <w:rPr>
                <w:rFonts w:hint="eastAsia" w:ascii="仿宋_GB2312" w:hAnsi="仿宋_GB2312" w:eastAsia="仿宋_GB2312" w:cs="仿宋_GB2312"/>
                <w:b w:val="0"/>
                <w:bCs w:val="0"/>
                <w:color w:val="000000"/>
                <w:kern w:val="0"/>
                <w:sz w:val="24"/>
                <w:szCs w:val="24"/>
                <w:lang w:val="en-US" w:eastAsia="zh-CN" w:bidi="ar"/>
              </w:rPr>
              <w:t>食品安全与检测技术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2" w:type="pct"/>
            <w:vMerge w:val="continue"/>
            <w:vAlign w:val="center"/>
          </w:tcPr>
          <w:p>
            <w:pPr>
              <w:adjustRightInd w:val="0"/>
              <w:snapToGrid w:val="0"/>
              <w:spacing w:line="360" w:lineRule="auto"/>
              <w:rPr>
                <w:rFonts w:hint="eastAsia" w:ascii="仿宋_GB2312" w:hAnsi="仿宋_GB2312" w:eastAsia="仿宋_GB2312" w:cs="仿宋_GB2312"/>
                <w:sz w:val="24"/>
              </w:rPr>
            </w:pPr>
          </w:p>
        </w:tc>
        <w:tc>
          <w:tcPr>
            <w:tcW w:w="1378" w:type="pct"/>
            <w:gridSpan w:val="2"/>
            <w:vMerge w:val="continue"/>
            <w:vAlign w:val="center"/>
          </w:tcPr>
          <w:p>
            <w:pPr>
              <w:adjustRightInd w:val="0"/>
              <w:snapToGrid w:val="0"/>
              <w:spacing w:line="360" w:lineRule="auto"/>
              <w:rPr>
                <w:rFonts w:hint="eastAsia" w:ascii="仿宋_GB2312" w:hAnsi="仿宋_GB2312" w:eastAsia="仿宋_GB2312" w:cs="仿宋_GB2312"/>
                <w:sz w:val="24"/>
              </w:rPr>
            </w:pPr>
          </w:p>
        </w:tc>
        <w:tc>
          <w:tcPr>
            <w:tcW w:w="2869" w:type="pct"/>
            <w:gridSpan w:val="2"/>
            <w:vAlign w:val="center"/>
          </w:tcPr>
          <w:p>
            <w:pPr>
              <w:keepNext w:val="0"/>
              <w:keepLines w:val="0"/>
              <w:widowControl/>
              <w:suppressLineNumbers w:val="0"/>
              <w:adjustRightInd w:val="0"/>
              <w:snapToGrid w:val="0"/>
              <w:spacing w:line="360" w:lineRule="auto"/>
              <w:jc w:val="left"/>
              <w:rPr>
                <w:rFonts w:hint="eastAsia" w:ascii="仿宋_GB2312" w:hAnsi="仿宋_GB2312" w:eastAsia="仿宋_GB2312" w:cs="仿宋_GB2312"/>
                <w:b w:val="0"/>
                <w:bCs w:val="0"/>
                <w:color w:val="000000"/>
                <w:kern w:val="0"/>
                <w:sz w:val="24"/>
                <w:szCs w:val="24"/>
                <w:lang w:val="en-US" w:eastAsia="zh-CN" w:bidi="ar"/>
              </w:rPr>
            </w:pPr>
            <w:r>
              <w:rPr>
                <w:rFonts w:hint="eastAsia" w:ascii="仿宋_GB2312" w:hAnsi="仿宋_GB2312" w:eastAsia="仿宋_GB2312" w:cs="仿宋_GB2312"/>
                <w:b w:val="0"/>
                <w:bCs w:val="0"/>
                <w:color w:val="000000"/>
                <w:kern w:val="0"/>
                <w:sz w:val="24"/>
                <w:szCs w:val="24"/>
                <w:lang w:val="en-US" w:eastAsia="zh-CN" w:bidi="ar"/>
              </w:rPr>
              <w:t>农产品储藏与加工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2" w:type="pct"/>
            <w:vMerge w:val="continue"/>
            <w:vAlign w:val="center"/>
          </w:tcPr>
          <w:p>
            <w:pPr>
              <w:adjustRightInd w:val="0"/>
              <w:snapToGrid w:val="0"/>
              <w:spacing w:line="360" w:lineRule="auto"/>
              <w:rPr>
                <w:rFonts w:hint="eastAsia" w:ascii="仿宋_GB2312" w:hAnsi="仿宋_GB2312" w:eastAsia="仿宋_GB2312" w:cs="仿宋_GB2312"/>
                <w:sz w:val="24"/>
              </w:rPr>
            </w:pPr>
          </w:p>
        </w:tc>
        <w:tc>
          <w:tcPr>
            <w:tcW w:w="1378" w:type="pct"/>
            <w:gridSpan w:val="2"/>
            <w:vMerge w:val="continue"/>
            <w:vAlign w:val="center"/>
          </w:tcPr>
          <w:p>
            <w:pPr>
              <w:adjustRightInd w:val="0"/>
              <w:snapToGrid w:val="0"/>
              <w:spacing w:line="360" w:lineRule="auto"/>
              <w:rPr>
                <w:rFonts w:hint="eastAsia" w:ascii="仿宋_GB2312" w:hAnsi="仿宋_GB2312" w:eastAsia="仿宋_GB2312" w:cs="仿宋_GB2312"/>
                <w:sz w:val="24"/>
              </w:rPr>
            </w:pPr>
          </w:p>
        </w:tc>
        <w:tc>
          <w:tcPr>
            <w:tcW w:w="2869" w:type="pct"/>
            <w:gridSpan w:val="2"/>
            <w:vAlign w:val="center"/>
          </w:tcPr>
          <w:p>
            <w:pPr>
              <w:keepNext w:val="0"/>
              <w:keepLines w:val="0"/>
              <w:widowControl/>
              <w:suppressLineNumbers w:val="0"/>
              <w:adjustRightInd w:val="0"/>
              <w:snapToGrid w:val="0"/>
              <w:spacing w:line="360" w:lineRule="auto"/>
              <w:jc w:val="left"/>
              <w:rPr>
                <w:rFonts w:hint="eastAsia" w:ascii="仿宋_GB2312" w:hAnsi="仿宋_GB2312" w:eastAsia="仿宋_GB2312" w:cs="仿宋_GB2312"/>
                <w:b w:val="0"/>
                <w:bCs w:val="0"/>
                <w:color w:val="000000"/>
                <w:kern w:val="0"/>
                <w:sz w:val="24"/>
                <w:szCs w:val="24"/>
                <w:lang w:val="en-US" w:eastAsia="zh-CN" w:bidi="ar"/>
              </w:rPr>
            </w:pPr>
            <w:r>
              <w:rPr>
                <w:rFonts w:hint="eastAsia" w:ascii="仿宋_GB2312" w:hAnsi="仿宋_GB2312" w:eastAsia="仿宋_GB2312" w:cs="仿宋_GB2312"/>
                <w:b w:val="0"/>
                <w:bCs w:val="0"/>
                <w:color w:val="000000"/>
                <w:kern w:val="0"/>
                <w:sz w:val="24"/>
                <w:szCs w:val="24"/>
                <w:lang w:val="en-US" w:eastAsia="zh-CN" w:bidi="ar"/>
              </w:rPr>
              <w:t>农产品营销与储运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2" w:type="pct"/>
            <w:vMerge w:val="continue"/>
            <w:vAlign w:val="center"/>
          </w:tcPr>
          <w:p>
            <w:pPr>
              <w:adjustRightInd w:val="0"/>
              <w:snapToGrid w:val="0"/>
              <w:spacing w:line="360" w:lineRule="auto"/>
              <w:rPr>
                <w:rFonts w:hint="eastAsia" w:ascii="仿宋_GB2312" w:hAnsi="仿宋_GB2312" w:eastAsia="仿宋_GB2312" w:cs="仿宋_GB2312"/>
                <w:sz w:val="24"/>
              </w:rPr>
            </w:pPr>
          </w:p>
        </w:tc>
        <w:tc>
          <w:tcPr>
            <w:tcW w:w="1378" w:type="pct"/>
            <w:gridSpan w:val="2"/>
            <w:vMerge w:val="continue"/>
            <w:vAlign w:val="center"/>
          </w:tcPr>
          <w:p>
            <w:pPr>
              <w:adjustRightInd w:val="0"/>
              <w:snapToGrid w:val="0"/>
              <w:spacing w:line="360" w:lineRule="auto"/>
              <w:rPr>
                <w:rFonts w:hint="eastAsia" w:ascii="仿宋_GB2312" w:hAnsi="仿宋_GB2312" w:eastAsia="仿宋_GB2312" w:cs="仿宋_GB2312"/>
                <w:sz w:val="24"/>
              </w:rPr>
            </w:pPr>
          </w:p>
        </w:tc>
        <w:tc>
          <w:tcPr>
            <w:tcW w:w="2869" w:type="pct"/>
            <w:gridSpan w:val="2"/>
            <w:vAlign w:val="center"/>
          </w:tcPr>
          <w:p>
            <w:pPr>
              <w:keepNext w:val="0"/>
              <w:keepLines w:val="0"/>
              <w:widowControl/>
              <w:suppressLineNumbers w:val="0"/>
              <w:adjustRightInd w:val="0"/>
              <w:snapToGrid w:val="0"/>
              <w:spacing w:line="360" w:lineRule="auto"/>
              <w:jc w:val="left"/>
              <w:rPr>
                <w:rFonts w:hint="eastAsia" w:ascii="仿宋_GB2312" w:hAnsi="仿宋_GB2312" w:eastAsia="仿宋_GB2312" w:cs="仿宋_GB2312"/>
                <w:b w:val="0"/>
                <w:bCs w:val="0"/>
                <w:color w:val="000000"/>
                <w:kern w:val="0"/>
                <w:sz w:val="24"/>
                <w:szCs w:val="24"/>
                <w:lang w:val="en-US" w:eastAsia="zh-CN" w:bidi="ar"/>
              </w:rPr>
            </w:pPr>
            <w:r>
              <w:rPr>
                <w:rFonts w:hint="eastAsia" w:ascii="仿宋_GB2312" w:hAnsi="仿宋_GB2312" w:eastAsia="仿宋_GB2312" w:cs="仿宋_GB2312"/>
                <w:b w:val="0"/>
                <w:bCs w:val="0"/>
                <w:color w:val="000000"/>
                <w:kern w:val="0"/>
                <w:sz w:val="24"/>
                <w:szCs w:val="24"/>
                <w:lang w:val="en-US" w:eastAsia="zh-CN" w:bidi="ar"/>
              </w:rPr>
              <w:t>粮油与饲料加工技术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2" w:type="pct"/>
            <w:vMerge w:val="continue"/>
            <w:vAlign w:val="center"/>
          </w:tcPr>
          <w:p>
            <w:pPr>
              <w:adjustRightInd w:val="0"/>
              <w:snapToGrid w:val="0"/>
              <w:spacing w:line="360" w:lineRule="auto"/>
              <w:rPr>
                <w:rFonts w:hint="eastAsia" w:ascii="仿宋_GB2312" w:hAnsi="仿宋_GB2312" w:eastAsia="仿宋_GB2312" w:cs="仿宋_GB2312"/>
                <w:sz w:val="24"/>
              </w:rPr>
            </w:pPr>
          </w:p>
        </w:tc>
        <w:tc>
          <w:tcPr>
            <w:tcW w:w="1378" w:type="pct"/>
            <w:gridSpan w:val="2"/>
            <w:vMerge w:val="continue"/>
            <w:vAlign w:val="center"/>
          </w:tcPr>
          <w:p>
            <w:pPr>
              <w:adjustRightInd w:val="0"/>
              <w:snapToGrid w:val="0"/>
              <w:spacing w:line="360" w:lineRule="auto"/>
              <w:rPr>
                <w:rFonts w:hint="eastAsia" w:ascii="仿宋_GB2312" w:hAnsi="仿宋_GB2312" w:eastAsia="仿宋_GB2312" w:cs="仿宋_GB2312"/>
                <w:sz w:val="24"/>
              </w:rPr>
            </w:pPr>
          </w:p>
        </w:tc>
        <w:tc>
          <w:tcPr>
            <w:tcW w:w="2869" w:type="pct"/>
            <w:gridSpan w:val="2"/>
            <w:vAlign w:val="center"/>
          </w:tcPr>
          <w:p>
            <w:pPr>
              <w:keepNext w:val="0"/>
              <w:keepLines w:val="0"/>
              <w:widowControl/>
              <w:suppressLineNumbers w:val="0"/>
              <w:adjustRightInd w:val="0"/>
              <w:snapToGrid w:val="0"/>
              <w:spacing w:line="360" w:lineRule="auto"/>
              <w:jc w:val="left"/>
              <w:rPr>
                <w:rFonts w:hint="eastAsia" w:ascii="仿宋_GB2312" w:hAnsi="仿宋_GB2312" w:eastAsia="仿宋_GB2312" w:cs="仿宋_GB2312"/>
                <w:b w:val="0"/>
                <w:bCs w:val="0"/>
                <w:color w:val="000000"/>
                <w:kern w:val="0"/>
                <w:sz w:val="24"/>
                <w:szCs w:val="24"/>
                <w:lang w:val="en-US" w:eastAsia="zh-CN" w:bidi="ar"/>
              </w:rPr>
            </w:pPr>
            <w:r>
              <w:rPr>
                <w:rFonts w:hint="eastAsia" w:ascii="仿宋_GB2312" w:hAnsi="仿宋_GB2312" w:eastAsia="仿宋_GB2312" w:cs="仿宋_GB2312"/>
                <w:b w:val="0"/>
                <w:bCs w:val="0"/>
                <w:color w:val="000000"/>
                <w:kern w:val="0"/>
                <w:sz w:val="24"/>
                <w:szCs w:val="24"/>
                <w:lang w:val="en-US" w:eastAsia="zh-CN" w:bidi="ar"/>
              </w:rPr>
              <w:t>粮油储运与检验技术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2" w:type="pct"/>
            <w:vMerge w:val="continue"/>
            <w:vAlign w:val="center"/>
          </w:tcPr>
          <w:p>
            <w:pPr>
              <w:adjustRightInd w:val="0"/>
              <w:snapToGrid w:val="0"/>
              <w:spacing w:line="360" w:lineRule="auto"/>
              <w:rPr>
                <w:rFonts w:hint="eastAsia" w:ascii="仿宋_GB2312" w:hAnsi="仿宋_GB2312" w:eastAsia="仿宋_GB2312" w:cs="仿宋_GB2312"/>
                <w:sz w:val="24"/>
              </w:rPr>
            </w:pPr>
          </w:p>
        </w:tc>
        <w:tc>
          <w:tcPr>
            <w:tcW w:w="1378" w:type="pct"/>
            <w:gridSpan w:val="2"/>
            <w:vMerge w:val="restart"/>
            <w:vAlign w:val="center"/>
          </w:tcPr>
          <w:p>
            <w:pPr>
              <w:keepNext w:val="0"/>
              <w:keepLines w:val="0"/>
              <w:widowControl/>
              <w:suppressLineNumbers w:val="0"/>
              <w:jc w:val="left"/>
              <w:rPr>
                <w:rFonts w:hint="eastAsia" w:ascii="仿宋_GB2312" w:hAnsi="仿宋_GB2312" w:eastAsia="仿宋_GB2312" w:cs="仿宋_GB2312"/>
              </w:rPr>
            </w:pPr>
            <w:r>
              <w:rPr>
                <w:rFonts w:hint="eastAsia" w:ascii="仿宋_GB2312" w:hAnsi="仿宋_GB2312" w:eastAsia="仿宋_GB2312" w:cs="仿宋_GB2312"/>
                <w:b w:val="0"/>
                <w:bCs w:val="0"/>
                <w:color w:val="000000"/>
                <w:kern w:val="0"/>
                <w:sz w:val="24"/>
                <w:szCs w:val="24"/>
                <w:lang w:val="en-US" w:eastAsia="zh-CN" w:bidi="ar"/>
              </w:rPr>
              <w:t>培育新型</w:t>
            </w:r>
          </w:p>
          <w:p>
            <w:pPr>
              <w:keepNext w:val="0"/>
              <w:keepLines w:val="0"/>
              <w:widowControl/>
              <w:suppressLineNumbers w:val="0"/>
              <w:jc w:val="left"/>
              <w:rPr>
                <w:rFonts w:hint="eastAsia" w:ascii="仿宋_GB2312" w:hAnsi="仿宋_GB2312" w:eastAsia="仿宋_GB2312" w:cs="仿宋_GB2312"/>
                <w:sz w:val="24"/>
              </w:rPr>
            </w:pPr>
            <w:r>
              <w:rPr>
                <w:rFonts w:hint="eastAsia" w:ascii="仿宋_GB2312" w:hAnsi="仿宋_GB2312" w:eastAsia="仿宋_GB2312" w:cs="仿宋_GB2312"/>
                <w:b w:val="0"/>
                <w:bCs w:val="0"/>
                <w:color w:val="000000"/>
                <w:kern w:val="0"/>
                <w:sz w:val="24"/>
                <w:szCs w:val="24"/>
                <w:lang w:val="en-US" w:eastAsia="zh-CN" w:bidi="ar"/>
              </w:rPr>
              <w:t>农业经营主体</w:t>
            </w:r>
          </w:p>
        </w:tc>
        <w:tc>
          <w:tcPr>
            <w:tcW w:w="2869" w:type="pct"/>
            <w:gridSpan w:val="2"/>
            <w:vAlign w:val="center"/>
          </w:tcPr>
          <w:p>
            <w:pPr>
              <w:keepNext w:val="0"/>
              <w:keepLines w:val="0"/>
              <w:widowControl/>
              <w:suppressLineNumbers w:val="0"/>
              <w:adjustRightInd w:val="0"/>
              <w:snapToGrid w:val="0"/>
              <w:spacing w:line="360" w:lineRule="auto"/>
              <w:jc w:val="left"/>
              <w:rPr>
                <w:rFonts w:hint="eastAsia" w:ascii="仿宋_GB2312" w:hAnsi="仿宋_GB2312" w:eastAsia="仿宋_GB2312" w:cs="仿宋_GB2312"/>
                <w:b w:val="0"/>
                <w:bCs w:val="0"/>
                <w:color w:val="000000"/>
                <w:kern w:val="0"/>
                <w:sz w:val="24"/>
                <w:szCs w:val="24"/>
                <w:lang w:val="en-US" w:eastAsia="zh-CN" w:bidi="ar"/>
              </w:rPr>
            </w:pPr>
            <w:r>
              <w:rPr>
                <w:rFonts w:hint="eastAsia" w:ascii="仿宋_GB2312" w:hAnsi="仿宋_GB2312" w:eastAsia="仿宋_GB2312" w:cs="仿宋_GB2312"/>
                <w:b w:val="0"/>
                <w:bCs w:val="0"/>
                <w:color w:val="000000"/>
                <w:kern w:val="0"/>
                <w:sz w:val="24"/>
                <w:szCs w:val="24"/>
                <w:lang w:val="en-US" w:eastAsia="zh-CN" w:bidi="ar"/>
              </w:rPr>
              <w:t>农资营销与服务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2" w:type="pct"/>
            <w:vMerge w:val="continue"/>
            <w:vAlign w:val="center"/>
          </w:tcPr>
          <w:p>
            <w:pPr>
              <w:adjustRightInd w:val="0"/>
              <w:snapToGrid w:val="0"/>
              <w:spacing w:line="360" w:lineRule="auto"/>
              <w:rPr>
                <w:rFonts w:hint="eastAsia" w:ascii="仿宋_GB2312" w:hAnsi="仿宋_GB2312" w:eastAsia="仿宋_GB2312" w:cs="仿宋_GB2312"/>
                <w:sz w:val="24"/>
              </w:rPr>
            </w:pPr>
          </w:p>
        </w:tc>
        <w:tc>
          <w:tcPr>
            <w:tcW w:w="1378" w:type="pct"/>
            <w:gridSpan w:val="2"/>
            <w:vMerge w:val="continue"/>
            <w:vAlign w:val="center"/>
          </w:tcPr>
          <w:p>
            <w:pPr>
              <w:adjustRightInd w:val="0"/>
              <w:snapToGrid w:val="0"/>
              <w:spacing w:line="360" w:lineRule="auto"/>
              <w:rPr>
                <w:rFonts w:hint="eastAsia" w:ascii="仿宋_GB2312" w:hAnsi="仿宋_GB2312" w:eastAsia="仿宋_GB2312" w:cs="仿宋_GB2312"/>
                <w:sz w:val="24"/>
              </w:rPr>
            </w:pPr>
          </w:p>
        </w:tc>
        <w:tc>
          <w:tcPr>
            <w:tcW w:w="2869" w:type="pct"/>
            <w:gridSpan w:val="2"/>
            <w:vAlign w:val="center"/>
          </w:tcPr>
          <w:p>
            <w:pPr>
              <w:keepNext w:val="0"/>
              <w:keepLines w:val="0"/>
              <w:widowControl/>
              <w:suppressLineNumbers w:val="0"/>
              <w:adjustRightInd w:val="0"/>
              <w:snapToGrid w:val="0"/>
              <w:spacing w:line="360" w:lineRule="auto"/>
              <w:jc w:val="left"/>
              <w:rPr>
                <w:rFonts w:hint="eastAsia" w:ascii="仿宋_GB2312" w:hAnsi="仿宋_GB2312" w:eastAsia="仿宋_GB2312" w:cs="仿宋_GB2312"/>
                <w:b w:val="0"/>
                <w:bCs w:val="0"/>
                <w:color w:val="000000"/>
                <w:kern w:val="0"/>
                <w:sz w:val="24"/>
                <w:szCs w:val="24"/>
                <w:lang w:val="en-US" w:eastAsia="zh-CN" w:bidi="ar"/>
              </w:rPr>
            </w:pPr>
            <w:r>
              <w:rPr>
                <w:rFonts w:hint="eastAsia" w:ascii="仿宋_GB2312" w:hAnsi="仿宋_GB2312" w:eastAsia="仿宋_GB2312" w:cs="仿宋_GB2312"/>
                <w:b w:val="0"/>
                <w:bCs w:val="0"/>
                <w:color w:val="000000"/>
                <w:kern w:val="0"/>
                <w:sz w:val="24"/>
                <w:szCs w:val="24"/>
                <w:lang w:val="en-US" w:eastAsia="zh-CN" w:bidi="ar"/>
              </w:rPr>
              <w:t>休闲农业生产与经营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2" w:type="pct"/>
            <w:vMerge w:val="continue"/>
            <w:vAlign w:val="center"/>
          </w:tcPr>
          <w:p>
            <w:pPr>
              <w:adjustRightInd w:val="0"/>
              <w:snapToGrid w:val="0"/>
              <w:spacing w:line="360" w:lineRule="auto"/>
              <w:rPr>
                <w:rFonts w:hint="eastAsia" w:ascii="仿宋_GB2312" w:hAnsi="仿宋_GB2312" w:eastAsia="仿宋_GB2312" w:cs="仿宋_GB2312"/>
                <w:sz w:val="24"/>
              </w:rPr>
            </w:pPr>
          </w:p>
        </w:tc>
        <w:tc>
          <w:tcPr>
            <w:tcW w:w="1378" w:type="pct"/>
            <w:gridSpan w:val="2"/>
            <w:vMerge w:val="restart"/>
            <w:vAlign w:val="center"/>
          </w:tcPr>
          <w:p>
            <w:pPr>
              <w:adjustRightInd w:val="0"/>
              <w:snapToGrid w:val="0"/>
              <w:spacing w:line="360" w:lineRule="auto"/>
              <w:rPr>
                <w:rFonts w:hint="eastAsia" w:ascii="仿宋_GB2312" w:hAnsi="仿宋_GB2312" w:eastAsia="仿宋_GB2312" w:cs="仿宋_GB2312"/>
                <w:sz w:val="24"/>
              </w:rPr>
            </w:pPr>
            <w:r>
              <w:rPr>
                <w:rFonts w:hint="eastAsia" w:ascii="仿宋_GB2312" w:hAnsi="仿宋_GB2312" w:eastAsia="仿宋_GB2312" w:cs="仿宋_GB2312"/>
                <w:b w:val="0"/>
                <w:bCs w:val="0"/>
                <w:color w:val="000000"/>
                <w:sz w:val="24"/>
                <w:szCs w:val="24"/>
              </w:rPr>
              <w:t>生态环境治理</w:t>
            </w:r>
          </w:p>
        </w:tc>
        <w:tc>
          <w:tcPr>
            <w:tcW w:w="2869" w:type="pct"/>
            <w:gridSpan w:val="2"/>
            <w:vAlign w:val="center"/>
          </w:tcPr>
          <w:p>
            <w:pPr>
              <w:keepNext w:val="0"/>
              <w:keepLines w:val="0"/>
              <w:widowControl/>
              <w:suppressLineNumbers w:val="0"/>
              <w:adjustRightInd w:val="0"/>
              <w:snapToGrid w:val="0"/>
              <w:spacing w:line="360" w:lineRule="auto"/>
              <w:jc w:val="left"/>
              <w:rPr>
                <w:rFonts w:hint="eastAsia" w:ascii="仿宋_GB2312" w:hAnsi="仿宋_GB2312" w:eastAsia="仿宋_GB2312" w:cs="仿宋_GB2312"/>
                <w:b w:val="0"/>
                <w:bCs w:val="0"/>
                <w:color w:val="000000"/>
                <w:kern w:val="0"/>
                <w:sz w:val="24"/>
                <w:szCs w:val="24"/>
                <w:lang w:val="en-US" w:eastAsia="zh-CN" w:bidi="ar"/>
              </w:rPr>
            </w:pPr>
            <w:r>
              <w:rPr>
                <w:rFonts w:hint="eastAsia" w:ascii="仿宋_GB2312" w:hAnsi="仿宋_GB2312" w:eastAsia="仿宋_GB2312" w:cs="仿宋_GB2312"/>
                <w:b w:val="0"/>
                <w:bCs w:val="0"/>
                <w:color w:val="000000"/>
                <w:kern w:val="0"/>
                <w:sz w:val="24"/>
                <w:szCs w:val="24"/>
                <w:lang w:val="en-US" w:eastAsia="zh-CN" w:bidi="ar"/>
              </w:rPr>
              <w:t>环境监测技术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2" w:type="pct"/>
            <w:vMerge w:val="continue"/>
            <w:vAlign w:val="center"/>
          </w:tcPr>
          <w:p>
            <w:pPr>
              <w:adjustRightInd w:val="0"/>
              <w:snapToGrid w:val="0"/>
              <w:spacing w:line="360" w:lineRule="auto"/>
              <w:rPr>
                <w:rFonts w:hint="eastAsia" w:ascii="仿宋_GB2312" w:hAnsi="仿宋_GB2312" w:eastAsia="仿宋_GB2312" w:cs="仿宋_GB2312"/>
                <w:sz w:val="24"/>
              </w:rPr>
            </w:pPr>
          </w:p>
        </w:tc>
        <w:tc>
          <w:tcPr>
            <w:tcW w:w="1378" w:type="pct"/>
            <w:gridSpan w:val="2"/>
            <w:vMerge w:val="continue"/>
            <w:vAlign w:val="center"/>
          </w:tcPr>
          <w:p>
            <w:pPr>
              <w:adjustRightInd w:val="0"/>
              <w:snapToGrid w:val="0"/>
              <w:spacing w:line="360" w:lineRule="auto"/>
              <w:rPr>
                <w:rFonts w:hint="eastAsia" w:ascii="仿宋_GB2312" w:hAnsi="仿宋_GB2312" w:eastAsia="仿宋_GB2312" w:cs="仿宋_GB2312"/>
                <w:sz w:val="24"/>
              </w:rPr>
            </w:pPr>
          </w:p>
        </w:tc>
        <w:tc>
          <w:tcPr>
            <w:tcW w:w="2869" w:type="pct"/>
            <w:gridSpan w:val="2"/>
            <w:vAlign w:val="center"/>
          </w:tcPr>
          <w:p>
            <w:pPr>
              <w:keepNext w:val="0"/>
              <w:keepLines w:val="0"/>
              <w:widowControl/>
              <w:suppressLineNumbers w:val="0"/>
              <w:adjustRightInd w:val="0"/>
              <w:snapToGrid w:val="0"/>
              <w:spacing w:line="360" w:lineRule="auto"/>
              <w:jc w:val="left"/>
              <w:rPr>
                <w:rFonts w:hint="eastAsia" w:ascii="仿宋_GB2312" w:hAnsi="仿宋_GB2312" w:eastAsia="仿宋_GB2312" w:cs="仿宋_GB2312"/>
                <w:b w:val="0"/>
                <w:bCs w:val="0"/>
                <w:color w:val="000000"/>
                <w:kern w:val="0"/>
                <w:sz w:val="24"/>
                <w:szCs w:val="24"/>
                <w:lang w:val="en-US" w:eastAsia="zh-CN" w:bidi="ar"/>
              </w:rPr>
            </w:pPr>
            <w:r>
              <w:rPr>
                <w:rFonts w:hint="eastAsia" w:ascii="仿宋_GB2312" w:hAnsi="仿宋_GB2312" w:eastAsia="仿宋_GB2312" w:cs="仿宋_GB2312"/>
                <w:b w:val="0"/>
                <w:bCs w:val="0"/>
                <w:color w:val="000000"/>
                <w:kern w:val="0"/>
                <w:sz w:val="24"/>
                <w:szCs w:val="24"/>
                <w:lang w:val="en-US" w:eastAsia="zh-CN" w:bidi="ar"/>
              </w:rPr>
              <w:t>生态环境保护</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2" w:type="pct"/>
            <w:vMerge w:val="continue"/>
            <w:vAlign w:val="center"/>
          </w:tcPr>
          <w:p>
            <w:pPr>
              <w:adjustRightInd w:val="0"/>
              <w:snapToGrid w:val="0"/>
              <w:spacing w:line="360" w:lineRule="auto"/>
              <w:rPr>
                <w:rFonts w:hint="eastAsia" w:ascii="仿宋_GB2312" w:hAnsi="仿宋_GB2312" w:eastAsia="仿宋_GB2312" w:cs="仿宋_GB2312"/>
                <w:sz w:val="24"/>
              </w:rPr>
            </w:pPr>
          </w:p>
        </w:tc>
        <w:tc>
          <w:tcPr>
            <w:tcW w:w="1378" w:type="pct"/>
            <w:gridSpan w:val="2"/>
            <w:vMerge w:val="continue"/>
            <w:vAlign w:val="center"/>
          </w:tcPr>
          <w:p>
            <w:pPr>
              <w:adjustRightInd w:val="0"/>
              <w:snapToGrid w:val="0"/>
              <w:spacing w:line="360" w:lineRule="auto"/>
              <w:rPr>
                <w:rFonts w:hint="eastAsia" w:ascii="仿宋_GB2312" w:hAnsi="仿宋_GB2312" w:eastAsia="仿宋_GB2312" w:cs="仿宋_GB2312"/>
                <w:sz w:val="24"/>
              </w:rPr>
            </w:pPr>
          </w:p>
        </w:tc>
        <w:tc>
          <w:tcPr>
            <w:tcW w:w="2869" w:type="pct"/>
            <w:gridSpan w:val="2"/>
            <w:vAlign w:val="center"/>
          </w:tcPr>
          <w:p>
            <w:pPr>
              <w:keepNext w:val="0"/>
              <w:keepLines w:val="0"/>
              <w:widowControl/>
              <w:suppressLineNumbers w:val="0"/>
              <w:adjustRightInd w:val="0"/>
              <w:snapToGrid w:val="0"/>
              <w:spacing w:line="360" w:lineRule="auto"/>
              <w:jc w:val="left"/>
              <w:rPr>
                <w:rFonts w:hint="eastAsia" w:ascii="仿宋_GB2312" w:hAnsi="仿宋_GB2312" w:eastAsia="仿宋_GB2312" w:cs="仿宋_GB2312"/>
                <w:b w:val="0"/>
                <w:bCs w:val="0"/>
                <w:color w:val="000000"/>
                <w:kern w:val="0"/>
                <w:sz w:val="24"/>
                <w:szCs w:val="24"/>
                <w:lang w:val="en-US" w:eastAsia="zh-CN" w:bidi="ar"/>
              </w:rPr>
            </w:pPr>
            <w:r>
              <w:rPr>
                <w:rFonts w:hint="eastAsia" w:ascii="仿宋_GB2312" w:hAnsi="仿宋_GB2312" w:eastAsia="仿宋_GB2312" w:cs="仿宋_GB2312"/>
                <w:b w:val="0"/>
                <w:bCs w:val="0"/>
                <w:color w:val="000000"/>
                <w:kern w:val="0"/>
                <w:sz w:val="24"/>
                <w:szCs w:val="24"/>
                <w:lang w:val="en-US" w:eastAsia="zh-CN" w:bidi="ar"/>
              </w:rPr>
              <w:t>循环农业与再生资源利用</w:t>
            </w:r>
          </w:p>
        </w:tc>
      </w:tr>
    </w:tbl>
    <w:p>
      <w:pPr>
        <w:pStyle w:val="3"/>
        <w:spacing w:before="156" w:after="156"/>
        <w:rPr>
          <w:szCs w:val="32"/>
        </w:rPr>
      </w:pPr>
      <w:r>
        <w:br w:type="page"/>
      </w:r>
      <w:r>
        <w:rPr>
          <w:rFonts w:hint="eastAsia" w:ascii="仿宋_GB2312" w:hAnsi="仿宋_GB2312" w:eastAsia="仿宋_GB2312" w:cs="仿宋_GB2312"/>
          <w:b/>
          <w:bCs w:val="0"/>
          <w:sz w:val="28"/>
          <w:szCs w:val="28"/>
          <w:lang w:val="en-US" w:eastAsia="zh-CN"/>
        </w:rPr>
        <w:t xml:space="preserve">    </w:t>
      </w:r>
      <w:r>
        <w:rPr>
          <w:rFonts w:hint="eastAsia" w:ascii="仿宋_GB2312" w:hAnsi="仿宋_GB2312" w:eastAsia="仿宋_GB2312" w:cs="仿宋_GB2312"/>
          <w:b/>
          <w:bCs w:val="0"/>
          <w:sz w:val="28"/>
          <w:szCs w:val="28"/>
        </w:rPr>
        <w:t>二、竞赛目标</w:t>
      </w:r>
    </w:p>
    <w:p>
      <w:pPr>
        <w:pStyle w:val="3"/>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560" w:firstLineChars="200"/>
        <w:textAlignment w:val="auto"/>
        <w:rPr>
          <w:rFonts w:ascii="仿宋_GB2312" w:hAnsi="仿宋_GB2312" w:eastAsia="仿宋_GB2312" w:cs="仿宋_GB2312"/>
          <w:b w:val="0"/>
          <w:bCs w:val="0"/>
          <w:color w:val="000000"/>
          <w:sz w:val="28"/>
          <w:szCs w:val="28"/>
        </w:rPr>
      </w:pPr>
      <w:r>
        <w:rPr>
          <w:rFonts w:ascii="仿宋_GB2312" w:hAnsi="仿宋_GB2312" w:eastAsia="仿宋_GB2312" w:cs="仿宋_GB2312"/>
          <w:b w:val="0"/>
          <w:bCs w:val="0"/>
          <w:color w:val="000000"/>
          <w:sz w:val="28"/>
          <w:szCs w:val="28"/>
        </w:rPr>
        <w:t xml:space="preserve">产品质量安全是维护公众健康、促进农业和农村经济发 展的根本。饲料营养与检测技术是保证畜牧业和渔业产品质量安全的关键，是智慧农业、动植物防疫与作物病虫害防治、 一二三产融合发展、林草生态保护、农产品供给安全、培育 新型农业经营主体、生态环境治理等行业生产环节的重要一环。饲料营养与检测是乡村振兴与绿色发展相关岗位群的专业核心技能。 </w:t>
      </w:r>
    </w:p>
    <w:p>
      <w:pPr>
        <w:pStyle w:val="3"/>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560" w:firstLineChars="200"/>
        <w:textAlignment w:val="auto"/>
        <w:rPr>
          <w:rFonts w:ascii="仿宋_GB2312" w:hAnsi="仿宋_GB2312" w:eastAsia="仿宋_GB2312" w:cs="仿宋_GB2312"/>
          <w:b w:val="0"/>
          <w:bCs w:val="0"/>
          <w:color w:val="000000"/>
          <w:sz w:val="28"/>
          <w:szCs w:val="28"/>
        </w:rPr>
      </w:pPr>
      <w:r>
        <w:rPr>
          <w:rFonts w:ascii="仿宋_GB2312" w:hAnsi="仿宋_GB2312" w:eastAsia="仿宋_GB2312" w:cs="仿宋_GB2312"/>
          <w:b w:val="0"/>
          <w:bCs w:val="0"/>
          <w:color w:val="000000"/>
          <w:sz w:val="28"/>
          <w:szCs w:val="28"/>
        </w:rPr>
        <w:t>为检验教学成果、贯彻全国职业院校技能大赛理念，促 进职业教育高质量发展为指导思想，立足学生能力发展，紧 贴企业生产实际设计竞赛内容，利用凯氏定氮装置、分光光 度计、生物显微镜等现代化分析仪器，考核选手饲料中粗蛋 白含量检测、饲料中总磷含量检测、饲料鉴别检查等生产岗 位适应的能力，检验选手绿色发展、团队合作等职业素养。</w:t>
      </w:r>
    </w:p>
    <w:p>
      <w:pPr>
        <w:pStyle w:val="3"/>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560" w:firstLineChars="200"/>
        <w:textAlignment w:val="auto"/>
        <w:rPr>
          <w:rFonts w:ascii="仿宋_GB2312" w:hAnsi="仿宋_GB2312" w:eastAsia="仿宋_GB2312" w:cs="仿宋_GB2312"/>
          <w:b w:val="0"/>
          <w:bCs w:val="0"/>
          <w:color w:val="000000"/>
          <w:sz w:val="28"/>
          <w:szCs w:val="28"/>
        </w:rPr>
      </w:pPr>
      <w:r>
        <w:rPr>
          <w:rFonts w:ascii="仿宋_GB2312" w:hAnsi="仿宋_GB2312" w:eastAsia="仿宋_GB2312" w:cs="仿宋_GB2312"/>
          <w:b w:val="0"/>
          <w:bCs w:val="0"/>
          <w:color w:val="000000"/>
          <w:sz w:val="28"/>
          <w:szCs w:val="28"/>
        </w:rPr>
        <w:t>通过竞赛，规范实验室管理，强化选手的健康安全环保意识；推动专业教学改革与发展，实现课程内容与职业标准对接；深化产教融合，促进行业、企业和院校资源多元融合，利于校企协同育人；营造崇尚技能氛围，培养学生探索创新的职业素养和精益求精的工匠精神。引领符合社会需要的高素质劳动者和技术技能人才培养。</w:t>
      </w:r>
    </w:p>
    <w:p>
      <w:pPr>
        <w:pStyle w:val="3"/>
        <w:spacing w:before="156" w:after="156"/>
        <w:ind w:firstLine="562" w:firstLineChars="200"/>
        <w:rPr>
          <w:rFonts w:hint="eastAsia" w:ascii="仿宋_GB2312" w:hAnsi="仿宋_GB2312" w:eastAsia="仿宋_GB2312" w:cs="仿宋_GB2312"/>
          <w:b/>
          <w:bCs w:val="0"/>
          <w:sz w:val="28"/>
          <w:szCs w:val="28"/>
          <w:lang w:val="en-US" w:eastAsia="zh-CN"/>
        </w:rPr>
      </w:pPr>
      <w:r>
        <w:rPr>
          <w:rFonts w:hint="eastAsia" w:ascii="仿宋_GB2312" w:hAnsi="仿宋_GB2312" w:eastAsia="仿宋_GB2312" w:cs="仿宋_GB2312"/>
          <w:b/>
          <w:bCs w:val="0"/>
          <w:sz w:val="28"/>
          <w:szCs w:val="28"/>
          <w:lang w:val="en-US" w:eastAsia="zh-CN"/>
        </w:rPr>
        <w:t>三、竞赛内容</w:t>
      </w:r>
    </w:p>
    <w:p>
      <w:pPr>
        <w:pStyle w:val="4"/>
        <w:keepNext w:val="0"/>
        <w:keepLines w:val="0"/>
        <w:pageBreakBefore w:val="0"/>
        <w:kinsoku/>
        <w:wordWrap/>
        <w:overflowPunct/>
        <w:topLinePunct w:val="0"/>
        <w:autoSpaceDE/>
        <w:autoSpaceDN/>
        <w:bidi w:val="0"/>
        <w:spacing w:line="560" w:lineRule="exact"/>
        <w:ind w:left="0" w:firstLine="560" w:firstLineChars="200"/>
        <w:textAlignment w:val="auto"/>
        <w:rPr>
          <w:rFonts w:ascii="楷体_GB2312" w:hAnsi="楷体_GB2312" w:eastAsia="楷体_GB2312" w:cs="楷体_GB2312"/>
          <w:b w:val="0"/>
          <w:bCs w:val="0"/>
          <w:color w:val="000000"/>
          <w:sz w:val="28"/>
          <w:szCs w:val="28"/>
        </w:rPr>
      </w:pPr>
      <w:r>
        <w:rPr>
          <w:rFonts w:ascii="楷体_GB2312" w:hAnsi="楷体_GB2312" w:eastAsia="楷体_GB2312" w:cs="楷体_GB2312"/>
          <w:b w:val="0"/>
          <w:bCs w:val="0"/>
          <w:color w:val="000000"/>
          <w:sz w:val="28"/>
          <w:szCs w:val="28"/>
        </w:rPr>
        <w:t xml:space="preserve">（一）职业典型工作任务 </w:t>
      </w:r>
    </w:p>
    <w:p>
      <w:pPr>
        <w:pStyle w:val="4"/>
        <w:keepNext w:val="0"/>
        <w:keepLines w:val="0"/>
        <w:pageBreakBefore w:val="0"/>
        <w:kinsoku/>
        <w:wordWrap/>
        <w:overflowPunct/>
        <w:topLinePunct w:val="0"/>
        <w:autoSpaceDE/>
        <w:autoSpaceDN/>
        <w:bidi w:val="0"/>
        <w:spacing w:line="560" w:lineRule="exact"/>
        <w:ind w:left="0" w:firstLine="560" w:firstLineChars="200"/>
        <w:textAlignment w:val="auto"/>
        <w:rPr>
          <w:rFonts w:ascii="仿宋_GB2312" w:hAnsi="仿宋_GB2312" w:eastAsia="仿宋_GB2312" w:cs="仿宋_GB2312"/>
          <w:b w:val="0"/>
          <w:bCs w:val="0"/>
          <w:color w:val="000000"/>
          <w:sz w:val="28"/>
          <w:szCs w:val="28"/>
        </w:rPr>
      </w:pPr>
      <w:r>
        <w:rPr>
          <w:rFonts w:ascii="仿宋_GB2312" w:hAnsi="仿宋_GB2312" w:eastAsia="仿宋_GB2312" w:cs="仿宋_GB2312"/>
          <w:b w:val="0"/>
          <w:bCs w:val="0"/>
          <w:color w:val="000000"/>
          <w:sz w:val="28"/>
          <w:szCs w:val="28"/>
        </w:rPr>
        <w:t>依据《中华人民共和国职业分类大典（</w:t>
      </w:r>
      <w:r>
        <w:rPr>
          <w:rFonts w:ascii="TimesNewRomanPSMT" w:hAnsi="TimesNewRomanPSMT" w:eastAsia="TimesNewRomanPSMT" w:cs="TimesNewRomanPSMT"/>
          <w:b w:val="0"/>
          <w:bCs w:val="0"/>
          <w:color w:val="000000"/>
          <w:sz w:val="28"/>
          <w:szCs w:val="28"/>
        </w:rPr>
        <w:t>2022</w:t>
      </w:r>
      <w:r>
        <w:rPr>
          <w:rFonts w:ascii="仿宋_GB2312" w:hAnsi="仿宋_GB2312" w:eastAsia="仿宋_GB2312" w:cs="仿宋_GB2312"/>
          <w:b w:val="0"/>
          <w:bCs w:val="0"/>
          <w:color w:val="000000"/>
          <w:sz w:val="28"/>
          <w:szCs w:val="28"/>
        </w:rPr>
        <w:t>年版）》 设定，饲料营养与检测人员属于农副产品加工人员中饲料加工工、生产辅助人员中检验试验人员，从事原料、半成品、 成品或产品等质量检查、检验、试验等工作的人员。</w:t>
      </w:r>
    </w:p>
    <w:p>
      <w:pPr>
        <w:pStyle w:val="4"/>
        <w:keepNext w:val="0"/>
        <w:keepLines w:val="0"/>
        <w:pageBreakBefore w:val="0"/>
        <w:kinsoku/>
        <w:wordWrap/>
        <w:overflowPunct/>
        <w:topLinePunct w:val="0"/>
        <w:autoSpaceDE/>
        <w:autoSpaceDN/>
        <w:bidi w:val="0"/>
        <w:spacing w:line="560" w:lineRule="exact"/>
        <w:ind w:left="0" w:firstLine="560" w:firstLineChars="200"/>
        <w:textAlignment w:val="auto"/>
        <w:rPr>
          <w:rFonts w:ascii="仿宋_GB2312" w:hAnsi="仿宋_GB2312" w:eastAsia="仿宋_GB2312" w:cs="仿宋_GB2312"/>
          <w:b w:val="0"/>
          <w:bCs w:val="0"/>
          <w:color w:val="000000"/>
          <w:sz w:val="28"/>
          <w:szCs w:val="28"/>
        </w:rPr>
      </w:pPr>
      <w:r>
        <w:rPr>
          <w:rFonts w:ascii="仿宋_GB2312" w:hAnsi="仿宋_GB2312" w:eastAsia="仿宋_GB2312" w:cs="仿宋_GB2312"/>
          <w:b w:val="0"/>
          <w:bCs w:val="0"/>
          <w:color w:val="000000"/>
          <w:sz w:val="28"/>
          <w:szCs w:val="28"/>
        </w:rPr>
        <w:t xml:space="preserve">职业典型工作任务主要涵盖饲料营养与检测技术人员 特定职能和整体角色的执行，涉及饲料原料鉴别、饲料配合、饲料常规分析、饲料粗加工等。 </w:t>
      </w:r>
    </w:p>
    <w:p>
      <w:pPr>
        <w:pStyle w:val="4"/>
        <w:keepNext w:val="0"/>
        <w:keepLines w:val="0"/>
        <w:pageBreakBefore w:val="0"/>
        <w:numPr>
          <w:ilvl w:val="0"/>
          <w:numId w:val="1"/>
        </w:numPr>
        <w:kinsoku/>
        <w:wordWrap/>
        <w:overflowPunct/>
        <w:topLinePunct w:val="0"/>
        <w:autoSpaceDE/>
        <w:autoSpaceDN/>
        <w:bidi w:val="0"/>
        <w:spacing w:line="560" w:lineRule="exact"/>
        <w:ind w:left="0" w:firstLine="560" w:firstLineChars="200"/>
        <w:textAlignment w:val="auto"/>
        <w:rPr>
          <w:rFonts w:ascii="仿宋_GB2312" w:hAnsi="仿宋_GB2312" w:eastAsia="仿宋_GB2312" w:cs="仿宋_GB2312"/>
          <w:b w:val="0"/>
          <w:bCs w:val="0"/>
          <w:color w:val="000000"/>
          <w:sz w:val="28"/>
          <w:szCs w:val="28"/>
        </w:rPr>
      </w:pPr>
      <w:r>
        <w:rPr>
          <w:rFonts w:ascii="楷体_GB2312" w:hAnsi="楷体_GB2312" w:eastAsia="楷体_GB2312" w:cs="楷体_GB2312"/>
          <w:b w:val="0"/>
          <w:bCs w:val="0"/>
          <w:color w:val="000000"/>
          <w:sz w:val="28"/>
          <w:szCs w:val="28"/>
        </w:rPr>
        <w:t xml:space="preserve">职业综合能力要求 </w:t>
      </w:r>
    </w:p>
    <w:p>
      <w:pPr>
        <w:pStyle w:val="4"/>
        <w:keepNext w:val="0"/>
        <w:keepLines w:val="0"/>
        <w:pageBreakBefore w:val="0"/>
        <w:numPr>
          <w:ilvl w:val="0"/>
          <w:numId w:val="0"/>
        </w:numPr>
        <w:kinsoku/>
        <w:wordWrap/>
        <w:overflowPunct/>
        <w:topLinePunct w:val="0"/>
        <w:autoSpaceDE/>
        <w:autoSpaceDN/>
        <w:bidi w:val="0"/>
        <w:spacing w:line="560" w:lineRule="exact"/>
        <w:ind w:firstLine="560" w:firstLineChars="200"/>
        <w:textAlignment w:val="auto"/>
        <w:rPr>
          <w:rFonts w:ascii="仿宋_GB2312" w:hAnsi="仿宋_GB2312" w:eastAsia="仿宋_GB2312" w:cs="仿宋_GB2312"/>
          <w:b w:val="0"/>
          <w:bCs w:val="0"/>
          <w:color w:val="000000"/>
          <w:sz w:val="28"/>
          <w:szCs w:val="28"/>
        </w:rPr>
      </w:pPr>
      <w:r>
        <w:rPr>
          <w:rFonts w:ascii="仿宋_GB2312" w:hAnsi="仿宋_GB2312" w:eastAsia="仿宋_GB2312" w:cs="仿宋_GB2312"/>
          <w:b w:val="0"/>
          <w:bCs w:val="0"/>
          <w:color w:val="000000"/>
          <w:sz w:val="28"/>
          <w:szCs w:val="28"/>
        </w:rPr>
        <w:t xml:space="preserve">通过饲料营养与检测技能竞赛，考核选手的基本知识、基本技能融合生产实践的专业核心能力与职业综合能力。检验选手职业健康、安全生产、环境保护、团队协作等职业素 养；落实国家质量标准规范执行的能力；展现实事求是、严谨细致等工作的作风。 </w:t>
      </w:r>
    </w:p>
    <w:p>
      <w:pPr>
        <w:pStyle w:val="3"/>
        <w:spacing w:before="156" w:after="156"/>
        <w:ind w:firstLine="562" w:firstLineChars="200"/>
        <w:rPr>
          <w:rFonts w:hint="eastAsia" w:ascii="仿宋_GB2312" w:hAnsi="仿宋_GB2312" w:eastAsia="仿宋_GB2312" w:cs="仿宋_GB2312"/>
          <w:b/>
          <w:bCs w:val="0"/>
          <w:sz w:val="28"/>
          <w:szCs w:val="28"/>
          <w:lang w:val="en-US" w:eastAsia="zh-CN"/>
        </w:rPr>
      </w:pPr>
      <w:r>
        <w:rPr>
          <w:rFonts w:hint="eastAsia" w:ascii="仿宋_GB2312" w:hAnsi="仿宋_GB2312" w:eastAsia="仿宋_GB2312" w:cs="仿宋_GB2312"/>
          <w:b/>
          <w:bCs w:val="0"/>
          <w:sz w:val="28"/>
          <w:szCs w:val="28"/>
          <w:lang w:val="en-US" w:eastAsia="zh-CN"/>
        </w:rPr>
        <w:t xml:space="preserve">四、参赛项目设计要求 </w:t>
      </w:r>
    </w:p>
    <w:p>
      <w:pPr>
        <w:pStyle w:val="4"/>
        <w:keepNext w:val="0"/>
        <w:keepLines w:val="0"/>
        <w:pageBreakBefore w:val="0"/>
        <w:numPr>
          <w:ilvl w:val="0"/>
          <w:numId w:val="0"/>
        </w:numPr>
        <w:kinsoku/>
        <w:wordWrap/>
        <w:overflowPunct/>
        <w:topLinePunct w:val="0"/>
        <w:autoSpaceDE/>
        <w:autoSpaceDN/>
        <w:bidi w:val="0"/>
        <w:spacing w:line="560" w:lineRule="exact"/>
        <w:ind w:firstLine="560" w:firstLineChars="200"/>
        <w:textAlignment w:val="auto"/>
        <w:rPr>
          <w:rFonts w:ascii="仿宋_GB2312" w:hAnsi="仿宋_GB2312" w:eastAsia="仿宋_GB2312" w:cs="仿宋_GB2312"/>
          <w:b w:val="0"/>
          <w:bCs w:val="0"/>
          <w:color w:val="000000"/>
          <w:sz w:val="28"/>
          <w:szCs w:val="28"/>
        </w:rPr>
      </w:pPr>
      <w:r>
        <w:rPr>
          <w:rFonts w:ascii="仿宋_GB2312" w:hAnsi="仿宋_GB2312" w:eastAsia="仿宋_GB2312" w:cs="仿宋_GB2312"/>
          <w:b w:val="0"/>
          <w:bCs w:val="0"/>
          <w:color w:val="000000"/>
          <w:sz w:val="28"/>
          <w:szCs w:val="28"/>
        </w:rPr>
        <w:t xml:space="preserve">突出能力导向、解决实际问题、体现创新因素、确保可评可比。 </w:t>
      </w:r>
    </w:p>
    <w:p>
      <w:pPr>
        <w:pStyle w:val="4"/>
        <w:keepNext w:val="0"/>
        <w:keepLines w:val="0"/>
        <w:pageBreakBefore w:val="0"/>
        <w:numPr>
          <w:ilvl w:val="0"/>
          <w:numId w:val="0"/>
        </w:numPr>
        <w:kinsoku/>
        <w:wordWrap/>
        <w:overflowPunct/>
        <w:topLinePunct w:val="0"/>
        <w:autoSpaceDE/>
        <w:autoSpaceDN/>
        <w:bidi w:val="0"/>
        <w:spacing w:line="560" w:lineRule="exact"/>
        <w:ind w:leftChars="200"/>
        <w:textAlignment w:val="auto"/>
        <w:rPr>
          <w:rFonts w:ascii="楷体" w:hAnsi="楷体" w:eastAsia="楷体" w:cs="楷体"/>
          <w:b/>
          <w:bCs/>
          <w:color w:val="000000"/>
          <w:sz w:val="28"/>
          <w:szCs w:val="28"/>
        </w:rPr>
      </w:pPr>
      <w:r>
        <w:rPr>
          <w:rFonts w:hint="eastAsia" w:ascii="楷体" w:hAnsi="楷体" w:eastAsia="楷体" w:cs="楷体"/>
          <w:b/>
          <w:bCs/>
          <w:color w:val="000000"/>
          <w:sz w:val="28"/>
          <w:szCs w:val="28"/>
          <w:lang w:eastAsia="zh-CN"/>
        </w:rPr>
        <w:t>（</w:t>
      </w:r>
      <w:r>
        <w:rPr>
          <w:rFonts w:hint="eastAsia" w:ascii="楷体" w:hAnsi="楷体" w:eastAsia="楷体" w:cs="楷体"/>
          <w:b/>
          <w:bCs/>
          <w:color w:val="000000"/>
          <w:sz w:val="28"/>
          <w:szCs w:val="28"/>
          <w:lang w:val="en-US" w:eastAsia="zh-CN"/>
        </w:rPr>
        <w:t>一</w:t>
      </w:r>
      <w:r>
        <w:rPr>
          <w:rFonts w:hint="eastAsia" w:ascii="楷体" w:hAnsi="楷体" w:eastAsia="楷体" w:cs="楷体"/>
          <w:b/>
          <w:bCs/>
          <w:color w:val="000000"/>
          <w:sz w:val="28"/>
          <w:szCs w:val="28"/>
          <w:lang w:eastAsia="zh-CN"/>
        </w:rPr>
        <w:t>）</w:t>
      </w:r>
      <w:r>
        <w:rPr>
          <w:rFonts w:ascii="楷体" w:hAnsi="楷体" w:eastAsia="楷体" w:cs="楷体"/>
          <w:b/>
          <w:bCs/>
          <w:color w:val="000000"/>
          <w:sz w:val="28"/>
          <w:szCs w:val="28"/>
        </w:rPr>
        <w:t xml:space="preserve">项目内容 </w:t>
      </w:r>
    </w:p>
    <w:p>
      <w:pPr>
        <w:pStyle w:val="4"/>
        <w:keepNext w:val="0"/>
        <w:keepLines w:val="0"/>
        <w:pageBreakBefore w:val="0"/>
        <w:numPr>
          <w:ilvl w:val="0"/>
          <w:numId w:val="0"/>
        </w:numPr>
        <w:kinsoku/>
        <w:wordWrap/>
        <w:overflowPunct/>
        <w:topLinePunct w:val="0"/>
        <w:autoSpaceDE/>
        <w:autoSpaceDN/>
        <w:bidi w:val="0"/>
        <w:spacing w:line="560" w:lineRule="exact"/>
        <w:ind w:firstLine="560" w:firstLineChars="200"/>
        <w:textAlignment w:val="auto"/>
        <w:rPr>
          <w:rFonts w:ascii="仿宋_GB2312" w:hAnsi="仿宋_GB2312" w:eastAsia="仿宋_GB2312" w:cs="仿宋_GB2312"/>
          <w:b w:val="0"/>
          <w:bCs w:val="0"/>
          <w:color w:val="000000"/>
          <w:sz w:val="28"/>
          <w:szCs w:val="28"/>
        </w:rPr>
      </w:pPr>
      <w:r>
        <w:rPr>
          <w:rFonts w:ascii="仿宋_GB2312" w:hAnsi="仿宋_GB2312" w:eastAsia="仿宋_GB2312" w:cs="仿宋_GB2312"/>
          <w:b w:val="0"/>
          <w:bCs w:val="0"/>
          <w:color w:val="000000"/>
          <w:sz w:val="28"/>
          <w:szCs w:val="28"/>
        </w:rPr>
        <w:t>结合专业要求，围绕生产、管理、服务一线岗位实际需要和实践要求，立足技能创新，</w:t>
      </w:r>
      <w:r>
        <w:rPr>
          <w:rFonts w:hint="eastAsia" w:ascii="仿宋_GB2312" w:hAnsi="仿宋_GB2312" w:eastAsia="仿宋_GB2312" w:cs="仿宋_GB2312"/>
          <w:b w:val="0"/>
          <w:bCs w:val="0"/>
          <w:color w:val="000000"/>
          <w:sz w:val="28"/>
          <w:szCs w:val="28"/>
          <w:lang w:val="en-US" w:eastAsia="zh-CN"/>
        </w:rPr>
        <w:t>围绕饲料营养与检测赛项，</w:t>
      </w:r>
      <w:r>
        <w:rPr>
          <w:rFonts w:ascii="仿宋_GB2312" w:hAnsi="仿宋_GB2312" w:eastAsia="仿宋_GB2312" w:cs="仿宋_GB2312"/>
          <w:b w:val="0"/>
          <w:bCs w:val="0"/>
          <w:color w:val="000000"/>
          <w:sz w:val="28"/>
          <w:szCs w:val="28"/>
        </w:rPr>
        <w:t xml:space="preserve">基于参赛学校专业优势和特点，自主确定参赛项目名称，自主设计参赛项目内容，自主选择参赛设备。 </w:t>
      </w:r>
    </w:p>
    <w:p>
      <w:pPr>
        <w:pStyle w:val="4"/>
        <w:keepNext w:val="0"/>
        <w:keepLines w:val="0"/>
        <w:pageBreakBefore w:val="0"/>
        <w:numPr>
          <w:ilvl w:val="0"/>
          <w:numId w:val="0"/>
        </w:numPr>
        <w:kinsoku/>
        <w:wordWrap/>
        <w:overflowPunct/>
        <w:topLinePunct w:val="0"/>
        <w:autoSpaceDE/>
        <w:autoSpaceDN/>
        <w:bidi w:val="0"/>
        <w:spacing w:line="560" w:lineRule="exact"/>
        <w:ind w:leftChars="200" w:firstLine="281" w:firstLineChars="100"/>
        <w:textAlignment w:val="auto"/>
        <w:rPr>
          <w:rFonts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lang w:val="en-US" w:eastAsia="zh-CN"/>
        </w:rPr>
        <w:t>1.</w:t>
      </w:r>
      <w:r>
        <w:rPr>
          <w:rFonts w:ascii="仿宋_GB2312" w:hAnsi="仿宋_GB2312" w:eastAsia="仿宋_GB2312" w:cs="仿宋_GB2312"/>
          <w:b/>
          <w:bCs/>
          <w:color w:val="000000"/>
          <w:sz w:val="28"/>
          <w:szCs w:val="28"/>
        </w:rPr>
        <w:t xml:space="preserve">参赛项目确定 </w:t>
      </w:r>
    </w:p>
    <w:p>
      <w:pPr>
        <w:pStyle w:val="4"/>
        <w:keepNext w:val="0"/>
        <w:keepLines w:val="0"/>
        <w:pageBreakBefore w:val="0"/>
        <w:numPr>
          <w:ilvl w:val="0"/>
          <w:numId w:val="0"/>
        </w:numPr>
        <w:kinsoku/>
        <w:wordWrap/>
        <w:overflowPunct/>
        <w:topLinePunct w:val="0"/>
        <w:autoSpaceDE/>
        <w:autoSpaceDN/>
        <w:bidi w:val="0"/>
        <w:spacing w:line="560" w:lineRule="exact"/>
        <w:ind w:firstLine="560" w:firstLineChars="200"/>
        <w:textAlignment w:val="auto"/>
        <w:rPr>
          <w:rFonts w:ascii="仿宋_GB2312" w:hAnsi="仿宋_GB2312" w:eastAsia="仿宋_GB2312" w:cs="仿宋_GB2312"/>
          <w:b w:val="0"/>
          <w:bCs w:val="0"/>
          <w:color w:val="000000"/>
          <w:sz w:val="28"/>
          <w:szCs w:val="28"/>
        </w:rPr>
      </w:pPr>
      <w:r>
        <w:rPr>
          <w:rFonts w:ascii="仿宋_GB2312" w:hAnsi="仿宋_GB2312" w:eastAsia="仿宋_GB2312" w:cs="仿宋_GB2312"/>
          <w:b w:val="0"/>
          <w:bCs w:val="0"/>
          <w:color w:val="000000"/>
          <w:sz w:val="28"/>
          <w:szCs w:val="28"/>
        </w:rPr>
        <w:t xml:space="preserve">自主设计和确定参赛项目名称。设计的参赛项目须符合职业岗位要求，操作规范、安全。不得含有任何违反《中华人民共和国宪法》及其他法律法规的内容。所涉及的发明创造、专利技术、资源等必须拥有清晰、合法的产权或物权。参赛项目如有涉密内容，参赛前须进行脱密处理。不得有抄袭盗用他人成果、提供虚假材料等违反相关法律法规的行为。 </w:t>
      </w:r>
    </w:p>
    <w:p>
      <w:pPr>
        <w:pStyle w:val="4"/>
        <w:keepNext w:val="0"/>
        <w:keepLines w:val="0"/>
        <w:pageBreakBefore w:val="0"/>
        <w:numPr>
          <w:ilvl w:val="0"/>
          <w:numId w:val="0"/>
        </w:numPr>
        <w:kinsoku/>
        <w:wordWrap/>
        <w:overflowPunct/>
        <w:topLinePunct w:val="0"/>
        <w:autoSpaceDE/>
        <w:autoSpaceDN/>
        <w:bidi w:val="0"/>
        <w:spacing w:line="560" w:lineRule="exact"/>
        <w:ind w:leftChars="200" w:firstLine="281" w:firstLineChars="100"/>
        <w:textAlignment w:val="auto"/>
        <w:rPr>
          <w:rFonts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lang w:val="en-US" w:eastAsia="zh-CN"/>
        </w:rPr>
        <w:t>2.</w:t>
      </w:r>
      <w:r>
        <w:rPr>
          <w:rFonts w:ascii="仿宋_GB2312" w:hAnsi="仿宋_GB2312" w:eastAsia="仿宋_GB2312" w:cs="仿宋_GB2312"/>
          <w:b/>
          <w:bCs/>
          <w:color w:val="000000"/>
          <w:sz w:val="28"/>
          <w:szCs w:val="28"/>
        </w:rPr>
        <w:t xml:space="preserve">项目内容设计 </w:t>
      </w:r>
    </w:p>
    <w:p>
      <w:pPr>
        <w:pStyle w:val="4"/>
        <w:keepNext w:val="0"/>
        <w:keepLines w:val="0"/>
        <w:pageBreakBefore w:val="0"/>
        <w:numPr>
          <w:ilvl w:val="0"/>
          <w:numId w:val="0"/>
        </w:numPr>
        <w:kinsoku/>
        <w:wordWrap/>
        <w:overflowPunct/>
        <w:topLinePunct w:val="0"/>
        <w:autoSpaceDE/>
        <w:autoSpaceDN/>
        <w:bidi w:val="0"/>
        <w:spacing w:line="560" w:lineRule="exact"/>
        <w:ind w:firstLine="560" w:firstLineChars="200"/>
        <w:textAlignment w:val="auto"/>
        <w:rPr>
          <w:rFonts w:ascii="仿宋_GB2312" w:hAnsi="仿宋_GB2312" w:eastAsia="仿宋_GB2312" w:cs="仿宋_GB2312"/>
          <w:b w:val="0"/>
          <w:bCs w:val="0"/>
          <w:color w:val="000000"/>
          <w:sz w:val="28"/>
          <w:szCs w:val="28"/>
        </w:rPr>
      </w:pPr>
      <w:r>
        <w:rPr>
          <w:rFonts w:ascii="仿宋_GB2312" w:hAnsi="仿宋_GB2312" w:eastAsia="仿宋_GB2312" w:cs="仿宋_GB2312"/>
          <w:b w:val="0"/>
          <w:bCs w:val="0"/>
          <w:color w:val="000000"/>
          <w:sz w:val="28"/>
          <w:szCs w:val="28"/>
        </w:rPr>
        <w:t>应围绕</w:t>
      </w:r>
      <w:r>
        <w:rPr>
          <w:rFonts w:hint="default" w:ascii="TimesNewRomanPSMT" w:hAnsi="TimesNewRomanPSMT" w:eastAsia="TimesNewRomanPSMT" w:cs="TimesNewRomanPSMT"/>
          <w:b w:val="0"/>
          <w:bCs w:val="0"/>
          <w:color w:val="000000"/>
          <w:sz w:val="28"/>
          <w:szCs w:val="28"/>
        </w:rPr>
        <w:t>“</w:t>
      </w:r>
      <w:r>
        <w:rPr>
          <w:rFonts w:ascii="仿宋_GB2312" w:hAnsi="仿宋_GB2312" w:eastAsia="仿宋_GB2312" w:cs="仿宋_GB2312"/>
          <w:b w:val="0"/>
          <w:bCs w:val="0"/>
          <w:color w:val="000000"/>
          <w:sz w:val="28"/>
          <w:szCs w:val="28"/>
        </w:rPr>
        <w:t>技能水平、职业素养、应用价值、团队合作、创新创意</w:t>
      </w:r>
      <w:r>
        <w:rPr>
          <w:rFonts w:hint="default" w:ascii="TimesNewRomanPSMT" w:hAnsi="TimesNewRomanPSMT" w:eastAsia="TimesNewRomanPSMT" w:cs="TimesNewRomanPSMT"/>
          <w:b w:val="0"/>
          <w:bCs w:val="0"/>
          <w:color w:val="000000"/>
          <w:sz w:val="28"/>
          <w:szCs w:val="28"/>
        </w:rPr>
        <w:t>”</w:t>
      </w:r>
      <w:r>
        <w:rPr>
          <w:rFonts w:ascii="仿宋_GB2312" w:hAnsi="仿宋_GB2312" w:eastAsia="仿宋_GB2312" w:cs="仿宋_GB2312"/>
          <w:b w:val="0"/>
          <w:bCs w:val="0"/>
          <w:color w:val="000000"/>
          <w:sz w:val="28"/>
          <w:szCs w:val="28"/>
        </w:rPr>
        <w:t>要素，进行参赛项目的内容设计。</w:t>
      </w:r>
    </w:p>
    <w:p>
      <w:pPr>
        <w:pStyle w:val="4"/>
        <w:keepNext w:val="0"/>
        <w:keepLines w:val="0"/>
        <w:pageBreakBefore w:val="0"/>
        <w:numPr>
          <w:ilvl w:val="0"/>
          <w:numId w:val="0"/>
        </w:numPr>
        <w:kinsoku/>
        <w:wordWrap/>
        <w:overflowPunct/>
        <w:topLinePunct w:val="0"/>
        <w:autoSpaceDE/>
        <w:autoSpaceDN/>
        <w:bidi w:val="0"/>
        <w:spacing w:line="560" w:lineRule="exact"/>
        <w:ind w:firstLine="560" w:firstLineChars="200"/>
        <w:textAlignment w:val="auto"/>
        <w:rPr>
          <w:rFonts w:ascii="仿宋_GB2312" w:hAnsi="仿宋_GB2312" w:eastAsia="仿宋_GB2312" w:cs="仿宋_GB2312"/>
          <w:b w:val="0"/>
          <w:bCs w:val="0"/>
          <w:color w:val="000000"/>
          <w:sz w:val="28"/>
          <w:szCs w:val="28"/>
        </w:rPr>
      </w:pPr>
      <w:r>
        <w:rPr>
          <w:rFonts w:ascii="仿宋_GB2312" w:hAnsi="仿宋_GB2312" w:eastAsia="仿宋_GB2312" w:cs="仿宋_GB2312"/>
          <w:b w:val="0"/>
          <w:bCs w:val="0"/>
          <w:color w:val="000000"/>
          <w:sz w:val="28"/>
          <w:szCs w:val="28"/>
        </w:rPr>
        <w:t xml:space="preserve">技能水平方面应能体现选手技能熟练度、难易度及解决 问题的复杂度等；职业素养方面应能体现良好的职业道德、职业精神、工匠精神等；应用价值方面应能体现解决生产、生活一线实际问题或困难以及创造社会经济价值的情况；团队合作方面应能够体现分工明确、紧密协作、各司其职、高效沟通、统筹安排等能力；创新创意方面应能体现创新意识、创新理念及技能创新点。 </w:t>
      </w:r>
    </w:p>
    <w:p>
      <w:pPr>
        <w:pStyle w:val="4"/>
        <w:keepNext w:val="0"/>
        <w:keepLines w:val="0"/>
        <w:pageBreakBefore w:val="0"/>
        <w:numPr>
          <w:ilvl w:val="0"/>
          <w:numId w:val="0"/>
        </w:numPr>
        <w:kinsoku/>
        <w:wordWrap/>
        <w:overflowPunct/>
        <w:topLinePunct w:val="0"/>
        <w:autoSpaceDE/>
        <w:autoSpaceDN/>
        <w:bidi w:val="0"/>
        <w:spacing w:line="560" w:lineRule="exact"/>
        <w:ind w:leftChars="200" w:firstLine="281" w:firstLineChars="100"/>
        <w:textAlignment w:val="auto"/>
        <w:rPr>
          <w:rFonts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lang w:val="en-US" w:eastAsia="zh-CN"/>
        </w:rPr>
        <w:t>3.</w:t>
      </w:r>
      <w:r>
        <w:rPr>
          <w:rFonts w:ascii="仿宋_GB2312" w:hAnsi="仿宋_GB2312" w:eastAsia="仿宋_GB2312" w:cs="仿宋_GB2312"/>
          <w:b/>
          <w:bCs/>
          <w:color w:val="000000"/>
          <w:sz w:val="28"/>
          <w:szCs w:val="28"/>
        </w:rPr>
        <w:t xml:space="preserve">参赛设备选择 </w:t>
      </w:r>
    </w:p>
    <w:p>
      <w:pPr>
        <w:pStyle w:val="4"/>
        <w:keepNext w:val="0"/>
        <w:keepLines w:val="0"/>
        <w:pageBreakBefore w:val="0"/>
        <w:numPr>
          <w:ilvl w:val="0"/>
          <w:numId w:val="0"/>
        </w:numPr>
        <w:kinsoku/>
        <w:wordWrap/>
        <w:overflowPunct/>
        <w:topLinePunct w:val="0"/>
        <w:autoSpaceDE/>
        <w:autoSpaceDN/>
        <w:bidi w:val="0"/>
        <w:spacing w:line="560" w:lineRule="exact"/>
        <w:ind w:firstLine="560" w:firstLineChars="200"/>
        <w:textAlignment w:val="auto"/>
        <w:rPr>
          <w:rFonts w:ascii="仿宋_GB2312" w:hAnsi="仿宋_GB2312" w:eastAsia="仿宋_GB2312" w:cs="仿宋_GB2312"/>
          <w:b w:val="0"/>
          <w:bCs w:val="0"/>
          <w:color w:val="000000"/>
          <w:sz w:val="28"/>
          <w:szCs w:val="28"/>
        </w:rPr>
      </w:pPr>
      <w:r>
        <w:rPr>
          <w:rFonts w:ascii="仿宋_GB2312" w:hAnsi="仿宋_GB2312" w:eastAsia="仿宋_GB2312" w:cs="仿宋_GB2312"/>
          <w:b w:val="0"/>
          <w:bCs w:val="0"/>
          <w:color w:val="000000"/>
          <w:sz w:val="28"/>
          <w:szCs w:val="28"/>
        </w:rPr>
        <w:t xml:space="preserve">参赛所需设备和材料不做统一要求，承办学校在报名前公布可用于比赛的设备和材料清单（含场地、水电气网等条件）供参赛队伍选择，参赛队根据承办学校公布的清单，自主决定设备是否自带。决定自带设备和材料的参赛队应优先使用自身学校现有设备，与承办学校确认可行后进场。现场设备技术保障谁提供谁负责。 </w:t>
      </w:r>
    </w:p>
    <w:p>
      <w:pPr>
        <w:pStyle w:val="4"/>
        <w:keepNext w:val="0"/>
        <w:keepLines w:val="0"/>
        <w:pageBreakBefore w:val="0"/>
        <w:numPr>
          <w:ilvl w:val="0"/>
          <w:numId w:val="0"/>
        </w:numPr>
        <w:kinsoku/>
        <w:wordWrap/>
        <w:overflowPunct/>
        <w:topLinePunct w:val="0"/>
        <w:autoSpaceDE/>
        <w:autoSpaceDN/>
        <w:bidi w:val="0"/>
        <w:spacing w:line="560" w:lineRule="exact"/>
        <w:ind w:firstLine="560" w:firstLineChars="200"/>
        <w:textAlignment w:val="auto"/>
        <w:rPr>
          <w:rFonts w:ascii="仿宋_GB2312" w:hAnsi="仿宋_GB2312" w:eastAsia="仿宋_GB2312" w:cs="仿宋_GB2312"/>
          <w:b w:val="0"/>
          <w:bCs w:val="0"/>
          <w:color w:val="000000"/>
          <w:sz w:val="28"/>
          <w:szCs w:val="28"/>
          <w:highlight w:val="none"/>
        </w:rPr>
      </w:pPr>
      <w:r>
        <w:rPr>
          <w:rFonts w:ascii="仿宋_GB2312" w:hAnsi="仿宋_GB2312" w:eastAsia="仿宋_GB2312" w:cs="仿宋_GB2312"/>
          <w:b w:val="0"/>
          <w:bCs w:val="0"/>
          <w:color w:val="000000"/>
          <w:sz w:val="28"/>
          <w:szCs w:val="28"/>
        </w:rPr>
        <w:t>设备选择与参赛报名同步进行。各赛程报名时，自带设备的参赛队须与承办单位（学校）积极沟通协商并与承办单位（学校）签订确认书（附参赛队自带设备清单及赛场环境要求确认信息），</w:t>
      </w:r>
      <w:r>
        <w:rPr>
          <w:rFonts w:ascii="仿宋_GB2312" w:hAnsi="仿宋_GB2312" w:eastAsia="仿宋_GB2312" w:cs="仿宋_GB2312"/>
          <w:b w:val="0"/>
          <w:bCs w:val="0"/>
          <w:color w:val="000000"/>
          <w:sz w:val="28"/>
          <w:szCs w:val="28"/>
          <w:highlight w:val="none"/>
        </w:rPr>
        <w:t xml:space="preserve">在报名系统上传盖章确认书后，由省级教育行政部门在报名系统进行审核确认，完成报名工作。 </w:t>
      </w:r>
    </w:p>
    <w:p>
      <w:pPr>
        <w:pStyle w:val="4"/>
        <w:keepNext w:val="0"/>
        <w:keepLines w:val="0"/>
        <w:pageBreakBefore w:val="0"/>
        <w:numPr>
          <w:ilvl w:val="0"/>
          <w:numId w:val="0"/>
        </w:numPr>
        <w:kinsoku/>
        <w:wordWrap/>
        <w:overflowPunct/>
        <w:topLinePunct w:val="0"/>
        <w:autoSpaceDE/>
        <w:autoSpaceDN/>
        <w:bidi w:val="0"/>
        <w:spacing w:line="560" w:lineRule="exact"/>
        <w:ind w:leftChars="200"/>
        <w:textAlignment w:val="auto"/>
        <w:rPr>
          <w:rFonts w:hint="eastAsia" w:ascii="楷体" w:hAnsi="楷体" w:eastAsia="楷体" w:cs="楷体"/>
          <w:b/>
          <w:bCs/>
          <w:color w:val="000000"/>
          <w:sz w:val="28"/>
          <w:szCs w:val="28"/>
        </w:rPr>
      </w:pPr>
      <w:r>
        <w:rPr>
          <w:rFonts w:hint="eastAsia" w:ascii="楷体" w:hAnsi="楷体" w:eastAsia="楷体" w:cs="楷体"/>
          <w:b/>
          <w:bCs/>
          <w:color w:val="000000"/>
          <w:sz w:val="28"/>
          <w:szCs w:val="28"/>
          <w:lang w:eastAsia="zh-CN"/>
        </w:rPr>
        <w:t>（</w:t>
      </w:r>
      <w:r>
        <w:rPr>
          <w:rFonts w:hint="eastAsia" w:ascii="楷体" w:hAnsi="楷体" w:eastAsia="楷体" w:cs="楷体"/>
          <w:b/>
          <w:bCs/>
          <w:color w:val="000000"/>
          <w:sz w:val="28"/>
          <w:szCs w:val="28"/>
          <w:lang w:val="en-US" w:eastAsia="zh-CN"/>
        </w:rPr>
        <w:t>二</w:t>
      </w:r>
      <w:r>
        <w:rPr>
          <w:rFonts w:hint="eastAsia" w:ascii="楷体" w:hAnsi="楷体" w:eastAsia="楷体" w:cs="楷体"/>
          <w:b/>
          <w:bCs/>
          <w:color w:val="000000"/>
          <w:sz w:val="28"/>
          <w:szCs w:val="28"/>
          <w:lang w:eastAsia="zh-CN"/>
        </w:rPr>
        <w:t>）</w:t>
      </w:r>
      <w:r>
        <w:rPr>
          <w:rFonts w:hint="eastAsia" w:ascii="楷体" w:hAnsi="楷体" w:eastAsia="楷体" w:cs="楷体"/>
          <w:b/>
          <w:bCs/>
          <w:color w:val="000000"/>
          <w:sz w:val="28"/>
          <w:szCs w:val="28"/>
        </w:rPr>
        <w:t xml:space="preserve">项目呈现 </w:t>
      </w:r>
    </w:p>
    <w:p>
      <w:pPr>
        <w:pStyle w:val="4"/>
        <w:keepNext w:val="0"/>
        <w:keepLines w:val="0"/>
        <w:pageBreakBefore w:val="0"/>
        <w:numPr>
          <w:ilvl w:val="0"/>
          <w:numId w:val="0"/>
        </w:numPr>
        <w:kinsoku/>
        <w:wordWrap/>
        <w:overflowPunct/>
        <w:topLinePunct w:val="0"/>
        <w:autoSpaceDE/>
        <w:autoSpaceDN/>
        <w:bidi w:val="0"/>
        <w:spacing w:line="560" w:lineRule="exact"/>
        <w:ind w:firstLine="560" w:firstLineChars="200"/>
        <w:textAlignment w:val="auto"/>
        <w:rPr>
          <w:rFonts w:ascii="仿宋_GB2312" w:hAnsi="仿宋_GB2312" w:eastAsia="仿宋_GB2312" w:cs="仿宋_GB2312"/>
          <w:b w:val="0"/>
          <w:bCs w:val="0"/>
          <w:color w:val="000000"/>
          <w:sz w:val="28"/>
          <w:szCs w:val="28"/>
          <w:highlight w:val="none"/>
        </w:rPr>
      </w:pPr>
      <w:r>
        <w:rPr>
          <w:rFonts w:ascii="仿宋_GB2312" w:hAnsi="仿宋_GB2312" w:eastAsia="仿宋_GB2312" w:cs="仿宋_GB2312"/>
          <w:b w:val="0"/>
          <w:bCs w:val="0"/>
          <w:color w:val="000000"/>
          <w:sz w:val="28"/>
          <w:szCs w:val="28"/>
        </w:rPr>
        <w:t>参赛队伍根据工作任务，按团队成员分工，同步进行技能操作和现场讲解。技能操作重点展示专业技能熟练程度、 规范程度以及解决技术难题的创新能力，现场讲解主要介绍总体思路、技能要点、主要成果、项目创新等。</w:t>
      </w:r>
      <w:r>
        <w:rPr>
          <w:rFonts w:hint="eastAsia" w:ascii="仿宋_GB2312" w:hAnsi="仿宋_GB2312" w:eastAsia="仿宋_GB2312" w:cs="仿宋_GB2312"/>
          <w:b w:val="0"/>
          <w:bCs w:val="0"/>
          <w:color w:val="000000"/>
          <w:sz w:val="28"/>
          <w:szCs w:val="28"/>
          <w:lang w:val="en-US" w:eastAsia="zh-CN"/>
        </w:rPr>
        <w:t>参赛队</w:t>
      </w:r>
      <w:r>
        <w:rPr>
          <w:rFonts w:ascii="仿宋_GB2312" w:hAnsi="仿宋_GB2312" w:eastAsia="仿宋_GB2312" w:cs="仿宋_GB2312"/>
          <w:b w:val="0"/>
          <w:bCs w:val="0"/>
          <w:color w:val="000000"/>
          <w:sz w:val="28"/>
          <w:szCs w:val="28"/>
        </w:rPr>
        <w:t>须完成一个完整的工作任务，比赛时长可由各参赛队伍根据项目实际需要确定，不超过</w:t>
      </w:r>
      <w:r>
        <w:rPr>
          <w:rFonts w:hint="default" w:ascii="TimesNewRomanPSMT" w:hAnsi="TimesNewRomanPSMT" w:eastAsia="TimesNewRomanPSMT" w:cs="TimesNewRomanPSMT"/>
          <w:b w:val="0"/>
          <w:bCs w:val="0"/>
          <w:color w:val="000000"/>
          <w:sz w:val="28"/>
          <w:szCs w:val="28"/>
        </w:rPr>
        <w:t>1</w:t>
      </w:r>
      <w:r>
        <w:rPr>
          <w:rFonts w:ascii="仿宋_GB2312" w:hAnsi="仿宋_GB2312" w:eastAsia="仿宋_GB2312" w:cs="仿宋_GB2312"/>
          <w:b w:val="0"/>
          <w:bCs w:val="0"/>
          <w:color w:val="000000"/>
          <w:sz w:val="28"/>
          <w:szCs w:val="28"/>
        </w:rPr>
        <w:t>小时，在技能操作的同时，对关键技术环节安排适当讲解。</w:t>
      </w:r>
      <w:r>
        <w:rPr>
          <w:rFonts w:hint="eastAsia" w:ascii="仿宋_GB2312" w:hAnsi="仿宋_GB2312" w:eastAsia="仿宋_GB2312" w:cs="仿宋_GB2312"/>
          <w:b w:val="0"/>
          <w:bCs w:val="0"/>
          <w:color w:val="000000"/>
          <w:sz w:val="28"/>
          <w:szCs w:val="28"/>
          <w:highlight w:val="none"/>
          <w:lang w:val="en-US" w:eastAsia="zh-CN"/>
        </w:rPr>
        <w:t>比</w:t>
      </w:r>
      <w:r>
        <w:rPr>
          <w:rFonts w:ascii="仿宋_GB2312" w:hAnsi="仿宋_GB2312" w:eastAsia="仿宋_GB2312" w:cs="仿宋_GB2312"/>
          <w:b w:val="0"/>
          <w:bCs w:val="0"/>
          <w:color w:val="000000"/>
          <w:sz w:val="28"/>
          <w:szCs w:val="28"/>
          <w:highlight w:val="none"/>
        </w:rPr>
        <w:t>赛现场具体实施由承办</w:t>
      </w:r>
      <w:r>
        <w:rPr>
          <w:rFonts w:hint="eastAsia" w:ascii="仿宋_GB2312" w:hAnsi="仿宋_GB2312" w:eastAsia="仿宋_GB2312" w:cs="仿宋_GB2312"/>
          <w:b w:val="0"/>
          <w:bCs w:val="0"/>
          <w:color w:val="000000"/>
          <w:sz w:val="28"/>
          <w:szCs w:val="28"/>
          <w:highlight w:val="none"/>
          <w:lang w:val="en-US" w:eastAsia="zh-CN"/>
        </w:rPr>
        <w:t>校</w:t>
      </w:r>
      <w:r>
        <w:rPr>
          <w:rFonts w:ascii="仿宋_GB2312" w:hAnsi="仿宋_GB2312" w:eastAsia="仿宋_GB2312" w:cs="仿宋_GB2312"/>
          <w:b w:val="0"/>
          <w:bCs w:val="0"/>
          <w:color w:val="000000"/>
          <w:sz w:val="28"/>
          <w:szCs w:val="28"/>
          <w:highlight w:val="none"/>
        </w:rPr>
        <w:t>组织，各参赛队依次比赛，每个工位全程录像。</w:t>
      </w:r>
    </w:p>
    <w:p>
      <w:pPr>
        <w:pStyle w:val="4"/>
        <w:keepNext w:val="0"/>
        <w:keepLines w:val="0"/>
        <w:pageBreakBefore w:val="0"/>
        <w:numPr>
          <w:ilvl w:val="0"/>
          <w:numId w:val="1"/>
        </w:numPr>
        <w:kinsoku/>
        <w:wordWrap/>
        <w:overflowPunct/>
        <w:topLinePunct w:val="0"/>
        <w:autoSpaceDE/>
        <w:autoSpaceDN/>
        <w:bidi w:val="0"/>
        <w:spacing w:line="560" w:lineRule="exact"/>
        <w:ind w:left="0" w:leftChars="0" w:firstLine="562" w:firstLineChars="200"/>
        <w:textAlignment w:val="auto"/>
        <w:rPr>
          <w:rFonts w:hint="eastAsia" w:ascii="楷体" w:hAnsi="楷体" w:eastAsia="楷体" w:cs="楷体"/>
          <w:b/>
          <w:bCs/>
          <w:color w:val="000000"/>
          <w:sz w:val="28"/>
          <w:szCs w:val="28"/>
        </w:rPr>
      </w:pPr>
      <w:r>
        <w:rPr>
          <w:rFonts w:hint="eastAsia" w:ascii="楷体" w:hAnsi="楷体" w:eastAsia="楷体" w:cs="楷体"/>
          <w:b/>
          <w:bCs/>
          <w:color w:val="000000"/>
          <w:sz w:val="28"/>
          <w:szCs w:val="28"/>
        </w:rPr>
        <w:t xml:space="preserve">比赛时长 </w:t>
      </w:r>
    </w:p>
    <w:p>
      <w:pPr>
        <w:pStyle w:val="4"/>
        <w:keepNext w:val="0"/>
        <w:keepLines w:val="0"/>
        <w:pageBreakBefore w:val="0"/>
        <w:numPr>
          <w:ilvl w:val="0"/>
          <w:numId w:val="0"/>
        </w:numPr>
        <w:kinsoku/>
        <w:wordWrap/>
        <w:overflowPunct/>
        <w:topLinePunct w:val="0"/>
        <w:autoSpaceDE/>
        <w:autoSpaceDN/>
        <w:bidi w:val="0"/>
        <w:spacing w:line="560" w:lineRule="exact"/>
        <w:ind w:firstLine="560" w:firstLineChars="200"/>
        <w:textAlignment w:val="auto"/>
        <w:rPr>
          <w:rFonts w:ascii="仿宋_GB2312" w:hAnsi="仿宋_GB2312" w:eastAsia="仿宋_GB2312" w:cs="仿宋_GB2312"/>
          <w:b w:val="0"/>
          <w:bCs w:val="0"/>
          <w:color w:val="000000"/>
          <w:sz w:val="28"/>
          <w:szCs w:val="28"/>
        </w:rPr>
      </w:pPr>
      <w:r>
        <w:rPr>
          <w:rFonts w:ascii="仿宋_GB2312" w:hAnsi="仿宋_GB2312" w:eastAsia="仿宋_GB2312" w:cs="仿宋_GB2312"/>
          <w:b w:val="0"/>
          <w:bCs w:val="0"/>
          <w:color w:val="000000"/>
          <w:sz w:val="28"/>
          <w:szCs w:val="28"/>
        </w:rPr>
        <w:t xml:space="preserve">每支参赛队伍比赛时长不超过一小时，具体时长由各参赛队根据实际项目需要确定，并在报名时填报该信息。 </w:t>
      </w:r>
    </w:p>
    <w:p>
      <w:pPr>
        <w:pStyle w:val="3"/>
        <w:spacing w:before="156" w:after="156"/>
        <w:ind w:firstLine="562" w:firstLineChars="200"/>
        <w:rPr>
          <w:rFonts w:hint="eastAsia" w:ascii="仿宋_GB2312" w:hAnsi="仿宋_GB2312" w:eastAsia="仿宋_GB2312" w:cs="仿宋_GB2312"/>
          <w:b/>
          <w:bCs w:val="0"/>
          <w:sz w:val="28"/>
          <w:szCs w:val="28"/>
          <w:lang w:val="en-US" w:eastAsia="zh-CN"/>
        </w:rPr>
      </w:pPr>
      <w:r>
        <w:rPr>
          <w:rFonts w:hint="eastAsia" w:ascii="仿宋_GB2312" w:hAnsi="仿宋_GB2312" w:eastAsia="仿宋_GB2312" w:cs="仿宋_GB2312"/>
          <w:b/>
          <w:bCs w:val="0"/>
          <w:sz w:val="28"/>
          <w:szCs w:val="28"/>
          <w:lang w:val="en-US" w:eastAsia="zh-CN"/>
        </w:rPr>
        <w:t xml:space="preserve">五、参赛要求 </w:t>
      </w:r>
    </w:p>
    <w:p>
      <w:pPr>
        <w:pStyle w:val="3"/>
        <w:keepNext w:val="0"/>
        <w:keepLines w:val="0"/>
        <w:pageBreakBefore w:val="0"/>
        <w:kinsoku/>
        <w:wordWrap/>
        <w:overflowPunct/>
        <w:topLinePunct w:val="0"/>
        <w:autoSpaceDE/>
        <w:autoSpaceDN/>
        <w:bidi w:val="0"/>
        <w:spacing w:before="0" w:beforeLines="0" w:after="0" w:afterLines="0" w:line="560" w:lineRule="exact"/>
        <w:ind w:firstLine="560" w:firstLineChars="200"/>
        <w:textAlignment w:val="auto"/>
        <w:rPr>
          <w:rStyle w:val="25"/>
          <w:bCs/>
          <w:sz w:val="28"/>
          <w:szCs w:val="28"/>
        </w:rPr>
      </w:pPr>
      <w:r>
        <w:rPr>
          <w:rFonts w:ascii="仿宋_GB2312" w:hAnsi="仿宋_GB2312" w:eastAsia="仿宋_GB2312" w:cs="仿宋_GB2312"/>
          <w:b w:val="0"/>
          <w:bCs w:val="0"/>
          <w:color w:val="000000"/>
          <w:sz w:val="28"/>
          <w:szCs w:val="28"/>
        </w:rPr>
        <w:t>所有参赛人员应该树立正确的参赛观，严格遵守大赛相关制度和规定。</w:t>
      </w:r>
    </w:p>
    <w:p>
      <w:pPr>
        <w:pStyle w:val="4"/>
        <w:keepNext w:val="0"/>
        <w:keepLines w:val="0"/>
        <w:pageBreakBefore w:val="0"/>
        <w:kinsoku/>
        <w:wordWrap/>
        <w:overflowPunct/>
        <w:topLinePunct w:val="0"/>
        <w:autoSpaceDE/>
        <w:autoSpaceDN/>
        <w:bidi w:val="0"/>
        <w:spacing w:line="560" w:lineRule="exact"/>
        <w:ind w:left="0" w:firstLine="562" w:firstLineChars="200"/>
        <w:textAlignment w:val="auto"/>
        <w:rPr>
          <w:rFonts w:ascii="Times New Roman" w:hAnsi="Times New Roman" w:eastAsia="楷体"/>
          <w:sz w:val="28"/>
          <w:szCs w:val="28"/>
        </w:rPr>
      </w:pPr>
      <w:r>
        <w:rPr>
          <w:rFonts w:ascii="Times New Roman" w:hAnsi="Times New Roman" w:eastAsia="楷体"/>
          <w:sz w:val="28"/>
          <w:szCs w:val="28"/>
        </w:rPr>
        <w:t>（一）竞赛形式</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ascii="Times New Roman" w:hAnsi="Times New Roman" w:eastAsia="仿宋_GB2312"/>
          <w:sz w:val="28"/>
          <w:szCs w:val="28"/>
        </w:rPr>
      </w:pPr>
      <w:r>
        <w:rPr>
          <w:rFonts w:ascii="Times New Roman" w:hAnsi="Times New Roman" w:eastAsia="仿宋_GB2312"/>
          <w:sz w:val="28"/>
          <w:szCs w:val="28"/>
        </w:rPr>
        <w:t>本赛项竞赛形式为线下</w:t>
      </w:r>
      <w:r>
        <w:rPr>
          <w:rFonts w:hint="eastAsia" w:ascii="Times New Roman" w:hAnsi="Times New Roman" w:eastAsia="仿宋_GB2312"/>
          <w:sz w:val="28"/>
          <w:szCs w:val="28"/>
        </w:rPr>
        <w:t>实操与讲解</w:t>
      </w:r>
      <w:r>
        <w:rPr>
          <w:rFonts w:ascii="Times New Roman" w:hAnsi="Times New Roman" w:eastAsia="仿宋_GB2312"/>
          <w:sz w:val="28"/>
          <w:szCs w:val="28"/>
        </w:rPr>
        <w:t>比赛。</w:t>
      </w:r>
    </w:p>
    <w:p>
      <w:pPr>
        <w:pStyle w:val="4"/>
        <w:keepNext w:val="0"/>
        <w:keepLines w:val="0"/>
        <w:pageBreakBefore w:val="0"/>
        <w:kinsoku/>
        <w:wordWrap/>
        <w:overflowPunct/>
        <w:topLinePunct w:val="0"/>
        <w:autoSpaceDE/>
        <w:autoSpaceDN/>
        <w:bidi w:val="0"/>
        <w:spacing w:line="560" w:lineRule="exact"/>
        <w:ind w:left="0" w:firstLine="562" w:firstLineChars="200"/>
        <w:textAlignment w:val="auto"/>
        <w:rPr>
          <w:rFonts w:ascii="Times New Roman" w:hAnsi="Times New Roman" w:eastAsia="楷体"/>
          <w:sz w:val="28"/>
          <w:szCs w:val="28"/>
        </w:rPr>
      </w:pPr>
      <w:r>
        <w:rPr>
          <w:rFonts w:ascii="Times New Roman" w:hAnsi="Times New Roman" w:eastAsia="楷体"/>
          <w:sz w:val="28"/>
          <w:szCs w:val="28"/>
        </w:rPr>
        <w:t>（二）组队方式</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ascii="Times New Roman" w:hAnsi="Times New Roman" w:eastAsia="仿宋_GB2312"/>
          <w:sz w:val="28"/>
          <w:szCs w:val="28"/>
          <w:highlight w:val="none"/>
        </w:rPr>
      </w:pPr>
      <w:r>
        <w:rPr>
          <w:rFonts w:ascii="Times New Roman" w:hAnsi="Times New Roman" w:eastAsia="仿宋_GB2312"/>
          <w:sz w:val="28"/>
          <w:szCs w:val="28"/>
          <w:highlight w:val="none"/>
        </w:rPr>
        <w:t>本赛项为</w:t>
      </w:r>
      <w:r>
        <w:rPr>
          <w:rFonts w:hint="eastAsia" w:ascii="Times New Roman" w:hAnsi="Times New Roman" w:eastAsia="仿宋_GB2312"/>
          <w:sz w:val="28"/>
          <w:szCs w:val="28"/>
          <w:highlight w:val="none"/>
          <w:lang w:val="en-US" w:eastAsia="zh-CN"/>
        </w:rPr>
        <w:t>团体</w:t>
      </w:r>
      <w:r>
        <w:rPr>
          <w:rFonts w:ascii="Times New Roman" w:hAnsi="Times New Roman" w:eastAsia="仿宋_GB2312"/>
          <w:sz w:val="28"/>
          <w:szCs w:val="28"/>
          <w:highlight w:val="none"/>
        </w:rPr>
        <w:t>赛，每</w:t>
      </w:r>
      <w:r>
        <w:rPr>
          <w:rFonts w:hint="eastAsia" w:ascii="Times New Roman" w:hAnsi="Times New Roman" w:eastAsia="仿宋_GB2312"/>
          <w:sz w:val="28"/>
          <w:szCs w:val="28"/>
          <w:highlight w:val="none"/>
          <w:lang w:val="en-US" w:eastAsia="zh-CN"/>
        </w:rPr>
        <w:t>队</w:t>
      </w:r>
      <w:r>
        <w:rPr>
          <w:rFonts w:ascii="Times New Roman" w:hAnsi="Times New Roman" w:eastAsia="仿宋_GB2312"/>
          <w:sz w:val="28"/>
          <w:szCs w:val="28"/>
          <w:highlight w:val="none"/>
        </w:rPr>
        <w:t>参赛选手限</w:t>
      </w:r>
      <w:r>
        <w:rPr>
          <w:rFonts w:hint="eastAsia" w:ascii="Times New Roman" w:hAnsi="Times New Roman" w:eastAsia="仿宋_GB2312"/>
          <w:sz w:val="28"/>
          <w:szCs w:val="28"/>
          <w:highlight w:val="none"/>
          <w:lang w:val="en-US" w:eastAsia="zh-CN"/>
        </w:rPr>
        <w:t>2-4</w:t>
      </w:r>
      <w:r>
        <w:rPr>
          <w:rFonts w:ascii="Times New Roman" w:hAnsi="Times New Roman" w:eastAsia="仿宋_GB2312"/>
          <w:sz w:val="28"/>
          <w:szCs w:val="28"/>
          <w:highlight w:val="none"/>
        </w:rPr>
        <w:t>名</w:t>
      </w:r>
      <w:r>
        <w:rPr>
          <w:rFonts w:hint="eastAsia" w:ascii="Times New Roman" w:hAnsi="Times New Roman" w:eastAsia="仿宋_GB2312"/>
          <w:sz w:val="28"/>
          <w:szCs w:val="28"/>
          <w:highlight w:val="none"/>
          <w:lang w:eastAsia="zh-CN"/>
        </w:rPr>
        <w:t>，</w:t>
      </w:r>
      <w:r>
        <w:rPr>
          <w:rFonts w:ascii="Times New Roman" w:hAnsi="Times New Roman" w:eastAsia="仿宋_GB2312"/>
          <w:sz w:val="28"/>
          <w:szCs w:val="28"/>
          <w:highlight w:val="none"/>
        </w:rPr>
        <w:t>指导教</w:t>
      </w:r>
      <w:r>
        <w:rPr>
          <w:rFonts w:hint="eastAsia" w:ascii="Times New Roman" w:hAnsi="Times New Roman" w:eastAsia="仿宋_GB2312"/>
          <w:sz w:val="28"/>
          <w:szCs w:val="28"/>
          <w:highlight w:val="none"/>
          <w:lang w:val="en-US" w:eastAsia="zh-CN"/>
        </w:rPr>
        <w:t>师2名</w:t>
      </w:r>
      <w:r>
        <w:rPr>
          <w:rFonts w:ascii="Times New Roman" w:hAnsi="Times New Roman" w:eastAsia="仿宋_GB2312"/>
          <w:sz w:val="28"/>
          <w:szCs w:val="28"/>
          <w:highlight w:val="none"/>
          <w:lang w:val="en"/>
        </w:rPr>
        <w:t>,</w:t>
      </w:r>
      <w:r>
        <w:rPr>
          <w:rFonts w:hint="eastAsia" w:ascii="Times New Roman" w:hAnsi="Times New Roman" w:eastAsia="仿宋_GB2312"/>
          <w:sz w:val="28"/>
          <w:szCs w:val="28"/>
          <w:highlight w:val="none"/>
        </w:rPr>
        <w:t>每校限报</w:t>
      </w:r>
      <w:r>
        <w:rPr>
          <w:rFonts w:hint="eastAsia" w:ascii="Times New Roman" w:hAnsi="Times New Roman" w:eastAsia="仿宋_GB2312"/>
          <w:sz w:val="28"/>
          <w:szCs w:val="28"/>
          <w:highlight w:val="none"/>
          <w:lang w:val="en-US" w:eastAsia="zh-CN"/>
        </w:rPr>
        <w:t>3队</w:t>
      </w:r>
      <w:r>
        <w:rPr>
          <w:rFonts w:hint="eastAsia" w:ascii="Times New Roman" w:hAnsi="Times New Roman" w:eastAsia="仿宋_GB2312"/>
          <w:sz w:val="28"/>
          <w:szCs w:val="28"/>
          <w:highlight w:val="none"/>
        </w:rPr>
        <w:t>。</w:t>
      </w:r>
    </w:p>
    <w:p>
      <w:pPr>
        <w:pStyle w:val="4"/>
        <w:keepNext w:val="0"/>
        <w:keepLines w:val="0"/>
        <w:pageBreakBefore w:val="0"/>
        <w:kinsoku/>
        <w:wordWrap/>
        <w:overflowPunct/>
        <w:topLinePunct w:val="0"/>
        <w:autoSpaceDE/>
        <w:autoSpaceDN/>
        <w:bidi w:val="0"/>
        <w:spacing w:line="560" w:lineRule="exact"/>
        <w:ind w:left="0" w:firstLine="562" w:firstLineChars="200"/>
        <w:textAlignment w:val="auto"/>
        <w:rPr>
          <w:rFonts w:ascii="Times New Roman" w:hAnsi="Times New Roman" w:eastAsia="楷体"/>
          <w:sz w:val="28"/>
          <w:szCs w:val="28"/>
        </w:rPr>
      </w:pPr>
      <w:r>
        <w:rPr>
          <w:rFonts w:ascii="Times New Roman" w:hAnsi="Times New Roman" w:eastAsia="楷体"/>
          <w:sz w:val="28"/>
          <w:szCs w:val="28"/>
        </w:rPr>
        <w:t>（三）选手报名资格</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ascii="Times New Roman" w:hAnsi="Times New Roman" w:eastAsia="仿宋_GB2312"/>
          <w:sz w:val="28"/>
          <w:szCs w:val="28"/>
        </w:rPr>
      </w:pPr>
      <w:r>
        <w:rPr>
          <w:rFonts w:hint="eastAsia" w:ascii="仿宋" w:hAnsi="仿宋" w:eastAsia="仿宋" w:cs="仿宋"/>
          <w:bCs/>
          <w:color w:val="000000"/>
          <w:sz w:val="28"/>
          <w:szCs w:val="28"/>
        </w:rPr>
        <w:t>参赛资格按照《202</w:t>
      </w:r>
      <w:r>
        <w:rPr>
          <w:rFonts w:ascii="仿宋" w:hAnsi="仿宋" w:eastAsia="仿宋" w:cs="仿宋"/>
          <w:bCs/>
          <w:color w:val="000000"/>
          <w:sz w:val="28"/>
          <w:szCs w:val="28"/>
        </w:rPr>
        <w:t>5</w:t>
      </w:r>
      <w:r>
        <w:rPr>
          <w:rFonts w:hint="eastAsia" w:ascii="仿宋" w:hAnsi="仿宋" w:eastAsia="仿宋" w:cs="仿宋"/>
          <w:bCs/>
          <w:color w:val="000000"/>
          <w:sz w:val="28"/>
          <w:szCs w:val="28"/>
        </w:rPr>
        <w:t>年海南省职业院校技能大赛方案》相关要求执行。</w:t>
      </w:r>
    </w:p>
    <w:p>
      <w:pPr>
        <w:pStyle w:val="3"/>
        <w:spacing w:before="156" w:after="156"/>
        <w:ind w:firstLine="562" w:firstLineChars="200"/>
        <w:rPr>
          <w:rFonts w:hint="eastAsia" w:ascii="仿宋_GB2312" w:hAnsi="仿宋_GB2312" w:eastAsia="仿宋_GB2312" w:cs="仿宋_GB2312"/>
          <w:b/>
          <w:bCs w:val="0"/>
          <w:sz w:val="28"/>
          <w:szCs w:val="28"/>
          <w:lang w:val="en-US" w:eastAsia="zh-CN"/>
        </w:rPr>
      </w:pPr>
      <w:r>
        <w:rPr>
          <w:rFonts w:hint="eastAsia" w:ascii="仿宋_GB2312" w:hAnsi="仿宋_GB2312" w:eastAsia="仿宋_GB2312" w:cs="仿宋_GB2312"/>
          <w:b/>
          <w:bCs w:val="0"/>
          <w:sz w:val="28"/>
          <w:szCs w:val="28"/>
          <w:lang w:val="en-US" w:eastAsia="zh-CN"/>
        </w:rPr>
        <w:t>六、竞赛流程</w:t>
      </w:r>
    </w:p>
    <w:p>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ascii="Times New Roman" w:hAnsi="Times New Roman" w:eastAsia="仿宋_GB2312"/>
          <w:sz w:val="28"/>
          <w:szCs w:val="28"/>
        </w:rPr>
      </w:pPr>
      <w:r>
        <w:rPr>
          <w:rFonts w:ascii="Times New Roman" w:hAnsi="Times New Roman" w:eastAsia="仿宋_GB2312"/>
          <w:sz w:val="28"/>
          <w:szCs w:val="28"/>
        </w:rPr>
        <w:t>本赛项赛程2天，选手第1天上午报到，安排选手熟悉赛场</w:t>
      </w:r>
      <w:r>
        <w:rPr>
          <w:rFonts w:hint="eastAsia" w:ascii="Times New Roman" w:hAnsi="Times New Roman" w:eastAsia="仿宋_GB2312"/>
          <w:sz w:val="28"/>
          <w:szCs w:val="28"/>
        </w:rPr>
        <w:t>与</w:t>
      </w:r>
      <w:r>
        <w:rPr>
          <w:rFonts w:ascii="Times New Roman" w:hAnsi="Times New Roman" w:eastAsia="仿宋_GB2312"/>
          <w:sz w:val="28"/>
          <w:szCs w:val="28"/>
        </w:rPr>
        <w:t>赛前说明；第2天场次抽签</w:t>
      </w:r>
      <w:r>
        <w:rPr>
          <w:rFonts w:hint="eastAsia" w:ascii="Times New Roman" w:hAnsi="Times New Roman" w:eastAsia="仿宋_GB2312"/>
          <w:sz w:val="28"/>
          <w:szCs w:val="28"/>
        </w:rPr>
        <w:t>与</w:t>
      </w:r>
      <w:r>
        <w:rPr>
          <w:rFonts w:ascii="Times New Roman" w:hAnsi="Times New Roman" w:eastAsia="仿宋_GB2312"/>
          <w:sz w:val="28"/>
          <w:szCs w:val="28"/>
        </w:rPr>
        <w:t>完成所有竞赛模块。</w:t>
      </w:r>
      <w:r>
        <w:rPr>
          <w:rFonts w:hint="eastAsia" w:ascii="Times New Roman" w:hAnsi="Times New Roman" w:eastAsia="仿宋_GB2312"/>
          <w:sz w:val="28"/>
          <w:szCs w:val="28"/>
        </w:rPr>
        <w:t>如</w:t>
      </w:r>
      <w:r>
        <w:rPr>
          <w:rFonts w:ascii="Times New Roman" w:hAnsi="Times New Roman" w:eastAsia="仿宋_GB2312"/>
          <w:sz w:val="28"/>
          <w:szCs w:val="28"/>
        </w:rPr>
        <w:t>竞赛日程见表</w:t>
      </w:r>
      <w:r>
        <w:rPr>
          <w:rFonts w:hint="eastAsia" w:ascii="Times New Roman" w:hAnsi="Times New Roman" w:eastAsia="仿宋_GB2312"/>
          <w:sz w:val="28"/>
          <w:szCs w:val="28"/>
          <w:lang w:val="en-US" w:eastAsia="zh-CN"/>
        </w:rPr>
        <w:t>1</w:t>
      </w:r>
      <w:r>
        <w:rPr>
          <w:rFonts w:hint="eastAsia" w:ascii="Times New Roman" w:hAnsi="Times New Roman" w:eastAsia="仿宋_GB2312"/>
          <w:sz w:val="28"/>
          <w:szCs w:val="28"/>
        </w:rPr>
        <w:t>。</w:t>
      </w:r>
    </w:p>
    <w:p>
      <w:pPr>
        <w:spacing w:line="560" w:lineRule="exact"/>
        <w:ind w:firstLine="560" w:firstLineChars="20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表</w:t>
      </w:r>
      <w:r>
        <w:rPr>
          <w:rFonts w:hint="eastAsia" w:ascii="仿宋_GB2312" w:hAnsi="仿宋_GB2312" w:eastAsia="仿宋_GB2312" w:cs="仿宋_GB2312"/>
          <w:color w:val="000000"/>
          <w:sz w:val="28"/>
          <w:szCs w:val="28"/>
          <w:lang w:val="en-US" w:eastAsia="zh-CN"/>
        </w:rPr>
        <w:t>1</w:t>
      </w:r>
      <w:r>
        <w:rPr>
          <w:rFonts w:hint="eastAsia" w:ascii="仿宋_GB2312" w:hAnsi="仿宋_GB2312" w:eastAsia="仿宋_GB2312" w:cs="仿宋_GB2312"/>
          <w:color w:val="000000"/>
          <w:sz w:val="28"/>
          <w:szCs w:val="28"/>
        </w:rPr>
        <w:t>竞赛日程具体安排</w:t>
      </w:r>
    </w:p>
    <w:tbl>
      <w:tblPr>
        <w:tblStyle w:val="13"/>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8"/>
        <w:gridCol w:w="2428"/>
        <w:gridCol w:w="53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1348" w:type="dxa"/>
          </w:tcPr>
          <w:p>
            <w:pPr>
              <w:spacing w:line="560" w:lineRule="exact"/>
              <w:jc w:val="center"/>
              <w:rPr>
                <w:rFonts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日期</w:t>
            </w:r>
          </w:p>
        </w:tc>
        <w:tc>
          <w:tcPr>
            <w:tcW w:w="2428" w:type="dxa"/>
          </w:tcPr>
          <w:p>
            <w:pPr>
              <w:spacing w:line="560" w:lineRule="exact"/>
              <w:jc w:val="center"/>
              <w:rPr>
                <w:rFonts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时间</w:t>
            </w:r>
          </w:p>
        </w:tc>
        <w:tc>
          <w:tcPr>
            <w:tcW w:w="5342" w:type="dxa"/>
          </w:tcPr>
          <w:p>
            <w:pPr>
              <w:spacing w:line="560" w:lineRule="exact"/>
              <w:jc w:val="center"/>
              <w:rPr>
                <w:rFonts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1348" w:type="dxa"/>
            <w:vMerge w:val="restart"/>
          </w:tcPr>
          <w:p>
            <w:pPr>
              <w:spacing w:line="560" w:lineRule="exact"/>
              <w:rPr>
                <w:rFonts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第1天</w:t>
            </w:r>
          </w:p>
        </w:tc>
        <w:tc>
          <w:tcPr>
            <w:tcW w:w="2428" w:type="dxa"/>
          </w:tcPr>
          <w:p>
            <w:pPr>
              <w:spacing w:line="560" w:lineRule="exact"/>
              <w:rPr>
                <w:rFonts w:hint="default" w:ascii="仿宋_GB2312" w:hAnsi="仿宋_GB2312" w:eastAsia="仿宋_GB2312" w:cs="仿宋_GB2312"/>
                <w:color w:val="000000"/>
                <w:sz w:val="28"/>
                <w:szCs w:val="28"/>
                <w:highlight w:val="none"/>
                <w:lang w:val="en-US" w:eastAsia="zh-CN"/>
              </w:rPr>
            </w:pPr>
            <w:r>
              <w:rPr>
                <w:rFonts w:hint="eastAsia" w:ascii="仿宋_GB2312" w:hAnsi="仿宋_GB2312" w:eastAsia="仿宋_GB2312" w:cs="仿宋_GB2312"/>
                <w:color w:val="000000"/>
                <w:sz w:val="28"/>
                <w:szCs w:val="28"/>
                <w:highlight w:val="none"/>
                <w:lang w:val="en-US" w:eastAsia="zh-CN"/>
              </w:rPr>
              <w:t>08：</w:t>
            </w:r>
            <w:r>
              <w:rPr>
                <w:rFonts w:hint="eastAsia" w:ascii="仿宋_GB2312" w:hAnsi="仿宋_GB2312" w:eastAsia="仿宋_GB2312" w:cs="仿宋_GB2312"/>
                <w:color w:val="000000"/>
                <w:sz w:val="28"/>
                <w:szCs w:val="28"/>
                <w:highlight w:val="none"/>
              </w:rPr>
              <w:t>00－</w:t>
            </w:r>
            <w:r>
              <w:rPr>
                <w:rFonts w:hint="eastAsia" w:ascii="仿宋_GB2312" w:hAnsi="仿宋_GB2312" w:eastAsia="仿宋_GB2312" w:cs="仿宋_GB2312"/>
                <w:color w:val="000000"/>
                <w:sz w:val="28"/>
                <w:szCs w:val="28"/>
                <w:highlight w:val="none"/>
                <w:lang w:val="en-US" w:eastAsia="zh-CN"/>
              </w:rPr>
              <w:t>12</w:t>
            </w:r>
            <w:r>
              <w:rPr>
                <w:rFonts w:hint="eastAsia" w:ascii="仿宋_GB2312" w:hAnsi="仿宋_GB2312" w:eastAsia="仿宋_GB2312" w:cs="仿宋_GB2312"/>
                <w:color w:val="000000"/>
                <w:sz w:val="28"/>
                <w:szCs w:val="28"/>
                <w:highlight w:val="none"/>
              </w:rPr>
              <w:t>：</w:t>
            </w:r>
            <w:r>
              <w:rPr>
                <w:rFonts w:hint="eastAsia" w:ascii="仿宋_GB2312" w:hAnsi="仿宋_GB2312" w:eastAsia="仿宋_GB2312" w:cs="仿宋_GB2312"/>
                <w:color w:val="000000"/>
                <w:sz w:val="28"/>
                <w:szCs w:val="28"/>
                <w:highlight w:val="none"/>
                <w:lang w:val="en-US" w:eastAsia="zh-CN"/>
              </w:rPr>
              <w:t>0</w:t>
            </w:r>
            <w:r>
              <w:rPr>
                <w:rFonts w:hint="eastAsia" w:ascii="仿宋_GB2312" w:hAnsi="仿宋_GB2312" w:eastAsia="仿宋_GB2312" w:cs="仿宋_GB2312"/>
                <w:color w:val="000000"/>
                <w:sz w:val="28"/>
                <w:szCs w:val="28"/>
                <w:highlight w:val="none"/>
              </w:rPr>
              <w:t>0</w:t>
            </w:r>
          </w:p>
        </w:tc>
        <w:tc>
          <w:tcPr>
            <w:tcW w:w="5342" w:type="dxa"/>
          </w:tcPr>
          <w:p>
            <w:pPr>
              <w:spacing w:line="560" w:lineRule="exact"/>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参赛队报到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1348" w:type="dxa"/>
            <w:vMerge w:val="continue"/>
          </w:tcPr>
          <w:p>
            <w:pPr>
              <w:spacing w:line="560" w:lineRule="exact"/>
              <w:rPr>
                <w:rFonts w:ascii="仿宋_GB2312" w:hAnsi="仿宋_GB2312" w:eastAsia="仿宋_GB2312" w:cs="仿宋_GB2312"/>
                <w:color w:val="000000"/>
                <w:sz w:val="28"/>
                <w:szCs w:val="28"/>
                <w:highlight w:val="none"/>
              </w:rPr>
            </w:pPr>
          </w:p>
        </w:tc>
        <w:tc>
          <w:tcPr>
            <w:tcW w:w="2428" w:type="dxa"/>
          </w:tcPr>
          <w:p>
            <w:pPr>
              <w:spacing w:line="560" w:lineRule="exact"/>
              <w:rPr>
                <w:rFonts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15：00－1</w:t>
            </w:r>
            <w:r>
              <w:rPr>
                <w:rFonts w:hint="eastAsia" w:ascii="仿宋_GB2312" w:hAnsi="仿宋_GB2312" w:eastAsia="仿宋_GB2312" w:cs="仿宋_GB2312"/>
                <w:color w:val="000000"/>
                <w:sz w:val="28"/>
                <w:szCs w:val="28"/>
                <w:highlight w:val="none"/>
                <w:lang w:val="en-US" w:eastAsia="zh-CN"/>
              </w:rPr>
              <w:t>6</w:t>
            </w:r>
            <w:r>
              <w:rPr>
                <w:rFonts w:hint="eastAsia" w:ascii="仿宋_GB2312" w:hAnsi="仿宋_GB2312" w:eastAsia="仿宋_GB2312" w:cs="仿宋_GB2312"/>
                <w:color w:val="000000"/>
                <w:sz w:val="28"/>
                <w:szCs w:val="28"/>
                <w:highlight w:val="none"/>
              </w:rPr>
              <w:t>：00</w:t>
            </w:r>
          </w:p>
        </w:tc>
        <w:tc>
          <w:tcPr>
            <w:tcW w:w="5342" w:type="dxa"/>
          </w:tcPr>
          <w:p>
            <w:pPr>
              <w:spacing w:line="560" w:lineRule="exact"/>
              <w:rPr>
                <w:rFonts w:hint="eastAsia" w:ascii="仿宋_GB2312" w:hAnsi="仿宋_GB2312" w:eastAsia="仿宋_GB2312" w:cs="仿宋_GB2312"/>
                <w:color w:val="000000"/>
                <w:sz w:val="28"/>
                <w:szCs w:val="28"/>
                <w:highlight w:val="none"/>
                <w:lang w:val="en-US" w:eastAsia="zh-CN"/>
              </w:rPr>
            </w:pPr>
            <w:r>
              <w:rPr>
                <w:rFonts w:hint="eastAsia" w:ascii="仿宋_GB2312" w:hAnsi="仿宋_GB2312" w:eastAsia="仿宋_GB2312" w:cs="仿宋_GB2312"/>
                <w:color w:val="000000"/>
                <w:sz w:val="28"/>
                <w:szCs w:val="28"/>
                <w:highlight w:val="none"/>
              </w:rPr>
              <w:t>大赛开幕式、参赛代表队领队会议</w:t>
            </w:r>
            <w:r>
              <w:rPr>
                <w:rFonts w:hint="eastAsia" w:ascii="仿宋_GB2312" w:hAnsi="仿宋_GB2312" w:eastAsia="仿宋_GB2312" w:cs="仿宋_GB2312"/>
                <w:color w:val="000000"/>
                <w:sz w:val="28"/>
                <w:szCs w:val="28"/>
                <w:highlight w:val="none"/>
                <w:lang w:val="en-US" w:eastAsia="zh-CN"/>
              </w:rPr>
              <w:t>并</w:t>
            </w:r>
            <w:r>
              <w:rPr>
                <w:rFonts w:hint="eastAsia" w:ascii="仿宋_GB2312" w:hAnsi="仿宋_GB2312" w:eastAsia="仿宋_GB2312" w:cs="仿宋_GB2312"/>
                <w:color w:val="000000"/>
                <w:sz w:val="28"/>
                <w:szCs w:val="28"/>
                <w:highlight w:val="none"/>
              </w:rPr>
              <w:t>抽签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1348" w:type="dxa"/>
            <w:vMerge w:val="continue"/>
          </w:tcPr>
          <w:p>
            <w:pPr>
              <w:spacing w:line="560" w:lineRule="exact"/>
              <w:rPr>
                <w:rFonts w:hint="eastAsia" w:ascii="仿宋_GB2312" w:hAnsi="仿宋_GB2312" w:eastAsia="仿宋_GB2312" w:cs="仿宋_GB2312"/>
                <w:color w:val="000000"/>
                <w:sz w:val="28"/>
                <w:szCs w:val="28"/>
                <w:highlight w:val="none"/>
              </w:rPr>
            </w:pPr>
          </w:p>
        </w:tc>
        <w:tc>
          <w:tcPr>
            <w:tcW w:w="2428" w:type="dxa"/>
          </w:tcPr>
          <w:p>
            <w:pPr>
              <w:spacing w:line="560" w:lineRule="exact"/>
              <w:rPr>
                <w:rFonts w:hint="default" w:ascii="仿宋_GB2312" w:hAnsi="仿宋_GB2312" w:eastAsia="仿宋_GB2312" w:cs="仿宋_GB2312"/>
                <w:color w:val="000000"/>
                <w:sz w:val="28"/>
                <w:szCs w:val="28"/>
                <w:highlight w:val="none"/>
                <w:lang w:val="en-US" w:eastAsia="zh-CN"/>
              </w:rPr>
            </w:pPr>
            <w:r>
              <w:rPr>
                <w:rFonts w:hint="eastAsia" w:ascii="仿宋_GB2312" w:hAnsi="仿宋_GB2312" w:eastAsia="仿宋_GB2312" w:cs="仿宋_GB2312"/>
                <w:color w:val="000000"/>
                <w:sz w:val="28"/>
                <w:szCs w:val="28"/>
                <w:highlight w:val="none"/>
              </w:rPr>
              <w:t>1</w:t>
            </w:r>
            <w:r>
              <w:rPr>
                <w:rFonts w:hint="eastAsia" w:ascii="仿宋_GB2312" w:hAnsi="仿宋_GB2312" w:eastAsia="仿宋_GB2312" w:cs="仿宋_GB2312"/>
                <w:color w:val="000000"/>
                <w:sz w:val="28"/>
                <w:szCs w:val="28"/>
                <w:highlight w:val="none"/>
                <w:lang w:val="en-US" w:eastAsia="zh-CN"/>
              </w:rPr>
              <w:t>6</w:t>
            </w:r>
            <w:r>
              <w:rPr>
                <w:rFonts w:hint="eastAsia" w:ascii="仿宋_GB2312" w:hAnsi="仿宋_GB2312" w:eastAsia="仿宋_GB2312" w:cs="仿宋_GB2312"/>
                <w:color w:val="000000"/>
                <w:sz w:val="28"/>
                <w:szCs w:val="28"/>
                <w:highlight w:val="none"/>
              </w:rPr>
              <w:t>：00－1</w:t>
            </w:r>
            <w:r>
              <w:rPr>
                <w:rFonts w:hint="eastAsia" w:ascii="仿宋_GB2312" w:hAnsi="仿宋_GB2312" w:eastAsia="仿宋_GB2312" w:cs="仿宋_GB2312"/>
                <w:color w:val="000000"/>
                <w:sz w:val="28"/>
                <w:szCs w:val="28"/>
                <w:highlight w:val="none"/>
                <w:lang w:val="en-US" w:eastAsia="zh-CN"/>
              </w:rPr>
              <w:t>8</w:t>
            </w:r>
            <w:r>
              <w:rPr>
                <w:rFonts w:hint="eastAsia" w:ascii="仿宋_GB2312" w:hAnsi="仿宋_GB2312" w:eastAsia="仿宋_GB2312" w:cs="仿宋_GB2312"/>
                <w:color w:val="000000"/>
                <w:sz w:val="28"/>
                <w:szCs w:val="28"/>
                <w:highlight w:val="none"/>
              </w:rPr>
              <w:t>：00</w:t>
            </w:r>
          </w:p>
        </w:tc>
        <w:tc>
          <w:tcPr>
            <w:tcW w:w="5342" w:type="dxa"/>
          </w:tcPr>
          <w:p>
            <w:pPr>
              <w:spacing w:line="560" w:lineRule="exact"/>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参赛代表队熟悉比赛场地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1348" w:type="dxa"/>
            <w:vMerge w:val="restart"/>
            <w:vAlign w:val="center"/>
          </w:tcPr>
          <w:p>
            <w:pPr>
              <w:spacing w:line="560" w:lineRule="exact"/>
              <w:jc w:val="center"/>
              <w:rPr>
                <w:rFonts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第2天</w:t>
            </w:r>
          </w:p>
        </w:tc>
        <w:tc>
          <w:tcPr>
            <w:tcW w:w="2428" w:type="dxa"/>
          </w:tcPr>
          <w:p>
            <w:pPr>
              <w:spacing w:line="560" w:lineRule="exact"/>
              <w:rPr>
                <w:rFonts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8：</w:t>
            </w:r>
            <w:r>
              <w:rPr>
                <w:rFonts w:hint="eastAsia" w:ascii="仿宋_GB2312" w:hAnsi="仿宋_GB2312" w:eastAsia="仿宋_GB2312" w:cs="仿宋_GB2312"/>
                <w:color w:val="000000"/>
                <w:sz w:val="28"/>
                <w:szCs w:val="28"/>
                <w:highlight w:val="none"/>
                <w:lang w:val="en-US" w:eastAsia="zh-CN"/>
              </w:rPr>
              <w:t>0</w:t>
            </w:r>
            <w:r>
              <w:rPr>
                <w:rFonts w:hint="eastAsia" w:ascii="仿宋_GB2312" w:hAnsi="仿宋_GB2312" w:eastAsia="仿宋_GB2312" w:cs="仿宋_GB2312"/>
                <w:color w:val="000000"/>
                <w:sz w:val="28"/>
                <w:szCs w:val="28"/>
                <w:highlight w:val="none"/>
              </w:rPr>
              <w:t>0－</w:t>
            </w:r>
            <w:r>
              <w:rPr>
                <w:rFonts w:hint="eastAsia" w:ascii="仿宋_GB2312" w:hAnsi="仿宋_GB2312" w:eastAsia="仿宋_GB2312" w:cs="仿宋_GB2312"/>
                <w:color w:val="000000"/>
                <w:sz w:val="28"/>
                <w:szCs w:val="28"/>
                <w:highlight w:val="none"/>
                <w:lang w:val="en-US" w:eastAsia="zh-CN"/>
              </w:rPr>
              <w:t>8</w:t>
            </w:r>
            <w:r>
              <w:rPr>
                <w:rFonts w:hint="eastAsia" w:ascii="仿宋_GB2312" w:hAnsi="仿宋_GB2312" w:eastAsia="仿宋_GB2312" w:cs="仿宋_GB2312"/>
                <w:color w:val="000000"/>
                <w:sz w:val="28"/>
                <w:szCs w:val="28"/>
                <w:highlight w:val="none"/>
              </w:rPr>
              <w:t>：</w:t>
            </w:r>
            <w:r>
              <w:rPr>
                <w:rFonts w:hint="eastAsia" w:ascii="仿宋_GB2312" w:hAnsi="仿宋_GB2312" w:eastAsia="仿宋_GB2312" w:cs="仿宋_GB2312"/>
                <w:color w:val="000000"/>
                <w:sz w:val="28"/>
                <w:szCs w:val="28"/>
                <w:highlight w:val="none"/>
                <w:lang w:val="en-US" w:eastAsia="zh-CN"/>
              </w:rPr>
              <w:t>2</w:t>
            </w:r>
            <w:r>
              <w:rPr>
                <w:rFonts w:hint="eastAsia" w:ascii="仿宋_GB2312" w:hAnsi="仿宋_GB2312" w:eastAsia="仿宋_GB2312" w:cs="仿宋_GB2312"/>
                <w:color w:val="000000"/>
                <w:sz w:val="28"/>
                <w:szCs w:val="28"/>
                <w:highlight w:val="none"/>
              </w:rPr>
              <w:t>0</w:t>
            </w:r>
          </w:p>
        </w:tc>
        <w:tc>
          <w:tcPr>
            <w:tcW w:w="5342" w:type="dxa"/>
          </w:tcPr>
          <w:p>
            <w:pPr>
              <w:spacing w:line="560" w:lineRule="exact"/>
              <w:rPr>
                <w:rFonts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lang w:val="en-US" w:eastAsia="zh-CN"/>
              </w:rPr>
              <w:t>上午组</w:t>
            </w:r>
            <w:r>
              <w:rPr>
                <w:rFonts w:hint="eastAsia" w:ascii="仿宋_GB2312" w:hAnsi="仿宋_GB2312" w:eastAsia="仿宋_GB2312" w:cs="仿宋_GB2312"/>
                <w:color w:val="000000"/>
                <w:sz w:val="28"/>
                <w:szCs w:val="28"/>
                <w:highlight w:val="none"/>
              </w:rPr>
              <w:t>检录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1348" w:type="dxa"/>
            <w:vMerge w:val="continue"/>
          </w:tcPr>
          <w:p>
            <w:pPr>
              <w:spacing w:line="560" w:lineRule="exact"/>
              <w:rPr>
                <w:rFonts w:ascii="仿宋_GB2312" w:hAnsi="仿宋_GB2312" w:eastAsia="仿宋_GB2312" w:cs="仿宋_GB2312"/>
                <w:color w:val="000000"/>
                <w:sz w:val="28"/>
                <w:szCs w:val="28"/>
                <w:highlight w:val="none"/>
              </w:rPr>
            </w:pPr>
          </w:p>
        </w:tc>
        <w:tc>
          <w:tcPr>
            <w:tcW w:w="2428" w:type="dxa"/>
          </w:tcPr>
          <w:p>
            <w:pPr>
              <w:spacing w:line="560" w:lineRule="exact"/>
              <w:rPr>
                <w:rFonts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lang w:val="en-US" w:eastAsia="zh-CN"/>
              </w:rPr>
              <w:t>8</w:t>
            </w:r>
            <w:r>
              <w:rPr>
                <w:rFonts w:hint="eastAsia" w:ascii="仿宋_GB2312" w:hAnsi="仿宋_GB2312" w:eastAsia="仿宋_GB2312" w:cs="仿宋_GB2312"/>
                <w:color w:val="000000"/>
                <w:sz w:val="28"/>
                <w:szCs w:val="28"/>
                <w:highlight w:val="none"/>
              </w:rPr>
              <w:t>：</w:t>
            </w:r>
            <w:r>
              <w:rPr>
                <w:rFonts w:hint="eastAsia" w:ascii="仿宋_GB2312" w:hAnsi="仿宋_GB2312" w:eastAsia="仿宋_GB2312" w:cs="仿宋_GB2312"/>
                <w:color w:val="000000"/>
                <w:sz w:val="28"/>
                <w:szCs w:val="28"/>
                <w:highlight w:val="none"/>
                <w:lang w:val="en-US" w:eastAsia="zh-CN"/>
              </w:rPr>
              <w:t>3</w:t>
            </w:r>
            <w:r>
              <w:rPr>
                <w:rFonts w:hint="eastAsia" w:ascii="仿宋_GB2312" w:hAnsi="仿宋_GB2312" w:eastAsia="仿宋_GB2312" w:cs="仿宋_GB2312"/>
                <w:color w:val="000000"/>
                <w:sz w:val="28"/>
                <w:szCs w:val="28"/>
                <w:highlight w:val="none"/>
              </w:rPr>
              <w:t>0－</w:t>
            </w:r>
            <w:r>
              <w:rPr>
                <w:rFonts w:hint="eastAsia" w:ascii="仿宋_GB2312" w:hAnsi="仿宋_GB2312" w:eastAsia="仿宋_GB2312" w:cs="仿宋_GB2312"/>
                <w:color w:val="000000"/>
                <w:sz w:val="28"/>
                <w:szCs w:val="28"/>
                <w:highlight w:val="none"/>
                <w:lang w:val="en-US" w:eastAsia="zh-CN"/>
              </w:rPr>
              <w:t>9</w:t>
            </w:r>
            <w:r>
              <w:rPr>
                <w:rFonts w:hint="eastAsia" w:ascii="仿宋_GB2312" w:hAnsi="仿宋_GB2312" w:eastAsia="仿宋_GB2312" w:cs="仿宋_GB2312"/>
                <w:color w:val="000000"/>
                <w:sz w:val="28"/>
                <w:szCs w:val="28"/>
                <w:highlight w:val="none"/>
              </w:rPr>
              <w:t>：</w:t>
            </w:r>
            <w:r>
              <w:rPr>
                <w:rFonts w:hint="eastAsia" w:ascii="仿宋_GB2312" w:hAnsi="仿宋_GB2312" w:eastAsia="仿宋_GB2312" w:cs="仿宋_GB2312"/>
                <w:color w:val="000000"/>
                <w:sz w:val="28"/>
                <w:szCs w:val="28"/>
                <w:highlight w:val="none"/>
                <w:lang w:val="en-US" w:eastAsia="zh-CN"/>
              </w:rPr>
              <w:t>3</w:t>
            </w:r>
            <w:r>
              <w:rPr>
                <w:rFonts w:hint="eastAsia" w:ascii="仿宋_GB2312" w:hAnsi="仿宋_GB2312" w:eastAsia="仿宋_GB2312" w:cs="仿宋_GB2312"/>
                <w:color w:val="000000"/>
                <w:sz w:val="28"/>
                <w:szCs w:val="28"/>
                <w:highlight w:val="none"/>
              </w:rPr>
              <w:t>0</w:t>
            </w:r>
          </w:p>
        </w:tc>
        <w:tc>
          <w:tcPr>
            <w:tcW w:w="5342" w:type="dxa"/>
            <w:shd w:val="clear" w:color="auto" w:fill="auto"/>
            <w:vAlign w:val="top"/>
          </w:tcPr>
          <w:p>
            <w:pPr>
              <w:spacing w:line="560" w:lineRule="exact"/>
              <w:rPr>
                <w:rFonts w:hint="default" w:ascii="仿宋_GB2312" w:hAnsi="仿宋_GB2312" w:eastAsia="仿宋_GB2312" w:cs="仿宋_GB2312"/>
                <w:color w:val="000000"/>
                <w:kern w:val="2"/>
                <w:sz w:val="28"/>
                <w:szCs w:val="28"/>
                <w:highlight w:val="none"/>
                <w:lang w:val="en-US" w:eastAsia="zh-CN" w:bidi="ar-SA"/>
              </w:rPr>
            </w:pPr>
            <w:r>
              <w:rPr>
                <w:rFonts w:hint="eastAsia" w:ascii="仿宋_GB2312" w:hAnsi="仿宋_GB2312" w:eastAsia="仿宋_GB2312" w:cs="仿宋_GB2312"/>
                <w:color w:val="000000"/>
                <w:sz w:val="28"/>
                <w:szCs w:val="28"/>
                <w:highlight w:val="none"/>
                <w:lang w:val="en-US" w:eastAsia="zh-CN"/>
              </w:rPr>
              <w:t>当天比赛的第1队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1348" w:type="dxa"/>
            <w:vMerge w:val="continue"/>
          </w:tcPr>
          <w:p>
            <w:pPr>
              <w:spacing w:line="560" w:lineRule="exact"/>
              <w:rPr>
                <w:rFonts w:ascii="仿宋_GB2312" w:hAnsi="仿宋_GB2312" w:eastAsia="仿宋_GB2312" w:cs="仿宋_GB2312"/>
                <w:color w:val="000000"/>
                <w:sz w:val="28"/>
                <w:szCs w:val="28"/>
                <w:highlight w:val="none"/>
              </w:rPr>
            </w:pPr>
          </w:p>
        </w:tc>
        <w:tc>
          <w:tcPr>
            <w:tcW w:w="2428" w:type="dxa"/>
            <w:shd w:val="clear" w:color="auto" w:fill="auto"/>
            <w:vAlign w:val="top"/>
          </w:tcPr>
          <w:p>
            <w:pPr>
              <w:spacing w:line="560" w:lineRule="exact"/>
              <w:rPr>
                <w:rFonts w:hint="default" w:ascii="仿宋_GB2312" w:hAnsi="仿宋_GB2312" w:eastAsia="仿宋_GB2312" w:cs="仿宋_GB2312"/>
                <w:color w:val="000000"/>
                <w:kern w:val="2"/>
                <w:sz w:val="28"/>
                <w:szCs w:val="28"/>
                <w:highlight w:val="none"/>
                <w:lang w:val="en-US" w:eastAsia="zh-CN" w:bidi="ar-SA"/>
              </w:rPr>
            </w:pPr>
            <w:r>
              <w:rPr>
                <w:rFonts w:hint="eastAsia" w:ascii="仿宋_GB2312" w:hAnsi="仿宋_GB2312" w:eastAsia="仿宋_GB2312" w:cs="仿宋_GB2312"/>
                <w:color w:val="000000"/>
                <w:sz w:val="28"/>
                <w:szCs w:val="28"/>
                <w:highlight w:val="none"/>
                <w:lang w:val="en-US" w:eastAsia="zh-CN"/>
              </w:rPr>
              <w:t>9</w:t>
            </w:r>
            <w:r>
              <w:rPr>
                <w:rFonts w:hint="eastAsia" w:ascii="仿宋_GB2312" w:hAnsi="仿宋_GB2312" w:eastAsia="仿宋_GB2312" w:cs="仿宋_GB2312"/>
                <w:color w:val="000000"/>
                <w:sz w:val="28"/>
                <w:szCs w:val="28"/>
                <w:highlight w:val="none"/>
              </w:rPr>
              <w:t>：</w:t>
            </w:r>
            <w:r>
              <w:rPr>
                <w:rFonts w:hint="eastAsia" w:ascii="仿宋_GB2312" w:hAnsi="仿宋_GB2312" w:eastAsia="仿宋_GB2312" w:cs="仿宋_GB2312"/>
                <w:color w:val="000000"/>
                <w:sz w:val="28"/>
                <w:szCs w:val="28"/>
                <w:highlight w:val="none"/>
                <w:lang w:val="en-US" w:eastAsia="zh-CN"/>
              </w:rPr>
              <w:t>5</w:t>
            </w:r>
            <w:r>
              <w:rPr>
                <w:rFonts w:hint="eastAsia" w:ascii="仿宋_GB2312" w:hAnsi="仿宋_GB2312" w:eastAsia="仿宋_GB2312" w:cs="仿宋_GB2312"/>
                <w:color w:val="000000"/>
                <w:sz w:val="28"/>
                <w:szCs w:val="28"/>
                <w:highlight w:val="none"/>
              </w:rPr>
              <w:t>0－</w:t>
            </w:r>
            <w:r>
              <w:rPr>
                <w:rFonts w:hint="eastAsia" w:ascii="仿宋_GB2312" w:hAnsi="仿宋_GB2312" w:eastAsia="仿宋_GB2312" w:cs="仿宋_GB2312"/>
                <w:color w:val="000000"/>
                <w:sz w:val="28"/>
                <w:szCs w:val="28"/>
                <w:highlight w:val="none"/>
                <w:lang w:val="en-US" w:eastAsia="zh-CN"/>
              </w:rPr>
              <w:t>10</w:t>
            </w:r>
            <w:r>
              <w:rPr>
                <w:rFonts w:hint="eastAsia" w:ascii="仿宋_GB2312" w:hAnsi="仿宋_GB2312" w:eastAsia="仿宋_GB2312" w:cs="仿宋_GB2312"/>
                <w:color w:val="000000"/>
                <w:sz w:val="28"/>
                <w:szCs w:val="28"/>
                <w:highlight w:val="none"/>
              </w:rPr>
              <w:t>：</w:t>
            </w:r>
            <w:r>
              <w:rPr>
                <w:rFonts w:hint="eastAsia" w:ascii="仿宋_GB2312" w:hAnsi="仿宋_GB2312" w:eastAsia="仿宋_GB2312" w:cs="仿宋_GB2312"/>
                <w:color w:val="000000"/>
                <w:sz w:val="28"/>
                <w:szCs w:val="28"/>
                <w:highlight w:val="none"/>
                <w:lang w:val="en-US" w:eastAsia="zh-CN"/>
              </w:rPr>
              <w:t>5</w:t>
            </w:r>
            <w:r>
              <w:rPr>
                <w:rFonts w:hint="eastAsia" w:ascii="仿宋_GB2312" w:hAnsi="仿宋_GB2312" w:eastAsia="仿宋_GB2312" w:cs="仿宋_GB2312"/>
                <w:color w:val="000000"/>
                <w:sz w:val="28"/>
                <w:szCs w:val="28"/>
                <w:highlight w:val="none"/>
              </w:rPr>
              <w:t>0</w:t>
            </w:r>
          </w:p>
        </w:tc>
        <w:tc>
          <w:tcPr>
            <w:tcW w:w="5342" w:type="dxa"/>
            <w:shd w:val="clear" w:color="auto" w:fill="auto"/>
            <w:vAlign w:val="top"/>
          </w:tcPr>
          <w:p>
            <w:pPr>
              <w:spacing w:line="560" w:lineRule="exact"/>
              <w:rPr>
                <w:rFonts w:hint="eastAsia" w:ascii="仿宋_GB2312" w:hAnsi="仿宋_GB2312" w:eastAsia="仿宋_GB2312" w:cs="仿宋_GB2312"/>
                <w:color w:val="000000"/>
                <w:kern w:val="2"/>
                <w:sz w:val="28"/>
                <w:szCs w:val="28"/>
                <w:highlight w:val="none"/>
                <w:lang w:val="en-US" w:eastAsia="zh-CN" w:bidi="ar-SA"/>
              </w:rPr>
            </w:pPr>
            <w:r>
              <w:rPr>
                <w:rFonts w:hint="eastAsia" w:ascii="仿宋_GB2312" w:hAnsi="仿宋_GB2312" w:eastAsia="仿宋_GB2312" w:cs="仿宋_GB2312"/>
                <w:color w:val="000000"/>
                <w:sz w:val="28"/>
                <w:szCs w:val="28"/>
                <w:highlight w:val="none"/>
                <w:lang w:val="en-US" w:eastAsia="zh-CN"/>
              </w:rPr>
              <w:t>当天比赛的第2队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1348" w:type="dxa"/>
            <w:vMerge w:val="continue"/>
          </w:tcPr>
          <w:p>
            <w:pPr>
              <w:spacing w:line="560" w:lineRule="exact"/>
              <w:rPr>
                <w:rFonts w:ascii="仿宋_GB2312" w:hAnsi="仿宋_GB2312" w:eastAsia="仿宋_GB2312" w:cs="仿宋_GB2312"/>
                <w:color w:val="000000"/>
                <w:sz w:val="28"/>
                <w:szCs w:val="28"/>
                <w:highlight w:val="none"/>
              </w:rPr>
            </w:pPr>
          </w:p>
        </w:tc>
        <w:tc>
          <w:tcPr>
            <w:tcW w:w="2428" w:type="dxa"/>
            <w:shd w:val="clear" w:color="auto" w:fill="auto"/>
            <w:vAlign w:val="top"/>
          </w:tcPr>
          <w:p>
            <w:pPr>
              <w:spacing w:line="560" w:lineRule="exact"/>
              <w:jc w:val="center"/>
              <w:rPr>
                <w:rFonts w:hint="default" w:ascii="仿宋_GB2312" w:hAnsi="仿宋_GB2312" w:eastAsia="仿宋_GB2312" w:cs="仿宋_GB2312"/>
                <w:color w:val="000000"/>
                <w:kern w:val="2"/>
                <w:sz w:val="28"/>
                <w:szCs w:val="28"/>
                <w:highlight w:val="none"/>
                <w:lang w:val="en-US" w:eastAsia="zh-CN" w:bidi="ar-SA"/>
              </w:rPr>
            </w:pPr>
            <w:r>
              <w:rPr>
                <w:rFonts w:hint="eastAsia" w:ascii="微软雅黑" w:hAnsi="微软雅黑" w:eastAsia="微软雅黑" w:cs="微软雅黑"/>
                <w:color w:val="000000"/>
                <w:kern w:val="2"/>
                <w:sz w:val="28"/>
                <w:szCs w:val="28"/>
                <w:highlight w:val="none"/>
                <w:lang w:val="en-US" w:eastAsia="zh-CN" w:bidi="ar-SA"/>
              </w:rPr>
              <w:t>……</w:t>
            </w:r>
          </w:p>
        </w:tc>
        <w:tc>
          <w:tcPr>
            <w:tcW w:w="5342" w:type="dxa"/>
            <w:shd w:val="clear" w:color="auto" w:fill="auto"/>
            <w:vAlign w:val="top"/>
          </w:tcPr>
          <w:p>
            <w:pPr>
              <w:spacing w:line="560" w:lineRule="exact"/>
              <w:rPr>
                <w:rFonts w:hint="default" w:ascii="仿宋_GB2312" w:hAnsi="仿宋_GB2312" w:eastAsia="仿宋_GB2312" w:cs="仿宋_GB2312"/>
                <w:color w:val="000000"/>
                <w:kern w:val="2"/>
                <w:sz w:val="28"/>
                <w:szCs w:val="28"/>
                <w:highlight w:val="none"/>
                <w:lang w:val="en-US" w:eastAsia="zh-CN" w:bidi="ar-SA"/>
              </w:rPr>
            </w:pPr>
            <w:r>
              <w:rPr>
                <w:rFonts w:hint="eastAsia" w:ascii="仿宋_GB2312" w:hAnsi="仿宋_GB2312" w:eastAsia="仿宋_GB2312" w:cs="仿宋_GB2312"/>
                <w:color w:val="000000"/>
                <w:sz w:val="28"/>
                <w:szCs w:val="28"/>
                <w:highlight w:val="none"/>
                <w:lang w:val="en-US" w:eastAsia="zh-CN"/>
              </w:rPr>
              <w:t>以此类推（具体时间裁判组确定）</w:t>
            </w:r>
          </w:p>
        </w:tc>
      </w:tr>
    </w:tbl>
    <w:p>
      <w:pPr>
        <w:pStyle w:val="3"/>
        <w:spacing w:before="156" w:after="156"/>
        <w:ind w:firstLine="562" w:firstLineChars="200"/>
        <w:rPr>
          <w:rFonts w:hint="eastAsia" w:ascii="仿宋_GB2312" w:hAnsi="仿宋_GB2312" w:eastAsia="仿宋_GB2312" w:cs="仿宋_GB2312"/>
          <w:b/>
          <w:bCs w:val="0"/>
          <w:sz w:val="28"/>
          <w:szCs w:val="28"/>
          <w:lang w:val="en-US" w:eastAsia="zh-CN"/>
        </w:rPr>
      </w:pPr>
      <w:r>
        <w:rPr>
          <w:rFonts w:hint="eastAsia" w:ascii="仿宋_GB2312" w:hAnsi="仿宋_GB2312" w:eastAsia="仿宋_GB2312" w:cs="仿宋_GB2312"/>
          <w:b/>
          <w:bCs w:val="0"/>
          <w:sz w:val="28"/>
          <w:szCs w:val="28"/>
          <w:lang w:val="en-US" w:eastAsia="zh-CN"/>
        </w:rPr>
        <w:t>七、竞赛规则</w:t>
      </w:r>
    </w:p>
    <w:p>
      <w:pPr>
        <w:pStyle w:val="4"/>
        <w:keepNext w:val="0"/>
        <w:keepLines w:val="0"/>
        <w:pageBreakBefore w:val="0"/>
        <w:kinsoku/>
        <w:wordWrap/>
        <w:overflowPunct/>
        <w:topLinePunct w:val="0"/>
        <w:autoSpaceDE/>
        <w:autoSpaceDN/>
        <w:bidi w:val="0"/>
        <w:spacing w:line="560" w:lineRule="exact"/>
        <w:ind w:left="0" w:firstLine="562" w:firstLineChars="200"/>
        <w:textAlignment w:val="auto"/>
        <w:rPr>
          <w:rFonts w:ascii="Times New Roman" w:hAnsi="Times New Roman" w:eastAsia="楷体"/>
          <w:sz w:val="28"/>
          <w:szCs w:val="28"/>
        </w:rPr>
      </w:pPr>
      <w:r>
        <w:rPr>
          <w:rFonts w:ascii="Times New Roman" w:hAnsi="Times New Roman" w:eastAsia="楷体"/>
          <w:sz w:val="28"/>
          <w:szCs w:val="28"/>
        </w:rPr>
        <w:t>（一）选手报名</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ascii="Times New Roman" w:hAnsi="Times New Roman" w:eastAsia="仿宋_GB2312"/>
          <w:sz w:val="28"/>
          <w:szCs w:val="28"/>
        </w:rPr>
      </w:pPr>
      <w:r>
        <w:rPr>
          <w:rFonts w:ascii="Times New Roman" w:hAnsi="Times New Roman" w:eastAsia="仿宋_GB2312"/>
          <w:sz w:val="28"/>
          <w:szCs w:val="28"/>
        </w:rPr>
        <w:t>1.各</w:t>
      </w:r>
      <w:r>
        <w:rPr>
          <w:rFonts w:hint="eastAsia" w:ascii="Times New Roman" w:hAnsi="Times New Roman" w:eastAsia="仿宋_GB2312"/>
          <w:sz w:val="28"/>
          <w:szCs w:val="28"/>
        </w:rPr>
        <w:t>参赛学校</w:t>
      </w:r>
      <w:r>
        <w:rPr>
          <w:rFonts w:ascii="Times New Roman" w:hAnsi="Times New Roman" w:eastAsia="仿宋_GB2312"/>
          <w:sz w:val="28"/>
          <w:szCs w:val="28"/>
        </w:rPr>
        <w:t>行政部门负责本</w:t>
      </w:r>
      <w:r>
        <w:rPr>
          <w:rFonts w:hint="eastAsia" w:ascii="Times New Roman" w:hAnsi="Times New Roman" w:eastAsia="仿宋_GB2312"/>
          <w:sz w:val="28"/>
          <w:szCs w:val="28"/>
        </w:rPr>
        <w:t>校</w:t>
      </w:r>
      <w:r>
        <w:rPr>
          <w:rFonts w:ascii="Times New Roman" w:hAnsi="Times New Roman" w:eastAsia="仿宋_GB2312"/>
          <w:sz w:val="28"/>
          <w:szCs w:val="28"/>
        </w:rPr>
        <w:t>参赛选手的资格审查和组织报名工作。</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ascii="Times New Roman" w:hAnsi="Times New Roman" w:eastAsia="仿宋_GB2312"/>
          <w:sz w:val="28"/>
          <w:szCs w:val="28"/>
        </w:rPr>
      </w:pPr>
      <w:r>
        <w:rPr>
          <w:rFonts w:ascii="Times New Roman" w:hAnsi="Times New Roman" w:eastAsia="仿宋_GB2312"/>
          <w:sz w:val="28"/>
          <w:szCs w:val="28"/>
        </w:rPr>
        <w:t>2.参赛选手和指导教师报名获得确认后不得随意更换。如备赛过程中参赛选手和指导教师因故无法参赛，须由</w:t>
      </w:r>
      <w:r>
        <w:rPr>
          <w:rFonts w:hint="eastAsia" w:ascii="Times New Roman" w:hAnsi="Times New Roman" w:eastAsia="仿宋_GB2312"/>
          <w:sz w:val="28"/>
          <w:szCs w:val="28"/>
        </w:rPr>
        <w:t>参赛学校</w:t>
      </w:r>
      <w:r>
        <w:rPr>
          <w:rFonts w:ascii="Times New Roman" w:hAnsi="Times New Roman" w:eastAsia="仿宋_GB2312"/>
          <w:sz w:val="28"/>
          <w:szCs w:val="28"/>
        </w:rPr>
        <w:t>行政部门于本赛项开赛10个工作日之前出具书面说明，经大赛执委会办公室核实后予以更换。</w:t>
      </w:r>
    </w:p>
    <w:p>
      <w:pPr>
        <w:pStyle w:val="4"/>
        <w:keepNext w:val="0"/>
        <w:keepLines w:val="0"/>
        <w:pageBreakBefore w:val="0"/>
        <w:kinsoku/>
        <w:wordWrap/>
        <w:overflowPunct/>
        <w:topLinePunct w:val="0"/>
        <w:autoSpaceDE/>
        <w:autoSpaceDN/>
        <w:bidi w:val="0"/>
        <w:spacing w:line="560" w:lineRule="exact"/>
        <w:ind w:left="0" w:firstLine="562" w:firstLineChars="200"/>
        <w:textAlignment w:val="auto"/>
        <w:rPr>
          <w:rFonts w:ascii="Times New Roman" w:hAnsi="Times New Roman" w:eastAsia="楷体"/>
          <w:sz w:val="28"/>
          <w:szCs w:val="28"/>
        </w:rPr>
      </w:pPr>
      <w:r>
        <w:rPr>
          <w:rFonts w:ascii="Times New Roman" w:hAnsi="Times New Roman" w:eastAsia="楷体"/>
          <w:sz w:val="28"/>
          <w:szCs w:val="28"/>
        </w:rPr>
        <w:t>（二）熟悉场地</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ascii="Times New Roman" w:hAnsi="Times New Roman" w:eastAsia="仿宋_GB2312"/>
          <w:sz w:val="28"/>
          <w:szCs w:val="28"/>
        </w:rPr>
      </w:pPr>
      <w:r>
        <w:rPr>
          <w:rFonts w:ascii="Times New Roman" w:hAnsi="Times New Roman" w:eastAsia="仿宋_GB2312"/>
          <w:sz w:val="28"/>
          <w:szCs w:val="28"/>
        </w:rPr>
        <w:t>1.比赛前安排参赛队熟悉比赛场地，</w:t>
      </w:r>
      <w:r>
        <w:rPr>
          <w:rFonts w:hint="eastAsia" w:ascii="Times New Roman" w:hAnsi="Times New Roman" w:eastAsia="仿宋_GB2312"/>
          <w:sz w:val="28"/>
          <w:szCs w:val="28"/>
        </w:rPr>
        <w:t>熟悉</w:t>
      </w:r>
      <w:r>
        <w:rPr>
          <w:rFonts w:ascii="Times New Roman" w:hAnsi="Times New Roman" w:eastAsia="仿宋_GB2312"/>
          <w:sz w:val="28"/>
          <w:szCs w:val="28"/>
        </w:rPr>
        <w:t>竞赛纪律和有关事宜。</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ascii="Times New Roman" w:hAnsi="Times New Roman" w:eastAsia="仿宋_GB2312"/>
          <w:sz w:val="28"/>
          <w:szCs w:val="28"/>
        </w:rPr>
      </w:pPr>
      <w:r>
        <w:rPr>
          <w:rFonts w:ascii="Times New Roman" w:hAnsi="Times New Roman" w:eastAsia="仿宋_GB2312"/>
          <w:sz w:val="28"/>
          <w:szCs w:val="28"/>
        </w:rPr>
        <w:t>2.参赛队</w:t>
      </w:r>
      <w:r>
        <w:rPr>
          <w:rFonts w:hint="eastAsia" w:ascii="Times New Roman" w:hAnsi="Times New Roman" w:eastAsia="仿宋_GB2312"/>
          <w:sz w:val="28"/>
          <w:szCs w:val="28"/>
          <w:lang w:val="en-US" w:eastAsia="zh-CN"/>
        </w:rPr>
        <w:t>领队</w:t>
      </w:r>
      <w:r>
        <w:rPr>
          <w:rFonts w:ascii="Times New Roman" w:hAnsi="Times New Roman" w:eastAsia="仿宋_GB2312"/>
          <w:sz w:val="28"/>
          <w:szCs w:val="28"/>
        </w:rPr>
        <w:t>抽签参赛</w:t>
      </w:r>
      <w:r>
        <w:rPr>
          <w:rFonts w:hint="eastAsia" w:ascii="Times New Roman" w:hAnsi="Times New Roman" w:eastAsia="仿宋_GB2312"/>
          <w:sz w:val="28"/>
          <w:szCs w:val="28"/>
          <w:lang w:val="en-US" w:eastAsia="zh-CN"/>
        </w:rPr>
        <w:t>序</w:t>
      </w:r>
      <w:r>
        <w:rPr>
          <w:rFonts w:ascii="Times New Roman" w:hAnsi="Times New Roman" w:eastAsia="仿宋_GB2312"/>
          <w:sz w:val="28"/>
          <w:szCs w:val="28"/>
        </w:rPr>
        <w:t>号。</w:t>
      </w:r>
    </w:p>
    <w:p>
      <w:pPr>
        <w:pStyle w:val="4"/>
        <w:keepNext w:val="0"/>
        <w:keepLines w:val="0"/>
        <w:pageBreakBefore w:val="0"/>
        <w:kinsoku/>
        <w:wordWrap/>
        <w:overflowPunct/>
        <w:topLinePunct w:val="0"/>
        <w:autoSpaceDE/>
        <w:autoSpaceDN/>
        <w:bidi w:val="0"/>
        <w:spacing w:line="560" w:lineRule="exact"/>
        <w:ind w:left="0" w:firstLine="562" w:firstLineChars="200"/>
        <w:textAlignment w:val="auto"/>
        <w:rPr>
          <w:rFonts w:ascii="Times New Roman" w:hAnsi="Times New Roman" w:eastAsia="楷体"/>
          <w:sz w:val="28"/>
          <w:szCs w:val="28"/>
        </w:rPr>
      </w:pPr>
      <w:r>
        <w:rPr>
          <w:rFonts w:ascii="Times New Roman" w:hAnsi="Times New Roman" w:eastAsia="楷体"/>
          <w:sz w:val="28"/>
          <w:szCs w:val="28"/>
        </w:rPr>
        <w:t>（三）入场规则</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ascii="Times New Roman" w:hAnsi="Times New Roman" w:eastAsia="仿宋_GB2312"/>
          <w:sz w:val="28"/>
          <w:szCs w:val="28"/>
        </w:rPr>
      </w:pPr>
      <w:r>
        <w:rPr>
          <w:rFonts w:ascii="Times New Roman" w:hAnsi="Times New Roman" w:eastAsia="仿宋_GB2312"/>
          <w:sz w:val="28"/>
          <w:szCs w:val="28"/>
        </w:rPr>
        <w:t>1.参赛选手应在引导员指引下提前5分钟进入竞赛场地，迟到者不予参加比赛，并依照项目裁判长统一指令开始比赛。</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ascii="Times New Roman" w:hAnsi="Times New Roman" w:eastAsia="仿宋_GB2312"/>
          <w:sz w:val="28"/>
          <w:szCs w:val="28"/>
        </w:rPr>
      </w:pPr>
      <w:r>
        <w:rPr>
          <w:rFonts w:ascii="Times New Roman" w:hAnsi="Times New Roman" w:eastAsia="仿宋_GB2312"/>
          <w:sz w:val="28"/>
          <w:szCs w:val="28"/>
        </w:rPr>
        <w:t>2.参赛选手进入赛场必须听从现场裁判人员的统一布置和安排，比赛期间必须严格遵守安全操作规程，确保人身和设备安全。</w:t>
      </w:r>
    </w:p>
    <w:p>
      <w:pPr>
        <w:pStyle w:val="4"/>
        <w:keepNext w:val="0"/>
        <w:keepLines w:val="0"/>
        <w:pageBreakBefore w:val="0"/>
        <w:kinsoku/>
        <w:wordWrap/>
        <w:overflowPunct/>
        <w:topLinePunct w:val="0"/>
        <w:autoSpaceDE/>
        <w:autoSpaceDN/>
        <w:bidi w:val="0"/>
        <w:spacing w:line="560" w:lineRule="exact"/>
        <w:ind w:left="0" w:firstLine="562" w:firstLineChars="200"/>
        <w:textAlignment w:val="auto"/>
        <w:rPr>
          <w:rFonts w:ascii="Times New Roman" w:hAnsi="Times New Roman" w:eastAsia="楷体"/>
          <w:sz w:val="28"/>
          <w:szCs w:val="28"/>
        </w:rPr>
      </w:pPr>
      <w:r>
        <w:rPr>
          <w:rFonts w:ascii="Times New Roman" w:hAnsi="Times New Roman" w:eastAsia="楷体"/>
          <w:sz w:val="28"/>
          <w:szCs w:val="28"/>
        </w:rPr>
        <w:t>（四）赛场规则</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ascii="Times New Roman" w:hAnsi="Times New Roman" w:eastAsia="仿宋_GB2312"/>
          <w:sz w:val="28"/>
          <w:szCs w:val="28"/>
        </w:rPr>
      </w:pPr>
      <w:r>
        <w:rPr>
          <w:rFonts w:ascii="Times New Roman" w:hAnsi="Times New Roman" w:eastAsia="仿宋_GB2312"/>
          <w:sz w:val="28"/>
          <w:szCs w:val="28"/>
        </w:rPr>
        <w:t>1.赛场提供竞赛指定的专用材料与工具，参赛选手如需自带工具，报到时向裁判组提出书面申请。</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ascii="Times New Roman" w:hAnsi="Times New Roman" w:eastAsia="仿宋_GB2312"/>
          <w:sz w:val="28"/>
          <w:szCs w:val="28"/>
        </w:rPr>
      </w:pPr>
      <w:r>
        <w:rPr>
          <w:rFonts w:ascii="Times New Roman" w:hAnsi="Times New Roman" w:eastAsia="仿宋_GB2312"/>
          <w:sz w:val="28"/>
          <w:szCs w:val="28"/>
        </w:rPr>
        <w:t>2.参赛选手应认真阅读竞赛须知，自觉遵守赛场纪律，按竞赛规则、项目与赛场要求进行竞赛，不得携带任何通讯及存储设备</w:t>
      </w:r>
      <w:r>
        <w:rPr>
          <w:rFonts w:hint="eastAsia" w:ascii="Times New Roman" w:hAnsi="Times New Roman" w:eastAsia="仿宋_GB2312"/>
          <w:sz w:val="28"/>
          <w:szCs w:val="28"/>
          <w:highlight w:val="none"/>
          <w:lang w:eastAsia="zh-CN"/>
        </w:rPr>
        <w:t>（</w:t>
      </w:r>
      <w:r>
        <w:rPr>
          <w:rFonts w:hint="eastAsia" w:ascii="Times New Roman" w:hAnsi="Times New Roman" w:eastAsia="仿宋_GB2312"/>
          <w:sz w:val="28"/>
          <w:szCs w:val="28"/>
          <w:highlight w:val="none"/>
          <w:lang w:val="en-US" w:eastAsia="zh-CN"/>
        </w:rPr>
        <w:t>除展示PPT使用的U盘外</w:t>
      </w:r>
      <w:r>
        <w:rPr>
          <w:rFonts w:hint="eastAsia" w:ascii="Times New Roman" w:hAnsi="Times New Roman" w:eastAsia="仿宋_GB2312"/>
          <w:sz w:val="28"/>
          <w:szCs w:val="28"/>
          <w:highlight w:val="none"/>
          <w:lang w:eastAsia="zh-CN"/>
        </w:rPr>
        <w:t>）</w:t>
      </w:r>
      <w:r>
        <w:rPr>
          <w:rFonts w:ascii="Times New Roman" w:hAnsi="Times New Roman" w:eastAsia="仿宋_GB2312"/>
          <w:sz w:val="28"/>
          <w:szCs w:val="28"/>
        </w:rPr>
        <w:t>、纸质材料等物品进入赛场，赛场内提供必需用品。</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ascii="Times New Roman" w:hAnsi="Times New Roman" w:eastAsia="仿宋_GB2312"/>
          <w:sz w:val="28"/>
          <w:szCs w:val="28"/>
        </w:rPr>
      </w:pPr>
      <w:r>
        <w:rPr>
          <w:rFonts w:ascii="Times New Roman" w:hAnsi="Times New Roman" w:eastAsia="仿宋_GB2312"/>
          <w:sz w:val="28"/>
          <w:szCs w:val="28"/>
        </w:rPr>
        <w:t>3.任何人不得以任何方式公开参赛队及个人信息。</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ascii="Times New Roman" w:hAnsi="Times New Roman" w:eastAsia="仿宋_GB2312"/>
          <w:sz w:val="28"/>
          <w:szCs w:val="28"/>
        </w:rPr>
      </w:pPr>
      <w:r>
        <w:rPr>
          <w:rFonts w:ascii="Times New Roman" w:hAnsi="Times New Roman" w:eastAsia="仿宋_GB2312"/>
          <w:sz w:val="28"/>
          <w:szCs w:val="28"/>
        </w:rPr>
        <w:t>4.竞赛过程中如因材料、设备等原因发生故障，应由裁判长进行评判；若因选手个人原因造成设备故障而无法继续比赛，裁判长有权决定终止该选手或该队比赛；若非选手原因造成设备故障的，由裁判长视具体情况做出裁决（暂停比赛计时或调整至最后一批次参加比赛），如果裁判长确定为设备故障问题，经组委会同意，将给参赛选手补足技术支持人员排除设备故障所耽误的竞赛时间。</w:t>
      </w:r>
    </w:p>
    <w:p>
      <w:pPr>
        <w:pStyle w:val="4"/>
        <w:keepNext w:val="0"/>
        <w:keepLines w:val="0"/>
        <w:pageBreakBefore w:val="0"/>
        <w:kinsoku/>
        <w:wordWrap/>
        <w:overflowPunct/>
        <w:topLinePunct w:val="0"/>
        <w:autoSpaceDE/>
        <w:autoSpaceDN/>
        <w:bidi w:val="0"/>
        <w:spacing w:line="560" w:lineRule="exact"/>
        <w:ind w:left="0" w:firstLine="562" w:firstLineChars="200"/>
        <w:textAlignment w:val="auto"/>
        <w:rPr>
          <w:rFonts w:ascii="Times New Roman" w:hAnsi="Times New Roman" w:eastAsia="楷体"/>
          <w:sz w:val="28"/>
          <w:szCs w:val="28"/>
        </w:rPr>
      </w:pPr>
      <w:r>
        <w:rPr>
          <w:rFonts w:ascii="Times New Roman" w:hAnsi="Times New Roman" w:eastAsia="楷体"/>
          <w:sz w:val="28"/>
          <w:szCs w:val="28"/>
        </w:rPr>
        <w:t>（五）离场规则</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ascii="Times New Roman" w:hAnsi="Times New Roman" w:eastAsia="仿宋_GB2312"/>
          <w:sz w:val="28"/>
          <w:szCs w:val="28"/>
        </w:rPr>
      </w:pPr>
      <w:r>
        <w:rPr>
          <w:rFonts w:ascii="Times New Roman" w:hAnsi="Times New Roman" w:eastAsia="仿宋_GB2312"/>
          <w:sz w:val="28"/>
          <w:szCs w:val="28"/>
        </w:rPr>
        <w:t>1.比赛结束前3分钟，由裁判长提醒考生比赛时间。当裁判长宣布比赛结束后，参赛选手必须马上停止一切操作，按要求位置站立等 候撤离比赛现场。</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ascii="Times New Roman" w:hAnsi="Times New Roman" w:eastAsia="仿宋_GB2312"/>
          <w:sz w:val="28"/>
          <w:szCs w:val="28"/>
        </w:rPr>
      </w:pPr>
      <w:r>
        <w:rPr>
          <w:rFonts w:ascii="Times New Roman" w:hAnsi="Times New Roman" w:eastAsia="仿宋_GB2312"/>
          <w:sz w:val="28"/>
          <w:szCs w:val="28"/>
        </w:rPr>
        <w:t>2.参赛选手若提前结束比赛，应由选手向裁判举手示意，比赛终止时间由裁判记录，选手结束比赛后不得再进行任何操作，并按要求撤离比赛现场。</w:t>
      </w:r>
    </w:p>
    <w:p>
      <w:pPr>
        <w:pStyle w:val="4"/>
        <w:keepNext w:val="0"/>
        <w:keepLines w:val="0"/>
        <w:pageBreakBefore w:val="0"/>
        <w:kinsoku/>
        <w:wordWrap/>
        <w:overflowPunct/>
        <w:topLinePunct w:val="0"/>
        <w:autoSpaceDE/>
        <w:autoSpaceDN/>
        <w:bidi w:val="0"/>
        <w:spacing w:line="560" w:lineRule="exact"/>
        <w:ind w:left="0" w:firstLine="562" w:firstLineChars="200"/>
        <w:textAlignment w:val="auto"/>
        <w:rPr>
          <w:rFonts w:ascii="Times New Roman" w:hAnsi="Times New Roman" w:eastAsia="楷体"/>
          <w:sz w:val="28"/>
          <w:szCs w:val="28"/>
        </w:rPr>
      </w:pPr>
      <w:r>
        <w:rPr>
          <w:rFonts w:ascii="Times New Roman" w:hAnsi="Times New Roman" w:eastAsia="楷体"/>
          <w:sz w:val="28"/>
          <w:szCs w:val="28"/>
        </w:rPr>
        <w:t>（六）成绩评定</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ascii="Times New Roman" w:hAnsi="Times New Roman" w:eastAsia="仿宋_GB2312"/>
          <w:sz w:val="28"/>
          <w:szCs w:val="28"/>
        </w:rPr>
      </w:pPr>
      <w:r>
        <w:rPr>
          <w:rFonts w:ascii="Times New Roman" w:hAnsi="Times New Roman" w:eastAsia="仿宋_GB2312"/>
          <w:sz w:val="28"/>
          <w:szCs w:val="28"/>
        </w:rPr>
        <w:t>1.大赛在赛项执委会领导下，裁判组严格按照评分标准负责赛项成绩评定，确保比赛成绩准确无误。</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ascii="Times New Roman" w:hAnsi="Times New Roman" w:eastAsia="黑体"/>
          <w:sz w:val="32"/>
          <w:szCs w:val="32"/>
        </w:rPr>
      </w:pPr>
      <w:r>
        <w:rPr>
          <w:rFonts w:ascii="Times New Roman" w:hAnsi="Times New Roman" w:eastAsia="仿宋_GB2312"/>
          <w:sz w:val="28"/>
          <w:szCs w:val="28"/>
        </w:rPr>
        <w:t>2.记分员将解密后的各参赛队竞赛成绩进行汇总制表，经裁判长、监督仲裁组签字。</w:t>
      </w:r>
    </w:p>
    <w:p>
      <w:pPr>
        <w:pStyle w:val="3"/>
        <w:spacing w:before="156" w:after="156"/>
        <w:ind w:firstLine="562" w:firstLineChars="200"/>
        <w:rPr>
          <w:rFonts w:hint="eastAsia" w:ascii="仿宋_GB2312" w:hAnsi="仿宋_GB2312" w:eastAsia="仿宋_GB2312" w:cs="仿宋_GB2312"/>
          <w:b/>
          <w:bCs w:val="0"/>
          <w:sz w:val="28"/>
          <w:szCs w:val="28"/>
          <w:lang w:val="en-US" w:eastAsia="zh-CN"/>
        </w:rPr>
      </w:pPr>
      <w:r>
        <w:rPr>
          <w:rFonts w:hint="eastAsia" w:ascii="仿宋_GB2312" w:hAnsi="仿宋_GB2312" w:eastAsia="仿宋_GB2312" w:cs="仿宋_GB2312"/>
          <w:b/>
          <w:bCs w:val="0"/>
          <w:sz w:val="28"/>
          <w:szCs w:val="28"/>
          <w:lang w:val="en-US" w:eastAsia="zh-CN"/>
        </w:rPr>
        <w:t xml:space="preserve">八、技术规范 </w:t>
      </w:r>
    </w:p>
    <w:p>
      <w:pPr>
        <w:pStyle w:val="3"/>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560" w:firstLineChars="200"/>
        <w:textAlignment w:val="auto"/>
        <w:rPr>
          <w:rFonts w:ascii="楷体_GB2312" w:hAnsi="楷体_GB2312" w:eastAsia="楷体_GB2312" w:cs="楷体_GB2312"/>
          <w:b w:val="0"/>
          <w:bCs w:val="0"/>
          <w:color w:val="000000"/>
          <w:sz w:val="28"/>
          <w:szCs w:val="28"/>
        </w:rPr>
      </w:pPr>
      <w:r>
        <w:rPr>
          <w:rFonts w:ascii="楷体_GB2312" w:hAnsi="楷体_GB2312" w:eastAsia="楷体_GB2312" w:cs="楷体_GB2312"/>
          <w:b w:val="0"/>
          <w:bCs w:val="0"/>
          <w:color w:val="000000"/>
          <w:sz w:val="28"/>
          <w:szCs w:val="28"/>
        </w:rPr>
        <w:t xml:space="preserve">（一）选手能力标准规范 </w:t>
      </w:r>
    </w:p>
    <w:p>
      <w:pPr>
        <w:pStyle w:val="3"/>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560" w:firstLineChars="200"/>
        <w:textAlignment w:val="auto"/>
        <w:rPr>
          <w:rFonts w:ascii="仿宋_GB2312" w:hAnsi="仿宋_GB2312" w:eastAsia="仿宋_GB2312" w:cs="仿宋_GB2312"/>
          <w:b w:val="0"/>
          <w:bCs w:val="0"/>
          <w:color w:val="000000"/>
          <w:sz w:val="28"/>
          <w:szCs w:val="28"/>
        </w:rPr>
      </w:pPr>
      <w:r>
        <w:rPr>
          <w:rFonts w:ascii="仿宋_GB2312" w:hAnsi="仿宋_GB2312" w:eastAsia="仿宋_GB2312" w:cs="仿宋_GB2312"/>
          <w:b w:val="0"/>
          <w:bCs w:val="0"/>
          <w:color w:val="000000"/>
          <w:sz w:val="28"/>
          <w:szCs w:val="28"/>
        </w:rPr>
        <w:t>本赛项依据《中华人民共和国职业分类大典（</w:t>
      </w:r>
      <w:r>
        <w:rPr>
          <w:rFonts w:ascii="TimesNewRomanPSMT" w:hAnsi="TimesNewRomanPSMT" w:eastAsia="TimesNewRomanPSMT" w:cs="TimesNewRomanPSMT"/>
          <w:b w:val="0"/>
          <w:bCs w:val="0"/>
          <w:color w:val="000000"/>
          <w:sz w:val="28"/>
          <w:szCs w:val="28"/>
        </w:rPr>
        <w:t xml:space="preserve">2022 </w:t>
      </w:r>
      <w:r>
        <w:rPr>
          <w:rFonts w:ascii="仿宋_GB2312" w:hAnsi="仿宋_GB2312" w:eastAsia="仿宋_GB2312" w:cs="仿宋_GB2312"/>
          <w:b w:val="0"/>
          <w:bCs w:val="0"/>
          <w:color w:val="000000"/>
          <w:sz w:val="28"/>
          <w:szCs w:val="28"/>
        </w:rPr>
        <w:t xml:space="preserve">年版）》中相关职业的工作任务描述，完善选手能力标准规范，作为竞赛选手训练及准备的指南。 </w:t>
      </w:r>
    </w:p>
    <w:p>
      <w:pPr>
        <w:pStyle w:val="3"/>
        <w:keepNext w:val="0"/>
        <w:keepLines w:val="0"/>
        <w:pageBreakBefore w:val="0"/>
        <w:widowControl w:val="0"/>
        <w:numPr>
          <w:ilvl w:val="0"/>
          <w:numId w:val="2"/>
        </w:numPr>
        <w:kinsoku/>
        <w:wordWrap/>
        <w:overflowPunct/>
        <w:topLinePunct w:val="0"/>
        <w:autoSpaceDE/>
        <w:autoSpaceDN/>
        <w:bidi w:val="0"/>
        <w:adjustRightInd/>
        <w:snapToGrid/>
        <w:spacing w:before="0" w:beforeLines="0" w:after="0" w:afterLines="0" w:line="560" w:lineRule="exact"/>
        <w:ind w:firstLine="560" w:firstLineChars="200"/>
        <w:textAlignment w:val="auto"/>
        <w:rPr>
          <w:rFonts w:ascii="仿宋_GB2312" w:hAnsi="仿宋_GB2312" w:eastAsia="仿宋_GB2312" w:cs="仿宋_GB2312"/>
          <w:b w:val="0"/>
          <w:bCs w:val="0"/>
          <w:color w:val="000000"/>
          <w:sz w:val="28"/>
          <w:szCs w:val="28"/>
        </w:rPr>
      </w:pPr>
      <w:r>
        <w:rPr>
          <w:rFonts w:ascii="楷体_GB2312" w:hAnsi="楷体_GB2312" w:eastAsia="楷体_GB2312" w:cs="楷体_GB2312"/>
          <w:b w:val="0"/>
          <w:bCs w:val="0"/>
          <w:color w:val="000000"/>
          <w:sz w:val="28"/>
          <w:szCs w:val="28"/>
        </w:rPr>
        <w:t xml:space="preserve">赛题技术标准规范 </w:t>
      </w:r>
    </w:p>
    <w:p>
      <w:pPr>
        <w:pStyle w:val="3"/>
        <w:keepNext w:val="0"/>
        <w:keepLines w:val="0"/>
        <w:pageBreakBefore w:val="0"/>
        <w:widowControl w:val="0"/>
        <w:numPr>
          <w:ilvl w:val="0"/>
          <w:numId w:val="3"/>
        </w:numPr>
        <w:kinsoku/>
        <w:wordWrap/>
        <w:overflowPunct/>
        <w:topLinePunct w:val="0"/>
        <w:autoSpaceDE/>
        <w:autoSpaceDN/>
        <w:bidi w:val="0"/>
        <w:adjustRightInd/>
        <w:snapToGrid/>
        <w:spacing w:before="0" w:beforeLines="0" w:after="0" w:afterLines="0" w:line="560" w:lineRule="exact"/>
        <w:ind w:firstLine="560" w:firstLineChars="200"/>
        <w:textAlignment w:val="auto"/>
        <w:rPr>
          <w:rFonts w:ascii="仿宋_GB2312" w:hAnsi="仿宋_GB2312" w:eastAsia="仿宋_GB2312" w:cs="仿宋_GB2312"/>
          <w:b w:val="0"/>
          <w:bCs w:val="0"/>
          <w:color w:val="000000"/>
          <w:sz w:val="28"/>
          <w:szCs w:val="28"/>
        </w:rPr>
      </w:pPr>
      <w:r>
        <w:rPr>
          <w:rFonts w:ascii="仿宋_GB2312" w:hAnsi="仿宋_GB2312" w:eastAsia="仿宋_GB2312" w:cs="仿宋_GB2312"/>
          <w:b w:val="0"/>
          <w:bCs w:val="0"/>
          <w:color w:val="000000"/>
          <w:sz w:val="28"/>
          <w:szCs w:val="28"/>
        </w:rPr>
        <w:t xml:space="preserve">赛题内容主要依据中等职业学校农林牧渔类中畜牧业 类和渔业类专业教学标准设计，参考教材如下： </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firstLine="560" w:firstLineChars="200"/>
        <w:textAlignment w:val="auto"/>
        <w:rPr>
          <w:rFonts w:ascii="仿宋_GB2312" w:hAnsi="仿宋_GB2312" w:eastAsia="仿宋_GB2312" w:cs="仿宋_GB2312"/>
          <w:b w:val="0"/>
          <w:bCs w:val="0"/>
          <w:color w:val="000000"/>
          <w:sz w:val="28"/>
          <w:szCs w:val="28"/>
        </w:rPr>
      </w:pPr>
      <w:r>
        <w:rPr>
          <w:rFonts w:ascii="仿宋_GB2312" w:hAnsi="仿宋_GB2312" w:eastAsia="仿宋_GB2312" w:cs="仿宋_GB2312"/>
          <w:b w:val="0"/>
          <w:bCs w:val="0"/>
          <w:color w:val="000000"/>
          <w:sz w:val="28"/>
          <w:szCs w:val="28"/>
        </w:rPr>
        <w:t xml:space="preserve">职业教育国家规划教材 《畜禽营养与饲料》 </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firstLine="560" w:firstLineChars="200"/>
        <w:textAlignment w:val="auto"/>
        <w:rPr>
          <w:rFonts w:ascii="仿宋_GB2312" w:hAnsi="仿宋_GB2312" w:eastAsia="仿宋_GB2312" w:cs="仿宋_GB2312"/>
          <w:b w:val="0"/>
          <w:bCs w:val="0"/>
          <w:color w:val="000000"/>
          <w:sz w:val="28"/>
          <w:szCs w:val="28"/>
        </w:rPr>
      </w:pPr>
      <w:r>
        <w:rPr>
          <w:rFonts w:ascii="仿宋_GB2312" w:hAnsi="仿宋_GB2312" w:eastAsia="仿宋_GB2312" w:cs="仿宋_GB2312"/>
          <w:b w:val="0"/>
          <w:bCs w:val="0"/>
          <w:color w:val="000000"/>
          <w:sz w:val="28"/>
          <w:szCs w:val="28"/>
        </w:rPr>
        <w:t xml:space="preserve">职业教育国家规划教材 《动物营养与饲料》 </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firstLine="560" w:firstLineChars="200"/>
        <w:textAlignment w:val="auto"/>
        <w:rPr>
          <w:rFonts w:ascii="仿宋_GB2312" w:hAnsi="仿宋_GB2312" w:eastAsia="仿宋_GB2312" w:cs="仿宋_GB2312"/>
          <w:b w:val="0"/>
          <w:bCs w:val="0"/>
          <w:color w:val="000000"/>
          <w:sz w:val="28"/>
          <w:szCs w:val="28"/>
        </w:rPr>
      </w:pPr>
      <w:r>
        <w:rPr>
          <w:rFonts w:ascii="仿宋_GB2312" w:hAnsi="仿宋_GB2312" w:eastAsia="仿宋_GB2312" w:cs="仿宋_GB2312"/>
          <w:b w:val="0"/>
          <w:bCs w:val="0"/>
          <w:color w:val="000000"/>
          <w:sz w:val="28"/>
          <w:szCs w:val="28"/>
        </w:rPr>
        <w:t xml:space="preserve">全国农业职业技能培训教材 《饲料检验化验员》 </w:t>
      </w:r>
    </w:p>
    <w:p>
      <w:pPr>
        <w:pStyle w:val="3"/>
        <w:keepNext w:val="0"/>
        <w:keepLines w:val="0"/>
        <w:pageBreakBefore w:val="0"/>
        <w:widowControl w:val="0"/>
        <w:numPr>
          <w:ilvl w:val="0"/>
          <w:numId w:val="3"/>
        </w:numPr>
        <w:kinsoku/>
        <w:wordWrap/>
        <w:overflowPunct/>
        <w:topLinePunct w:val="0"/>
        <w:autoSpaceDE/>
        <w:autoSpaceDN/>
        <w:bidi w:val="0"/>
        <w:adjustRightInd/>
        <w:snapToGrid/>
        <w:spacing w:before="0" w:beforeLines="0" w:after="0" w:afterLines="0" w:line="560" w:lineRule="exact"/>
        <w:ind w:left="0" w:leftChars="0" w:firstLine="560" w:firstLineChars="200"/>
        <w:textAlignment w:val="auto"/>
        <w:rPr>
          <w:rFonts w:ascii="仿宋_GB2312" w:hAnsi="仿宋_GB2312" w:eastAsia="仿宋_GB2312" w:cs="仿宋_GB2312"/>
          <w:b w:val="0"/>
          <w:bCs w:val="0"/>
          <w:color w:val="000000"/>
          <w:sz w:val="28"/>
          <w:szCs w:val="28"/>
        </w:rPr>
      </w:pPr>
      <w:r>
        <w:rPr>
          <w:rFonts w:ascii="仿宋_GB2312" w:hAnsi="仿宋_GB2312" w:eastAsia="仿宋_GB2312" w:cs="仿宋_GB2312"/>
          <w:b w:val="0"/>
          <w:bCs w:val="0"/>
          <w:color w:val="000000"/>
          <w:sz w:val="28"/>
          <w:szCs w:val="28"/>
        </w:rPr>
        <w:t xml:space="preserve">赛题任务主要参考下列国家标准和行业标准： </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firstLine="560" w:firstLineChars="200"/>
        <w:textAlignment w:val="auto"/>
        <w:rPr>
          <w:rFonts w:ascii="仿宋_GB2312" w:hAnsi="仿宋_GB2312" w:eastAsia="仿宋_GB2312" w:cs="仿宋_GB2312"/>
          <w:b w:val="0"/>
          <w:bCs w:val="0"/>
          <w:color w:val="000000"/>
          <w:sz w:val="28"/>
          <w:szCs w:val="28"/>
        </w:rPr>
      </w:pPr>
      <w:r>
        <w:rPr>
          <w:rFonts w:hint="default" w:ascii="TimesNewRomanPSMT" w:hAnsi="TimesNewRomanPSMT" w:eastAsia="TimesNewRomanPSMT" w:cs="TimesNewRomanPSMT"/>
          <w:b w:val="0"/>
          <w:bCs w:val="0"/>
          <w:color w:val="000000"/>
          <w:sz w:val="28"/>
          <w:szCs w:val="28"/>
        </w:rPr>
        <w:t xml:space="preserve">GB/T601-2016 </w:t>
      </w:r>
      <w:r>
        <w:rPr>
          <w:rFonts w:ascii="仿宋_GB2312" w:hAnsi="仿宋_GB2312" w:eastAsia="仿宋_GB2312" w:cs="仿宋_GB2312"/>
          <w:b w:val="0"/>
          <w:bCs w:val="0"/>
          <w:color w:val="000000"/>
          <w:sz w:val="28"/>
          <w:szCs w:val="28"/>
        </w:rPr>
        <w:t>化学试剂 标准滴定溶液的制备</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firstLine="560" w:firstLineChars="200"/>
        <w:textAlignment w:val="auto"/>
        <w:rPr>
          <w:rFonts w:ascii="仿宋_GB2312" w:hAnsi="仿宋_GB2312" w:eastAsia="仿宋_GB2312" w:cs="仿宋_GB2312"/>
          <w:b w:val="0"/>
          <w:bCs w:val="0"/>
          <w:color w:val="000000"/>
          <w:sz w:val="28"/>
          <w:szCs w:val="28"/>
        </w:rPr>
      </w:pPr>
      <w:r>
        <w:rPr>
          <w:rFonts w:hint="default" w:ascii="TimesNewRomanPSMT" w:hAnsi="TimesNewRomanPSMT" w:eastAsia="TimesNewRomanPSMT" w:cs="TimesNewRomanPSMT"/>
          <w:b w:val="0"/>
          <w:bCs w:val="0"/>
          <w:color w:val="000000"/>
          <w:sz w:val="28"/>
          <w:szCs w:val="28"/>
        </w:rPr>
        <w:t xml:space="preserve">JJG196-2006 </w:t>
      </w:r>
      <w:r>
        <w:rPr>
          <w:rFonts w:ascii="仿宋_GB2312" w:hAnsi="仿宋_GB2312" w:eastAsia="仿宋_GB2312" w:cs="仿宋_GB2312"/>
          <w:b w:val="0"/>
          <w:bCs w:val="0"/>
          <w:color w:val="000000"/>
          <w:sz w:val="28"/>
          <w:szCs w:val="28"/>
        </w:rPr>
        <w:t xml:space="preserve">常用玻璃量器检定规程 </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firstLine="560" w:firstLineChars="200"/>
        <w:textAlignment w:val="auto"/>
        <w:rPr>
          <w:rFonts w:ascii="仿宋_GB2312" w:hAnsi="仿宋_GB2312" w:eastAsia="仿宋_GB2312" w:cs="仿宋_GB2312"/>
          <w:b w:val="0"/>
          <w:bCs w:val="0"/>
          <w:color w:val="000000"/>
          <w:sz w:val="28"/>
          <w:szCs w:val="28"/>
        </w:rPr>
      </w:pPr>
      <w:r>
        <w:rPr>
          <w:rFonts w:hint="default" w:ascii="TimesNewRomanPSMT" w:hAnsi="TimesNewRomanPSMT" w:eastAsia="TimesNewRomanPSMT" w:cs="TimesNewRomanPSMT"/>
          <w:b w:val="0"/>
          <w:bCs w:val="0"/>
          <w:color w:val="000000"/>
          <w:sz w:val="28"/>
          <w:szCs w:val="28"/>
        </w:rPr>
        <w:t xml:space="preserve">GB/T603-2002 </w:t>
      </w:r>
      <w:r>
        <w:rPr>
          <w:rFonts w:ascii="仿宋_GB2312" w:hAnsi="仿宋_GB2312" w:eastAsia="仿宋_GB2312" w:cs="仿宋_GB2312"/>
          <w:b w:val="0"/>
          <w:bCs w:val="0"/>
          <w:color w:val="000000"/>
          <w:sz w:val="28"/>
          <w:szCs w:val="28"/>
        </w:rPr>
        <w:t>试验方法中所用制剂及制品的制备</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firstLine="560" w:firstLineChars="200"/>
        <w:textAlignment w:val="auto"/>
        <w:rPr>
          <w:rFonts w:ascii="仿宋_GB2312" w:hAnsi="仿宋_GB2312" w:eastAsia="仿宋_GB2312" w:cs="仿宋_GB2312"/>
          <w:b w:val="0"/>
          <w:bCs w:val="0"/>
          <w:color w:val="000000"/>
          <w:sz w:val="28"/>
          <w:szCs w:val="28"/>
        </w:rPr>
      </w:pPr>
      <w:r>
        <w:rPr>
          <w:rFonts w:hint="default" w:ascii="TimesNewRomanPSMT" w:hAnsi="TimesNewRomanPSMT" w:eastAsia="TimesNewRomanPSMT" w:cs="TimesNewRomanPSMT"/>
          <w:b w:val="0"/>
          <w:bCs w:val="0"/>
          <w:color w:val="000000"/>
          <w:sz w:val="28"/>
          <w:szCs w:val="28"/>
        </w:rPr>
        <w:t xml:space="preserve">GB/T14699.1-2005 </w:t>
      </w:r>
      <w:r>
        <w:rPr>
          <w:rFonts w:ascii="仿宋_GB2312" w:hAnsi="仿宋_GB2312" w:eastAsia="仿宋_GB2312" w:cs="仿宋_GB2312"/>
          <w:b w:val="0"/>
          <w:bCs w:val="0"/>
          <w:color w:val="000000"/>
          <w:sz w:val="28"/>
          <w:szCs w:val="28"/>
        </w:rPr>
        <w:t xml:space="preserve">饲料 采样 </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firstLine="560" w:firstLineChars="200"/>
        <w:textAlignment w:val="auto"/>
        <w:rPr>
          <w:rFonts w:ascii="仿宋_GB2312" w:hAnsi="仿宋_GB2312" w:eastAsia="仿宋_GB2312" w:cs="仿宋_GB2312"/>
          <w:b w:val="0"/>
          <w:bCs w:val="0"/>
          <w:color w:val="000000"/>
          <w:sz w:val="28"/>
          <w:szCs w:val="28"/>
        </w:rPr>
      </w:pPr>
      <w:r>
        <w:rPr>
          <w:rFonts w:hint="default" w:ascii="TimesNewRomanPSMT" w:hAnsi="TimesNewRomanPSMT" w:eastAsia="TimesNewRomanPSMT" w:cs="TimesNewRomanPSMT"/>
          <w:b w:val="0"/>
          <w:bCs w:val="0"/>
          <w:color w:val="000000"/>
          <w:sz w:val="28"/>
          <w:szCs w:val="28"/>
        </w:rPr>
        <w:t xml:space="preserve">GB/T6432-2018 </w:t>
      </w:r>
      <w:r>
        <w:rPr>
          <w:rFonts w:ascii="仿宋_GB2312" w:hAnsi="仿宋_GB2312" w:eastAsia="仿宋_GB2312" w:cs="仿宋_GB2312"/>
          <w:b w:val="0"/>
          <w:bCs w:val="0"/>
          <w:color w:val="000000"/>
          <w:sz w:val="28"/>
          <w:szCs w:val="28"/>
        </w:rPr>
        <w:t>饲料中粗蛋白的测定 凯氏定氮法</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firstLine="560" w:firstLineChars="200"/>
        <w:textAlignment w:val="auto"/>
        <w:rPr>
          <w:rFonts w:ascii="仿宋_GB2312" w:hAnsi="仿宋_GB2312" w:eastAsia="仿宋_GB2312" w:cs="仿宋_GB2312"/>
          <w:b w:val="0"/>
          <w:bCs w:val="0"/>
          <w:color w:val="000000"/>
          <w:sz w:val="28"/>
          <w:szCs w:val="28"/>
        </w:rPr>
      </w:pPr>
      <w:r>
        <w:rPr>
          <w:rFonts w:hint="default" w:ascii="TimesNewRomanPSMT" w:hAnsi="TimesNewRomanPSMT" w:eastAsia="TimesNewRomanPSMT" w:cs="TimesNewRomanPSMT"/>
          <w:b w:val="0"/>
          <w:bCs w:val="0"/>
          <w:color w:val="000000"/>
          <w:sz w:val="28"/>
          <w:szCs w:val="28"/>
        </w:rPr>
        <w:t xml:space="preserve">GB/T6437-2018 </w:t>
      </w:r>
      <w:r>
        <w:rPr>
          <w:rFonts w:ascii="仿宋_GB2312" w:hAnsi="仿宋_GB2312" w:eastAsia="仿宋_GB2312" w:cs="仿宋_GB2312"/>
          <w:b w:val="0"/>
          <w:bCs w:val="0"/>
          <w:color w:val="000000"/>
          <w:sz w:val="28"/>
          <w:szCs w:val="28"/>
        </w:rPr>
        <w:t>饲料中总磷含量测定 分光光度法</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firstLine="560" w:firstLineChars="200"/>
        <w:textAlignment w:val="auto"/>
        <w:rPr>
          <w:rFonts w:ascii="仿宋_GB2312" w:hAnsi="仿宋_GB2312" w:eastAsia="仿宋_GB2312" w:cs="仿宋_GB2312"/>
          <w:b w:val="0"/>
          <w:bCs w:val="0"/>
          <w:color w:val="000000"/>
          <w:sz w:val="28"/>
          <w:szCs w:val="28"/>
        </w:rPr>
      </w:pPr>
      <w:r>
        <w:rPr>
          <w:rFonts w:hint="default" w:ascii="TimesNewRomanPSMT" w:hAnsi="TimesNewRomanPSMT" w:eastAsia="TimesNewRomanPSMT" w:cs="TimesNewRomanPSMT"/>
          <w:b w:val="0"/>
          <w:bCs w:val="0"/>
          <w:color w:val="000000"/>
          <w:sz w:val="28"/>
          <w:szCs w:val="28"/>
        </w:rPr>
        <w:t xml:space="preserve">GB/T2985-2008 </w:t>
      </w:r>
      <w:r>
        <w:rPr>
          <w:rFonts w:ascii="仿宋_GB2312" w:hAnsi="仿宋_GB2312" w:eastAsia="仿宋_GB2312" w:cs="仿宋_GB2312"/>
          <w:b w:val="0"/>
          <w:bCs w:val="0"/>
          <w:color w:val="000000"/>
          <w:sz w:val="28"/>
          <w:szCs w:val="28"/>
        </w:rPr>
        <w:t xml:space="preserve">生物显微镜 </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firstLine="560" w:firstLineChars="200"/>
        <w:textAlignment w:val="auto"/>
        <w:rPr>
          <w:rFonts w:ascii="仿宋_GB2312" w:hAnsi="仿宋_GB2312" w:eastAsia="仿宋_GB2312" w:cs="仿宋_GB2312"/>
          <w:b w:val="0"/>
          <w:bCs w:val="0"/>
          <w:color w:val="000000"/>
          <w:sz w:val="28"/>
          <w:szCs w:val="28"/>
        </w:rPr>
      </w:pPr>
      <w:r>
        <w:rPr>
          <w:rFonts w:hint="default" w:ascii="TimesNewRomanPSMT" w:hAnsi="TimesNewRomanPSMT" w:eastAsia="TimesNewRomanPSMT" w:cs="TimesNewRomanPSMT"/>
          <w:b w:val="0"/>
          <w:bCs w:val="0"/>
          <w:color w:val="000000"/>
          <w:sz w:val="28"/>
          <w:szCs w:val="28"/>
        </w:rPr>
        <w:t xml:space="preserve">NY/T 2806-2015 </w:t>
      </w:r>
      <w:r>
        <w:rPr>
          <w:rFonts w:ascii="仿宋_GB2312" w:hAnsi="仿宋_GB2312" w:eastAsia="仿宋_GB2312" w:cs="仿宋_GB2312"/>
          <w:b w:val="0"/>
          <w:bCs w:val="0"/>
          <w:color w:val="000000"/>
          <w:sz w:val="28"/>
          <w:szCs w:val="28"/>
        </w:rPr>
        <w:t xml:space="preserve">饲料检验化验员 </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firstLine="560" w:firstLineChars="200"/>
        <w:textAlignment w:val="auto"/>
        <w:rPr>
          <w:rFonts w:ascii="仿宋_GB2312" w:hAnsi="仿宋_GB2312" w:eastAsia="仿宋_GB2312" w:cs="仿宋_GB2312"/>
          <w:b w:val="0"/>
          <w:bCs w:val="0"/>
          <w:color w:val="000000"/>
          <w:sz w:val="28"/>
          <w:szCs w:val="28"/>
        </w:rPr>
      </w:pPr>
      <w:r>
        <w:rPr>
          <w:rFonts w:hint="default" w:ascii="TimesNewRomanPSMT" w:hAnsi="TimesNewRomanPSMT" w:eastAsia="TimesNewRomanPSMT" w:cs="TimesNewRomanPSMT"/>
          <w:b w:val="0"/>
          <w:bCs w:val="0"/>
          <w:color w:val="000000"/>
          <w:sz w:val="28"/>
          <w:szCs w:val="28"/>
        </w:rPr>
        <w:t xml:space="preserve">GB/T19164-2021 </w:t>
      </w:r>
      <w:r>
        <w:rPr>
          <w:rFonts w:ascii="仿宋_GB2312" w:hAnsi="仿宋_GB2312" w:eastAsia="仿宋_GB2312" w:cs="仿宋_GB2312"/>
          <w:b w:val="0"/>
          <w:bCs w:val="0"/>
          <w:color w:val="000000"/>
          <w:sz w:val="28"/>
          <w:szCs w:val="28"/>
        </w:rPr>
        <w:t xml:space="preserve">饲料原料 鱼粉 </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firstLine="560" w:firstLineChars="200"/>
        <w:textAlignment w:val="auto"/>
        <w:rPr>
          <w:rFonts w:ascii="仿宋_GB2312" w:hAnsi="仿宋_GB2312" w:eastAsia="仿宋_GB2312" w:cs="仿宋_GB2312"/>
          <w:b w:val="0"/>
          <w:bCs w:val="0"/>
          <w:color w:val="000000"/>
          <w:sz w:val="28"/>
          <w:szCs w:val="28"/>
        </w:rPr>
      </w:pPr>
      <w:r>
        <w:rPr>
          <w:rFonts w:hint="default" w:ascii="TimesNewRomanPSMT" w:hAnsi="TimesNewRomanPSMT" w:eastAsia="TimesNewRomanPSMT" w:cs="TimesNewRomanPSMT"/>
          <w:b w:val="0"/>
          <w:bCs w:val="0"/>
          <w:color w:val="000000"/>
          <w:sz w:val="28"/>
          <w:szCs w:val="28"/>
        </w:rPr>
        <w:t xml:space="preserve">GB/T14698-2017 </w:t>
      </w:r>
      <w:r>
        <w:rPr>
          <w:rFonts w:ascii="仿宋_GB2312" w:hAnsi="仿宋_GB2312" w:eastAsia="仿宋_GB2312" w:cs="仿宋_GB2312"/>
          <w:b w:val="0"/>
          <w:bCs w:val="0"/>
          <w:color w:val="000000"/>
          <w:sz w:val="28"/>
          <w:szCs w:val="28"/>
        </w:rPr>
        <w:t xml:space="preserve">饲料原料显微镜检查方法 </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firstLine="560" w:firstLineChars="200"/>
        <w:textAlignment w:val="auto"/>
        <w:rPr>
          <w:rFonts w:ascii="仿宋_GB2312" w:hAnsi="仿宋_GB2312" w:eastAsia="仿宋_GB2312" w:cs="仿宋_GB2312"/>
          <w:b w:val="0"/>
          <w:bCs w:val="0"/>
          <w:color w:val="000000"/>
          <w:sz w:val="28"/>
          <w:szCs w:val="28"/>
        </w:rPr>
      </w:pPr>
      <w:r>
        <w:rPr>
          <w:rFonts w:hint="default" w:ascii="TimesNewRomanPSMT" w:hAnsi="TimesNewRomanPSMT" w:eastAsia="TimesNewRomanPSMT" w:cs="TimesNewRomanPSMT"/>
          <w:b w:val="0"/>
          <w:bCs w:val="0"/>
          <w:color w:val="000000"/>
          <w:sz w:val="28"/>
          <w:szCs w:val="28"/>
        </w:rPr>
        <w:t xml:space="preserve">GB/T34269-2017 </w:t>
      </w:r>
      <w:r>
        <w:rPr>
          <w:rFonts w:ascii="仿宋_GB2312" w:hAnsi="仿宋_GB2312" w:eastAsia="仿宋_GB2312" w:cs="仿宋_GB2312"/>
          <w:b w:val="0"/>
          <w:bCs w:val="0"/>
          <w:color w:val="000000"/>
          <w:sz w:val="28"/>
          <w:szCs w:val="28"/>
        </w:rPr>
        <w:t xml:space="preserve">饲料原料显微镜检查图谱 </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firstLine="560" w:firstLineChars="200"/>
        <w:textAlignment w:val="auto"/>
        <w:rPr>
          <w:rFonts w:ascii="仿宋_GB2312" w:hAnsi="仿宋_GB2312" w:eastAsia="仿宋_GB2312" w:cs="仿宋_GB2312"/>
          <w:b w:val="0"/>
          <w:bCs w:val="0"/>
          <w:color w:val="000000"/>
          <w:sz w:val="28"/>
          <w:szCs w:val="28"/>
        </w:rPr>
      </w:pPr>
      <w:r>
        <w:rPr>
          <w:rFonts w:ascii="仿宋_GB2312" w:hAnsi="仿宋_GB2312" w:eastAsia="仿宋_GB2312" w:cs="仿宋_GB2312"/>
          <w:b w:val="0"/>
          <w:bCs w:val="0"/>
          <w:color w:val="000000"/>
          <w:sz w:val="28"/>
          <w:szCs w:val="28"/>
        </w:rPr>
        <w:t xml:space="preserve">国际饲料分类名称与编码体系 </w:t>
      </w:r>
    </w:p>
    <w:p>
      <w:pPr>
        <w:pStyle w:val="3"/>
        <w:spacing w:before="156" w:after="156"/>
        <w:ind w:firstLine="562" w:firstLineChars="200"/>
        <w:rPr>
          <w:rFonts w:hint="eastAsia" w:ascii="仿宋_GB2312" w:hAnsi="仿宋_GB2312" w:eastAsia="仿宋_GB2312" w:cs="仿宋_GB2312"/>
          <w:b/>
          <w:bCs w:val="0"/>
          <w:sz w:val="28"/>
          <w:szCs w:val="28"/>
          <w:lang w:val="en-US" w:eastAsia="zh-CN"/>
        </w:rPr>
      </w:pPr>
      <w:r>
        <w:rPr>
          <w:rFonts w:hint="eastAsia" w:ascii="仿宋_GB2312" w:hAnsi="仿宋_GB2312" w:eastAsia="仿宋_GB2312" w:cs="仿宋_GB2312"/>
          <w:b/>
          <w:bCs w:val="0"/>
          <w:sz w:val="28"/>
          <w:szCs w:val="28"/>
          <w:lang w:val="en-US" w:eastAsia="zh-CN"/>
        </w:rPr>
        <w:t xml:space="preserve">九、技术环境 </w:t>
      </w:r>
    </w:p>
    <w:p>
      <w:pPr>
        <w:pStyle w:val="3"/>
        <w:keepNext w:val="0"/>
        <w:keepLines w:val="0"/>
        <w:pageBreakBefore w:val="0"/>
        <w:widowControl w:val="0"/>
        <w:numPr>
          <w:ilvl w:val="0"/>
          <w:numId w:val="4"/>
        </w:numPr>
        <w:kinsoku/>
        <w:wordWrap/>
        <w:overflowPunct/>
        <w:topLinePunct w:val="0"/>
        <w:autoSpaceDE/>
        <w:autoSpaceDN/>
        <w:bidi w:val="0"/>
        <w:adjustRightInd/>
        <w:snapToGrid/>
        <w:spacing w:before="0" w:beforeLines="0" w:after="0" w:afterLines="0" w:line="560" w:lineRule="exact"/>
        <w:ind w:firstLine="560" w:firstLineChars="200"/>
        <w:textAlignment w:val="auto"/>
        <w:rPr>
          <w:rFonts w:ascii="楷体_GB2312" w:hAnsi="楷体_GB2312" w:eastAsia="楷体_GB2312" w:cs="楷体_GB2312"/>
          <w:b w:val="0"/>
          <w:bCs w:val="0"/>
          <w:color w:val="000000"/>
          <w:sz w:val="28"/>
          <w:szCs w:val="28"/>
        </w:rPr>
      </w:pPr>
      <w:r>
        <w:rPr>
          <w:rFonts w:ascii="楷体_GB2312" w:hAnsi="楷体_GB2312" w:eastAsia="楷体_GB2312" w:cs="楷体_GB2312"/>
          <w:b w:val="0"/>
          <w:bCs w:val="0"/>
          <w:color w:val="000000"/>
          <w:sz w:val="28"/>
          <w:szCs w:val="28"/>
        </w:rPr>
        <w:t xml:space="preserve">竞赛场地及其环境设施要求 </w:t>
      </w:r>
    </w:p>
    <w:p>
      <w:pPr>
        <w:pStyle w:val="3"/>
        <w:keepNext w:val="0"/>
        <w:keepLines w:val="0"/>
        <w:pageBreakBefore w:val="0"/>
        <w:widowControl w:val="0"/>
        <w:numPr>
          <w:ilvl w:val="0"/>
          <w:numId w:val="5"/>
        </w:numPr>
        <w:kinsoku/>
        <w:wordWrap/>
        <w:overflowPunct/>
        <w:topLinePunct w:val="0"/>
        <w:autoSpaceDE/>
        <w:autoSpaceDN/>
        <w:bidi w:val="0"/>
        <w:adjustRightInd/>
        <w:snapToGrid/>
        <w:spacing w:before="0" w:beforeLines="0" w:after="0" w:afterLines="0" w:line="560" w:lineRule="exact"/>
        <w:ind w:firstLine="560" w:firstLineChars="200"/>
        <w:textAlignment w:val="auto"/>
        <w:rPr>
          <w:rFonts w:ascii="仿宋_GB2312" w:hAnsi="仿宋_GB2312" w:eastAsia="仿宋_GB2312" w:cs="仿宋_GB2312"/>
          <w:b w:val="0"/>
          <w:bCs w:val="0"/>
          <w:color w:val="000000"/>
          <w:sz w:val="28"/>
          <w:szCs w:val="28"/>
        </w:rPr>
      </w:pPr>
      <w:r>
        <w:rPr>
          <w:rFonts w:ascii="仿宋_GB2312" w:hAnsi="仿宋_GB2312" w:eastAsia="仿宋_GB2312" w:cs="仿宋_GB2312"/>
          <w:b w:val="0"/>
          <w:bCs w:val="0"/>
          <w:color w:val="000000"/>
          <w:sz w:val="28"/>
          <w:szCs w:val="28"/>
        </w:rPr>
        <w:t>比赛场地：</w:t>
      </w:r>
      <w:r>
        <w:rPr>
          <w:rFonts w:ascii="仿宋_GB2312" w:hAnsi="仿宋_GB2312" w:eastAsia="仿宋_GB2312" w:cs="仿宋_GB2312"/>
          <w:b w:val="0"/>
          <w:bCs w:val="0"/>
          <w:color w:val="000000"/>
          <w:sz w:val="28"/>
          <w:szCs w:val="28"/>
          <w:highlight w:val="none"/>
        </w:rPr>
        <w:t>赛场</w:t>
      </w:r>
      <w:r>
        <w:rPr>
          <w:rFonts w:hint="eastAsia" w:ascii="仿宋_GB2312" w:hAnsi="仿宋_GB2312" w:eastAsia="仿宋_GB2312" w:cs="仿宋_GB2312"/>
          <w:b w:val="0"/>
          <w:bCs w:val="0"/>
          <w:color w:val="000000"/>
          <w:sz w:val="28"/>
          <w:szCs w:val="28"/>
          <w:highlight w:val="none"/>
          <w:lang w:val="en-US" w:eastAsia="zh-CN"/>
        </w:rPr>
        <w:t>内</w:t>
      </w:r>
      <w:r>
        <w:rPr>
          <w:rFonts w:ascii="仿宋_GB2312" w:hAnsi="仿宋_GB2312" w:eastAsia="仿宋_GB2312" w:cs="仿宋_GB2312"/>
          <w:b w:val="0"/>
          <w:bCs w:val="0"/>
          <w:color w:val="000000"/>
          <w:sz w:val="28"/>
          <w:szCs w:val="28"/>
          <w:highlight w:val="none"/>
        </w:rPr>
        <w:t>确保每</w:t>
      </w:r>
      <w:r>
        <w:rPr>
          <w:rFonts w:hint="eastAsia" w:ascii="仿宋_GB2312" w:hAnsi="仿宋_GB2312" w:eastAsia="仿宋_GB2312" w:cs="仿宋_GB2312"/>
          <w:b w:val="0"/>
          <w:bCs w:val="0"/>
          <w:color w:val="000000"/>
          <w:sz w:val="28"/>
          <w:szCs w:val="28"/>
          <w:highlight w:val="none"/>
          <w:lang w:val="en-US" w:eastAsia="zh-CN"/>
        </w:rPr>
        <w:t>组参赛</w:t>
      </w:r>
      <w:r>
        <w:rPr>
          <w:rFonts w:ascii="仿宋_GB2312" w:hAnsi="仿宋_GB2312" w:eastAsia="仿宋_GB2312" w:cs="仿宋_GB2312"/>
          <w:b w:val="0"/>
          <w:bCs w:val="0"/>
          <w:color w:val="000000"/>
          <w:sz w:val="28"/>
          <w:szCs w:val="28"/>
          <w:highlight w:val="none"/>
        </w:rPr>
        <w:t>选手有单独的实验工位，</w:t>
      </w:r>
      <w:r>
        <w:rPr>
          <w:rFonts w:ascii="仿宋_GB2312" w:hAnsi="仿宋_GB2312" w:eastAsia="仿宋_GB2312" w:cs="仿宋_GB2312"/>
          <w:b w:val="0"/>
          <w:bCs w:val="0"/>
          <w:color w:val="000000"/>
          <w:sz w:val="28"/>
          <w:szCs w:val="28"/>
        </w:rPr>
        <w:t xml:space="preserve">每个工位具有独立的实验装置、设备及试剂、水、电及通风设备。比赛过程能够实现全程实时监控及记录。 </w:t>
      </w:r>
    </w:p>
    <w:p>
      <w:pPr>
        <w:pStyle w:val="3"/>
        <w:keepNext w:val="0"/>
        <w:keepLines w:val="0"/>
        <w:pageBreakBefore w:val="0"/>
        <w:widowControl w:val="0"/>
        <w:numPr>
          <w:ilvl w:val="0"/>
          <w:numId w:val="5"/>
        </w:numPr>
        <w:kinsoku/>
        <w:wordWrap/>
        <w:overflowPunct/>
        <w:topLinePunct w:val="0"/>
        <w:autoSpaceDE/>
        <w:autoSpaceDN/>
        <w:bidi w:val="0"/>
        <w:adjustRightInd/>
        <w:snapToGrid/>
        <w:spacing w:before="0" w:beforeLines="0" w:after="0" w:afterLines="0" w:line="560" w:lineRule="exact"/>
        <w:ind w:firstLine="560" w:firstLineChars="200"/>
        <w:textAlignment w:val="auto"/>
        <w:rPr>
          <w:rFonts w:ascii="仿宋_GB2312" w:hAnsi="仿宋_GB2312" w:eastAsia="仿宋_GB2312" w:cs="仿宋_GB2312"/>
          <w:b w:val="0"/>
          <w:bCs w:val="0"/>
          <w:color w:val="000000"/>
          <w:sz w:val="28"/>
          <w:szCs w:val="28"/>
        </w:rPr>
      </w:pPr>
      <w:r>
        <w:rPr>
          <w:rFonts w:ascii="仿宋_GB2312" w:hAnsi="仿宋_GB2312" w:eastAsia="仿宋_GB2312" w:cs="仿宋_GB2312"/>
          <w:b w:val="0"/>
          <w:bCs w:val="0"/>
          <w:color w:val="000000"/>
          <w:sz w:val="28"/>
          <w:szCs w:val="28"/>
        </w:rPr>
        <w:t xml:space="preserve">检录及阅卷：赛场须设置检录隔离区、独立阅卷室等 场所，并能够实现全程实时监控。 </w:t>
      </w:r>
    </w:p>
    <w:p>
      <w:pPr>
        <w:pStyle w:val="3"/>
        <w:keepNext w:val="0"/>
        <w:keepLines w:val="0"/>
        <w:pageBreakBefore w:val="0"/>
        <w:widowControl w:val="0"/>
        <w:numPr>
          <w:ilvl w:val="0"/>
          <w:numId w:val="5"/>
        </w:numPr>
        <w:kinsoku/>
        <w:wordWrap/>
        <w:overflowPunct/>
        <w:topLinePunct w:val="0"/>
        <w:autoSpaceDE/>
        <w:autoSpaceDN/>
        <w:bidi w:val="0"/>
        <w:adjustRightInd/>
        <w:snapToGrid/>
        <w:spacing w:before="0" w:beforeLines="0" w:after="0" w:afterLines="0" w:line="560" w:lineRule="exact"/>
        <w:ind w:firstLine="560" w:firstLineChars="200"/>
        <w:textAlignment w:val="auto"/>
        <w:rPr>
          <w:rFonts w:ascii="仿宋_GB2312" w:hAnsi="仿宋_GB2312" w:eastAsia="仿宋_GB2312" w:cs="仿宋_GB2312"/>
          <w:b w:val="0"/>
          <w:bCs w:val="0"/>
          <w:color w:val="000000"/>
          <w:sz w:val="28"/>
          <w:szCs w:val="28"/>
        </w:rPr>
      </w:pPr>
      <w:r>
        <w:rPr>
          <w:rFonts w:ascii="仿宋_GB2312" w:hAnsi="仿宋_GB2312" w:eastAsia="仿宋_GB2312" w:cs="仿宋_GB2312"/>
          <w:b w:val="0"/>
          <w:bCs w:val="0"/>
          <w:color w:val="000000"/>
          <w:sz w:val="28"/>
          <w:szCs w:val="28"/>
        </w:rPr>
        <w:t xml:space="preserve">医疗保障：赛场应设医疗服务区，比赛时安排专业救护人员现场服务，并提供必要的能量补给。 </w:t>
      </w:r>
    </w:p>
    <w:p>
      <w:pPr>
        <w:pStyle w:val="3"/>
        <w:keepNext w:val="0"/>
        <w:keepLines w:val="0"/>
        <w:pageBreakBefore w:val="0"/>
        <w:widowControl w:val="0"/>
        <w:numPr>
          <w:ilvl w:val="0"/>
          <w:numId w:val="5"/>
        </w:numPr>
        <w:kinsoku/>
        <w:wordWrap/>
        <w:overflowPunct/>
        <w:topLinePunct w:val="0"/>
        <w:autoSpaceDE/>
        <w:autoSpaceDN/>
        <w:bidi w:val="0"/>
        <w:adjustRightInd/>
        <w:snapToGrid/>
        <w:spacing w:before="0" w:beforeLines="0" w:after="0" w:afterLines="0" w:line="560" w:lineRule="exact"/>
        <w:ind w:firstLine="560" w:firstLineChars="200"/>
        <w:textAlignment w:val="auto"/>
        <w:rPr>
          <w:rFonts w:ascii="仿宋_GB2312" w:hAnsi="仿宋_GB2312" w:eastAsia="仿宋_GB2312" w:cs="仿宋_GB2312"/>
          <w:b w:val="0"/>
          <w:bCs w:val="0"/>
          <w:color w:val="000000"/>
          <w:sz w:val="28"/>
          <w:szCs w:val="28"/>
        </w:rPr>
      </w:pPr>
      <w:r>
        <w:rPr>
          <w:rFonts w:ascii="仿宋_GB2312" w:hAnsi="仿宋_GB2312" w:eastAsia="仿宋_GB2312" w:cs="仿宋_GB2312"/>
          <w:b w:val="0"/>
          <w:bCs w:val="0"/>
          <w:color w:val="000000"/>
          <w:sz w:val="28"/>
          <w:szCs w:val="28"/>
        </w:rPr>
        <w:t xml:space="preserve">安全防护：赛场设有实训室安全管理规定、应急处理 规定、化学药品使用规定，洗眼器、消防沙、消防毯、医护用品等消防和个人防护用品。赛位配有安全警示标语、安全 操作规程、安全提示、护目镜、口罩等安全保护用品。校园内实训楼设有紧急疏散指示、设有专职人员进行紧急状况下 人员疏散。 </w:t>
      </w:r>
    </w:p>
    <w:p>
      <w:pPr>
        <w:pStyle w:val="3"/>
        <w:keepNext w:val="0"/>
        <w:keepLines w:val="0"/>
        <w:pageBreakBefore w:val="0"/>
        <w:widowControl w:val="0"/>
        <w:numPr>
          <w:ilvl w:val="0"/>
          <w:numId w:val="4"/>
        </w:numPr>
        <w:kinsoku/>
        <w:wordWrap/>
        <w:overflowPunct/>
        <w:topLinePunct w:val="0"/>
        <w:autoSpaceDE/>
        <w:autoSpaceDN/>
        <w:bidi w:val="0"/>
        <w:adjustRightInd/>
        <w:snapToGrid/>
        <w:spacing w:before="0" w:beforeLines="0" w:after="0" w:afterLines="0" w:line="560" w:lineRule="exact"/>
        <w:ind w:left="0" w:leftChars="0" w:firstLine="560" w:firstLineChars="200"/>
        <w:textAlignment w:val="auto"/>
        <w:rPr>
          <w:rFonts w:ascii="楷体_GB2312" w:hAnsi="楷体_GB2312" w:eastAsia="楷体_GB2312" w:cs="楷体_GB2312"/>
          <w:b w:val="0"/>
          <w:bCs w:val="0"/>
          <w:color w:val="000000"/>
          <w:sz w:val="28"/>
          <w:szCs w:val="28"/>
        </w:rPr>
      </w:pPr>
      <w:r>
        <w:rPr>
          <w:rFonts w:ascii="楷体_GB2312" w:hAnsi="楷体_GB2312" w:eastAsia="楷体_GB2312" w:cs="楷体_GB2312"/>
          <w:b w:val="0"/>
          <w:bCs w:val="0"/>
          <w:color w:val="000000"/>
          <w:sz w:val="28"/>
          <w:szCs w:val="28"/>
        </w:rPr>
        <w:t xml:space="preserve">仪器设备及实验设施要求 </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firstLine="560" w:firstLineChars="200"/>
        <w:textAlignment w:val="auto"/>
        <w:rPr>
          <w:rFonts w:ascii="仿宋_GB2312" w:hAnsi="仿宋_GB2312" w:eastAsia="仿宋_GB2312" w:cs="仿宋_GB2312"/>
          <w:b w:val="0"/>
          <w:bCs w:val="0"/>
          <w:color w:val="000000"/>
          <w:sz w:val="28"/>
          <w:szCs w:val="28"/>
        </w:rPr>
      </w:pPr>
      <w:r>
        <w:rPr>
          <w:rFonts w:ascii="仿宋_GB2312" w:hAnsi="仿宋_GB2312" w:eastAsia="仿宋_GB2312" w:cs="仿宋_GB2312"/>
          <w:b w:val="0"/>
          <w:bCs w:val="0"/>
          <w:color w:val="000000"/>
          <w:sz w:val="28"/>
          <w:szCs w:val="28"/>
        </w:rPr>
        <w:t>根据赛项考核内容要求，比赛设备应包括实验室常规使用玻璃器皿与工具、分析检测仪器与设备等内容。</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firstLine="560" w:firstLineChars="200"/>
        <w:textAlignment w:val="auto"/>
        <w:rPr>
          <w:rFonts w:ascii="仿宋_GB2312" w:hAnsi="仿宋_GB2312" w:eastAsia="仿宋_GB2312" w:cs="仿宋_GB2312"/>
          <w:b w:val="0"/>
          <w:bCs w:val="0"/>
          <w:color w:val="000000"/>
          <w:sz w:val="28"/>
          <w:szCs w:val="28"/>
        </w:rPr>
      </w:pPr>
      <w:r>
        <w:rPr>
          <w:rFonts w:ascii="仿宋_GB2312" w:hAnsi="仿宋_GB2312" w:eastAsia="仿宋_GB2312" w:cs="仿宋_GB2312"/>
          <w:b w:val="0"/>
          <w:bCs w:val="0"/>
          <w:color w:val="000000"/>
          <w:sz w:val="28"/>
          <w:szCs w:val="28"/>
        </w:rPr>
        <w:t>玻璃器皿和防护用品：实验中所需计量器具（滴定管、移液管、吸量管、容量瓶、比色皿等）</w:t>
      </w:r>
      <w:r>
        <w:rPr>
          <w:rFonts w:hint="eastAsia" w:ascii="仿宋_GB2312" w:hAnsi="仿宋_GB2312" w:eastAsia="仿宋_GB2312" w:cs="仿宋_GB2312"/>
          <w:b w:val="0"/>
          <w:bCs w:val="0"/>
          <w:color w:val="000000"/>
          <w:sz w:val="28"/>
          <w:szCs w:val="28"/>
          <w:lang w:val="en-US" w:eastAsia="zh-CN"/>
        </w:rPr>
        <w:t>可</w:t>
      </w:r>
      <w:r>
        <w:rPr>
          <w:rFonts w:ascii="仿宋_GB2312" w:hAnsi="仿宋_GB2312" w:eastAsia="仿宋_GB2312" w:cs="仿宋_GB2312"/>
          <w:b w:val="0"/>
          <w:bCs w:val="0"/>
          <w:color w:val="000000"/>
          <w:sz w:val="28"/>
          <w:szCs w:val="28"/>
        </w:rPr>
        <w:t>自带；使用数量较多的玻璃器具（烧杯、锥形瓶、量筒等）和常规防护用品（口罩、护目镜、头帽、手套等）可自带；不得携带紫外</w:t>
      </w:r>
      <w:r>
        <w:rPr>
          <w:rFonts w:hint="default" w:ascii="TimesNewRomanPSMT" w:hAnsi="TimesNewRomanPSMT" w:eastAsia="TimesNewRomanPSMT" w:cs="TimesNewRomanPSMT"/>
          <w:b w:val="0"/>
          <w:bCs w:val="0"/>
          <w:color w:val="000000"/>
          <w:sz w:val="28"/>
          <w:szCs w:val="28"/>
        </w:rPr>
        <w:t>-</w:t>
      </w:r>
      <w:r>
        <w:rPr>
          <w:rFonts w:ascii="仿宋_GB2312" w:hAnsi="仿宋_GB2312" w:eastAsia="仿宋_GB2312" w:cs="仿宋_GB2312"/>
          <w:b w:val="0"/>
          <w:bCs w:val="0"/>
          <w:color w:val="000000"/>
          <w:sz w:val="28"/>
          <w:szCs w:val="28"/>
        </w:rPr>
        <w:t xml:space="preserve">可见分光光度计、电子天平、生物显微镜、自动凯氏定氮仪等检测仪器和设备。 </w:t>
      </w:r>
    </w:p>
    <w:p>
      <w:pPr>
        <w:pStyle w:val="3"/>
        <w:keepNext w:val="0"/>
        <w:keepLines w:val="0"/>
        <w:pageBreakBefore w:val="0"/>
        <w:widowControl w:val="0"/>
        <w:numPr>
          <w:ilvl w:val="0"/>
          <w:numId w:val="4"/>
        </w:numPr>
        <w:kinsoku/>
        <w:wordWrap/>
        <w:overflowPunct/>
        <w:topLinePunct w:val="0"/>
        <w:autoSpaceDE/>
        <w:autoSpaceDN/>
        <w:bidi w:val="0"/>
        <w:adjustRightInd/>
        <w:snapToGrid/>
        <w:spacing w:before="0" w:beforeLines="0" w:after="0" w:afterLines="0" w:line="560" w:lineRule="exact"/>
        <w:ind w:left="0" w:leftChars="0" w:firstLine="560" w:firstLineChars="200"/>
        <w:textAlignment w:val="auto"/>
        <w:rPr>
          <w:rFonts w:ascii="楷体_GB2312" w:hAnsi="楷体_GB2312" w:eastAsia="楷体_GB2312" w:cs="楷体_GB2312"/>
          <w:b w:val="0"/>
          <w:bCs w:val="0"/>
          <w:color w:val="000000"/>
          <w:sz w:val="28"/>
          <w:szCs w:val="28"/>
        </w:rPr>
      </w:pPr>
      <w:r>
        <w:rPr>
          <w:rFonts w:ascii="楷体_GB2312" w:hAnsi="楷体_GB2312" w:eastAsia="楷体_GB2312" w:cs="楷体_GB2312"/>
          <w:b w:val="0"/>
          <w:bCs w:val="0"/>
          <w:color w:val="000000"/>
          <w:sz w:val="28"/>
          <w:szCs w:val="28"/>
        </w:rPr>
        <w:t xml:space="preserve">技术平台 </w:t>
      </w:r>
    </w:p>
    <w:p>
      <w:pPr>
        <w:pStyle w:val="3"/>
        <w:keepNext w:val="0"/>
        <w:keepLines w:val="0"/>
        <w:pageBreakBefore w:val="0"/>
        <w:widowControl w:val="0"/>
        <w:numPr>
          <w:ilvl w:val="0"/>
          <w:numId w:val="6"/>
        </w:numPr>
        <w:kinsoku/>
        <w:wordWrap/>
        <w:overflowPunct/>
        <w:topLinePunct w:val="0"/>
        <w:autoSpaceDE/>
        <w:autoSpaceDN/>
        <w:bidi w:val="0"/>
        <w:adjustRightInd/>
        <w:snapToGrid/>
        <w:spacing w:before="0" w:beforeLines="0" w:after="0" w:afterLines="0" w:line="560" w:lineRule="exact"/>
        <w:ind w:firstLine="560" w:firstLineChars="200"/>
        <w:textAlignment w:val="auto"/>
        <w:rPr>
          <w:rFonts w:ascii="仿宋_GB2312" w:hAnsi="仿宋_GB2312" w:eastAsia="仿宋_GB2312" w:cs="仿宋_GB2312"/>
          <w:b w:val="0"/>
          <w:bCs w:val="0"/>
          <w:color w:val="000000"/>
          <w:sz w:val="28"/>
          <w:szCs w:val="28"/>
        </w:rPr>
      </w:pPr>
      <w:r>
        <w:rPr>
          <w:rFonts w:ascii="仿宋_GB2312" w:hAnsi="仿宋_GB2312" w:eastAsia="仿宋_GB2312" w:cs="仿宋_GB2312"/>
          <w:b w:val="0"/>
          <w:bCs w:val="0"/>
          <w:color w:val="000000"/>
          <w:sz w:val="28"/>
          <w:szCs w:val="28"/>
        </w:rPr>
        <w:t xml:space="preserve">本赛项的技术平台主要指竞赛所用的玻璃器皿和分析检测设备。 </w:t>
      </w:r>
    </w:p>
    <w:p>
      <w:pPr>
        <w:pStyle w:val="3"/>
        <w:keepNext w:val="0"/>
        <w:keepLines w:val="0"/>
        <w:pageBreakBefore w:val="0"/>
        <w:widowControl w:val="0"/>
        <w:numPr>
          <w:ilvl w:val="0"/>
          <w:numId w:val="6"/>
        </w:numPr>
        <w:kinsoku/>
        <w:wordWrap/>
        <w:overflowPunct/>
        <w:topLinePunct w:val="0"/>
        <w:autoSpaceDE/>
        <w:autoSpaceDN/>
        <w:bidi w:val="0"/>
        <w:adjustRightInd/>
        <w:snapToGrid/>
        <w:spacing w:before="0" w:beforeLines="0" w:after="0" w:afterLines="0" w:line="560" w:lineRule="exact"/>
        <w:ind w:firstLine="560" w:firstLineChars="200"/>
        <w:textAlignment w:val="auto"/>
        <w:rPr>
          <w:rFonts w:ascii="仿宋_GB2312" w:hAnsi="仿宋_GB2312" w:eastAsia="仿宋_GB2312" w:cs="仿宋_GB2312"/>
          <w:b w:val="0"/>
          <w:bCs w:val="0"/>
          <w:color w:val="000000"/>
          <w:sz w:val="28"/>
          <w:szCs w:val="28"/>
        </w:rPr>
      </w:pPr>
      <w:r>
        <w:rPr>
          <w:rFonts w:ascii="仿宋_GB2312" w:hAnsi="仿宋_GB2312" w:eastAsia="仿宋_GB2312" w:cs="仿宋_GB2312"/>
          <w:b w:val="0"/>
          <w:bCs w:val="0"/>
          <w:color w:val="000000"/>
          <w:sz w:val="28"/>
          <w:szCs w:val="28"/>
        </w:rPr>
        <w:t xml:space="preserve">玻璃量器按照国家规范和行业标准进行采购，玻璃器皿符合 </w:t>
      </w:r>
      <w:r>
        <w:rPr>
          <w:rFonts w:hint="default" w:ascii="TimesNewRomanPSMT" w:hAnsi="TimesNewRomanPSMT" w:eastAsia="TimesNewRomanPSMT" w:cs="TimesNewRomanPSMT"/>
          <w:b w:val="0"/>
          <w:bCs w:val="0"/>
          <w:color w:val="000000"/>
          <w:sz w:val="28"/>
          <w:szCs w:val="28"/>
        </w:rPr>
        <w:t xml:space="preserve">JJG196- 2006 </w:t>
      </w:r>
      <w:r>
        <w:rPr>
          <w:rFonts w:ascii="仿宋_GB2312" w:hAnsi="仿宋_GB2312" w:eastAsia="仿宋_GB2312" w:cs="仿宋_GB2312"/>
          <w:b w:val="0"/>
          <w:bCs w:val="0"/>
          <w:color w:val="000000"/>
          <w:sz w:val="28"/>
          <w:szCs w:val="28"/>
        </w:rPr>
        <w:t xml:space="preserve">常用玻璃量器检定规程。 </w:t>
      </w:r>
    </w:p>
    <w:p>
      <w:pPr>
        <w:pStyle w:val="3"/>
        <w:keepNext w:val="0"/>
        <w:keepLines w:val="0"/>
        <w:pageBreakBefore w:val="0"/>
        <w:widowControl w:val="0"/>
        <w:numPr>
          <w:ilvl w:val="0"/>
          <w:numId w:val="6"/>
        </w:numPr>
        <w:kinsoku/>
        <w:wordWrap/>
        <w:overflowPunct/>
        <w:topLinePunct w:val="0"/>
        <w:autoSpaceDE/>
        <w:autoSpaceDN/>
        <w:bidi w:val="0"/>
        <w:adjustRightInd/>
        <w:snapToGrid/>
        <w:spacing w:before="0" w:beforeLines="0" w:after="0" w:afterLines="0" w:line="560" w:lineRule="exact"/>
        <w:ind w:firstLine="560" w:firstLineChars="200"/>
        <w:textAlignment w:val="auto"/>
        <w:rPr>
          <w:rFonts w:ascii="仿宋_GB2312" w:hAnsi="仿宋_GB2312" w:eastAsia="仿宋_GB2312" w:cs="仿宋_GB2312"/>
          <w:b w:val="0"/>
          <w:bCs w:val="0"/>
          <w:color w:val="000000"/>
          <w:sz w:val="28"/>
          <w:szCs w:val="28"/>
        </w:rPr>
      </w:pPr>
      <w:r>
        <w:rPr>
          <w:rFonts w:ascii="仿宋_GB2312" w:hAnsi="仿宋_GB2312" w:eastAsia="仿宋_GB2312" w:cs="仿宋_GB2312"/>
          <w:b w:val="0"/>
          <w:bCs w:val="0"/>
          <w:color w:val="000000"/>
          <w:sz w:val="28"/>
          <w:szCs w:val="28"/>
        </w:rPr>
        <w:t xml:space="preserve">检测分析设备规格要求：分析天平（精度 </w:t>
      </w:r>
      <w:r>
        <w:rPr>
          <w:rFonts w:hint="default" w:ascii="TimesNewRomanPSMT" w:hAnsi="TimesNewRomanPSMT" w:eastAsia="TimesNewRomanPSMT" w:cs="TimesNewRomanPSMT"/>
          <w:b w:val="0"/>
          <w:bCs w:val="0"/>
          <w:color w:val="000000"/>
          <w:sz w:val="28"/>
          <w:szCs w:val="28"/>
        </w:rPr>
        <w:t>0.01g</w:t>
      </w:r>
      <w:r>
        <w:rPr>
          <w:rFonts w:ascii="仿宋_GB2312" w:hAnsi="仿宋_GB2312" w:eastAsia="仿宋_GB2312" w:cs="仿宋_GB2312"/>
          <w:b w:val="0"/>
          <w:bCs w:val="0"/>
          <w:color w:val="000000"/>
          <w:sz w:val="28"/>
          <w:szCs w:val="28"/>
        </w:rPr>
        <w:t xml:space="preserve">、 </w:t>
      </w:r>
      <w:r>
        <w:rPr>
          <w:rFonts w:hint="default" w:ascii="TimesNewRomanPSMT" w:hAnsi="TimesNewRomanPSMT" w:eastAsia="TimesNewRomanPSMT" w:cs="TimesNewRomanPSMT"/>
          <w:b w:val="0"/>
          <w:bCs w:val="0"/>
          <w:color w:val="000000"/>
          <w:sz w:val="28"/>
          <w:szCs w:val="28"/>
        </w:rPr>
        <w:t>0.0001g</w:t>
      </w:r>
      <w:r>
        <w:rPr>
          <w:rFonts w:ascii="仿宋_GB2312" w:hAnsi="仿宋_GB2312" w:eastAsia="仿宋_GB2312" w:cs="仿宋_GB2312"/>
          <w:b w:val="0"/>
          <w:bCs w:val="0"/>
          <w:color w:val="000000"/>
          <w:sz w:val="28"/>
          <w:szCs w:val="28"/>
        </w:rPr>
        <w:t>）、紫外</w:t>
      </w:r>
      <w:r>
        <w:rPr>
          <w:rFonts w:hint="default" w:ascii="TimesNewRomanPSMT" w:hAnsi="TimesNewRomanPSMT" w:eastAsia="TimesNewRomanPSMT" w:cs="TimesNewRomanPSMT"/>
          <w:b w:val="0"/>
          <w:bCs w:val="0"/>
          <w:color w:val="000000"/>
          <w:sz w:val="28"/>
          <w:szCs w:val="28"/>
        </w:rPr>
        <w:t>-</w:t>
      </w:r>
      <w:r>
        <w:rPr>
          <w:rFonts w:ascii="仿宋_GB2312" w:hAnsi="仿宋_GB2312" w:eastAsia="仿宋_GB2312" w:cs="仿宋_GB2312"/>
          <w:b w:val="0"/>
          <w:bCs w:val="0"/>
          <w:color w:val="000000"/>
          <w:sz w:val="28"/>
          <w:szCs w:val="28"/>
        </w:rPr>
        <w:t xml:space="preserve">可见分光光度计、自动凯氏定氮仪、生物显微镜（放大倍数 </w:t>
      </w:r>
      <w:r>
        <w:rPr>
          <w:rFonts w:hint="default" w:ascii="TimesNewRomanPSMT" w:hAnsi="TimesNewRomanPSMT" w:eastAsia="TimesNewRomanPSMT" w:cs="TimesNewRomanPSMT"/>
          <w:b w:val="0"/>
          <w:bCs w:val="0"/>
          <w:color w:val="000000"/>
          <w:sz w:val="28"/>
          <w:szCs w:val="28"/>
        </w:rPr>
        <w:t xml:space="preserve">400 </w:t>
      </w:r>
      <w:r>
        <w:rPr>
          <w:rFonts w:ascii="仿宋_GB2312" w:hAnsi="仿宋_GB2312" w:eastAsia="仿宋_GB2312" w:cs="仿宋_GB2312"/>
          <w:b w:val="0"/>
          <w:bCs w:val="0"/>
          <w:color w:val="000000"/>
          <w:sz w:val="28"/>
          <w:szCs w:val="28"/>
        </w:rPr>
        <w:t>倍以内）。</w:t>
      </w:r>
    </w:p>
    <w:p>
      <w:pPr>
        <w:pStyle w:val="3"/>
        <w:spacing w:before="156" w:after="156"/>
        <w:ind w:firstLine="562" w:firstLineChars="200"/>
        <w:rPr>
          <w:rStyle w:val="25"/>
          <w:rFonts w:hint="eastAsia" w:ascii="仿宋_GB2312" w:hAnsi="仿宋_GB2312" w:eastAsia="仿宋_GB2312" w:cs="仿宋_GB2312"/>
          <w:b/>
          <w:bCs w:val="0"/>
          <w:sz w:val="28"/>
          <w:szCs w:val="28"/>
          <w:highlight w:val="none"/>
        </w:rPr>
      </w:pPr>
      <w:r>
        <w:rPr>
          <w:rStyle w:val="25"/>
          <w:rFonts w:hint="eastAsia" w:ascii="仿宋_GB2312" w:hAnsi="仿宋_GB2312" w:eastAsia="仿宋_GB2312" w:cs="仿宋_GB2312"/>
          <w:b/>
          <w:bCs w:val="0"/>
          <w:sz w:val="28"/>
          <w:szCs w:val="28"/>
          <w:highlight w:val="none"/>
          <w:lang w:val="en-US" w:eastAsia="zh-CN"/>
        </w:rPr>
        <w:t>十</w:t>
      </w:r>
      <w:r>
        <w:rPr>
          <w:rStyle w:val="25"/>
          <w:rFonts w:hint="eastAsia" w:ascii="仿宋_GB2312" w:hAnsi="仿宋_GB2312" w:eastAsia="仿宋_GB2312" w:cs="仿宋_GB2312"/>
          <w:b/>
          <w:bCs w:val="0"/>
          <w:sz w:val="28"/>
          <w:szCs w:val="28"/>
          <w:highlight w:val="none"/>
        </w:rPr>
        <w:t>、赛项安全</w:t>
      </w:r>
    </w:p>
    <w:p>
      <w:pPr>
        <w:pStyle w:val="3"/>
        <w:spacing w:before="156" w:after="156"/>
        <w:ind w:firstLine="620" w:firstLineChars="200"/>
        <w:rPr>
          <w:rFonts w:ascii="楷体_GB2312" w:hAnsi="楷体_GB2312" w:eastAsia="楷体_GB2312" w:cs="楷体_GB2312"/>
          <w:b w:val="0"/>
          <w:bCs w:val="0"/>
          <w:color w:val="000000"/>
          <w:sz w:val="31"/>
          <w:szCs w:val="31"/>
        </w:rPr>
      </w:pPr>
      <w:r>
        <w:rPr>
          <w:rFonts w:ascii="楷体_GB2312" w:hAnsi="楷体_GB2312" w:eastAsia="楷体_GB2312" w:cs="楷体_GB2312"/>
          <w:b w:val="0"/>
          <w:bCs w:val="0"/>
          <w:color w:val="000000"/>
          <w:sz w:val="31"/>
          <w:szCs w:val="31"/>
        </w:rPr>
        <w:t xml:space="preserve">（一）安全操作 </w:t>
      </w:r>
    </w:p>
    <w:p>
      <w:pPr>
        <w:pStyle w:val="4"/>
        <w:spacing w:line="600" w:lineRule="exact"/>
        <w:ind w:left="0" w:firstLine="560" w:firstLineChars="200"/>
        <w:rPr>
          <w:rFonts w:ascii="仿宋_GB2312" w:hAnsi="仿宋_GB2312" w:eastAsia="仿宋_GB2312" w:cs="仿宋_GB2312"/>
          <w:b w:val="0"/>
          <w:bCs w:val="0"/>
          <w:color w:val="000000"/>
          <w:kern w:val="44"/>
          <w:sz w:val="28"/>
          <w:szCs w:val="28"/>
          <w:lang w:val="en-US" w:eastAsia="zh-CN" w:bidi="ar-SA"/>
        </w:rPr>
      </w:pPr>
      <w:r>
        <w:rPr>
          <w:rFonts w:ascii="仿宋_GB2312" w:hAnsi="仿宋_GB2312" w:eastAsia="仿宋_GB2312" w:cs="仿宋_GB2312"/>
          <w:b w:val="0"/>
          <w:bCs w:val="0"/>
          <w:color w:val="000000"/>
          <w:kern w:val="44"/>
          <w:sz w:val="28"/>
          <w:szCs w:val="28"/>
          <w:lang w:val="en-US" w:eastAsia="zh-CN" w:bidi="ar-SA"/>
        </w:rPr>
        <w:t xml:space="preserve">1.参赛选手在比赛过程中，要注意安全用电，不要用湿手、湿物接触电源，比赛结束后应关闭电源。 </w:t>
      </w:r>
    </w:p>
    <w:p>
      <w:pPr>
        <w:pStyle w:val="4"/>
        <w:spacing w:line="600" w:lineRule="exact"/>
        <w:ind w:left="0" w:firstLine="560" w:firstLineChars="200"/>
        <w:rPr>
          <w:rFonts w:ascii="仿宋_GB2312" w:hAnsi="仿宋_GB2312" w:eastAsia="仿宋_GB2312" w:cs="仿宋_GB2312"/>
          <w:b w:val="0"/>
          <w:bCs w:val="0"/>
          <w:color w:val="000000"/>
          <w:kern w:val="44"/>
          <w:sz w:val="28"/>
          <w:szCs w:val="28"/>
          <w:lang w:val="en-US" w:eastAsia="zh-CN" w:bidi="ar-SA"/>
        </w:rPr>
      </w:pPr>
      <w:r>
        <w:rPr>
          <w:rFonts w:hint="default" w:ascii="仿宋_GB2312" w:hAnsi="仿宋_GB2312" w:eastAsia="仿宋_GB2312" w:cs="仿宋_GB2312"/>
          <w:b w:val="0"/>
          <w:bCs w:val="0"/>
          <w:color w:val="000000"/>
          <w:kern w:val="44"/>
          <w:sz w:val="28"/>
          <w:szCs w:val="28"/>
          <w:lang w:val="en-US" w:eastAsia="zh-CN" w:bidi="ar-SA"/>
        </w:rPr>
        <w:t>2.</w:t>
      </w:r>
      <w:r>
        <w:rPr>
          <w:rFonts w:ascii="仿宋_GB2312" w:hAnsi="仿宋_GB2312" w:eastAsia="仿宋_GB2312" w:cs="仿宋_GB2312"/>
          <w:b w:val="0"/>
          <w:bCs w:val="0"/>
          <w:color w:val="000000"/>
          <w:kern w:val="44"/>
          <w:sz w:val="28"/>
          <w:szCs w:val="28"/>
          <w:lang w:val="en-US" w:eastAsia="zh-CN" w:bidi="ar-SA"/>
        </w:rPr>
        <w:t xml:space="preserve">要熟悉掌握实验中的注意事项和化学试剂特性，严禁进行具有安全风险的操作。 </w:t>
      </w:r>
    </w:p>
    <w:p>
      <w:pPr>
        <w:pStyle w:val="4"/>
        <w:spacing w:line="600" w:lineRule="exact"/>
        <w:ind w:left="0" w:firstLine="560" w:firstLineChars="200"/>
        <w:rPr>
          <w:rFonts w:ascii="仿宋_GB2312" w:hAnsi="仿宋_GB2312" w:eastAsia="仿宋_GB2312" w:cs="仿宋_GB2312"/>
          <w:b w:val="0"/>
          <w:bCs w:val="0"/>
          <w:color w:val="000000"/>
          <w:sz w:val="31"/>
          <w:szCs w:val="31"/>
        </w:rPr>
      </w:pPr>
      <w:r>
        <w:rPr>
          <w:rFonts w:hint="default" w:ascii="仿宋_GB2312" w:hAnsi="仿宋_GB2312" w:eastAsia="仿宋_GB2312" w:cs="仿宋_GB2312"/>
          <w:b w:val="0"/>
          <w:bCs w:val="0"/>
          <w:color w:val="000000"/>
          <w:kern w:val="44"/>
          <w:sz w:val="28"/>
          <w:szCs w:val="28"/>
          <w:lang w:val="en-US" w:eastAsia="zh-CN" w:bidi="ar-SA"/>
        </w:rPr>
        <w:t>3.</w:t>
      </w:r>
      <w:r>
        <w:rPr>
          <w:rFonts w:ascii="仿宋_GB2312" w:hAnsi="仿宋_GB2312" w:eastAsia="仿宋_GB2312" w:cs="仿宋_GB2312"/>
          <w:b w:val="0"/>
          <w:bCs w:val="0"/>
          <w:color w:val="000000"/>
          <w:kern w:val="44"/>
          <w:sz w:val="28"/>
          <w:szCs w:val="28"/>
          <w:lang w:val="en-US" w:eastAsia="zh-CN" w:bidi="ar-SA"/>
        </w:rPr>
        <w:t>严禁在比赛场地内饮食或把餐具带进比赛场地。</w:t>
      </w:r>
      <w:r>
        <w:rPr>
          <w:rFonts w:ascii="仿宋_GB2312" w:hAnsi="仿宋_GB2312" w:eastAsia="仿宋_GB2312" w:cs="仿宋_GB2312"/>
          <w:b w:val="0"/>
          <w:bCs w:val="0"/>
          <w:color w:val="000000"/>
          <w:sz w:val="31"/>
          <w:szCs w:val="31"/>
        </w:rPr>
        <w:t xml:space="preserve"> </w:t>
      </w:r>
    </w:p>
    <w:p>
      <w:pPr>
        <w:pStyle w:val="4"/>
        <w:spacing w:line="600" w:lineRule="exact"/>
        <w:ind w:left="0" w:firstLine="620" w:firstLineChars="200"/>
        <w:rPr>
          <w:rFonts w:ascii="楷体_GB2312" w:hAnsi="楷体_GB2312" w:eastAsia="楷体_GB2312" w:cs="楷体_GB2312"/>
          <w:b w:val="0"/>
          <w:bCs w:val="0"/>
          <w:color w:val="000000"/>
          <w:sz w:val="31"/>
          <w:szCs w:val="31"/>
        </w:rPr>
      </w:pPr>
      <w:r>
        <w:rPr>
          <w:rFonts w:ascii="楷体_GB2312" w:hAnsi="楷体_GB2312" w:eastAsia="楷体_GB2312" w:cs="楷体_GB2312"/>
          <w:b w:val="0"/>
          <w:bCs w:val="0"/>
          <w:color w:val="000000"/>
          <w:sz w:val="31"/>
          <w:szCs w:val="31"/>
        </w:rPr>
        <w:t xml:space="preserve">（二）赛场安全保障 </w:t>
      </w:r>
    </w:p>
    <w:p>
      <w:pPr>
        <w:pStyle w:val="4"/>
        <w:spacing w:line="600" w:lineRule="exact"/>
        <w:ind w:left="0" w:firstLine="560" w:firstLineChars="200"/>
        <w:rPr>
          <w:rFonts w:ascii="仿宋_GB2312" w:hAnsi="仿宋_GB2312" w:eastAsia="仿宋_GB2312" w:cs="仿宋_GB2312"/>
          <w:b w:val="0"/>
          <w:bCs w:val="0"/>
          <w:color w:val="000000"/>
          <w:kern w:val="44"/>
          <w:sz w:val="28"/>
          <w:szCs w:val="28"/>
          <w:lang w:val="en-US" w:eastAsia="zh-CN" w:bidi="ar-SA"/>
        </w:rPr>
      </w:pPr>
      <w:r>
        <w:rPr>
          <w:rFonts w:hint="default" w:ascii="仿宋_GB2312" w:hAnsi="仿宋_GB2312" w:eastAsia="仿宋_GB2312" w:cs="仿宋_GB2312"/>
          <w:b w:val="0"/>
          <w:bCs w:val="0"/>
          <w:color w:val="000000"/>
          <w:kern w:val="44"/>
          <w:sz w:val="28"/>
          <w:szCs w:val="28"/>
          <w:lang w:val="en-US" w:eastAsia="zh-CN" w:bidi="ar-SA"/>
        </w:rPr>
        <w:t>1.</w:t>
      </w:r>
      <w:r>
        <w:rPr>
          <w:rFonts w:ascii="仿宋_GB2312" w:hAnsi="仿宋_GB2312" w:eastAsia="仿宋_GB2312" w:cs="仿宋_GB2312"/>
          <w:b w:val="0"/>
          <w:bCs w:val="0"/>
          <w:color w:val="000000"/>
          <w:kern w:val="44"/>
          <w:sz w:val="28"/>
          <w:szCs w:val="28"/>
          <w:lang w:val="en-US" w:eastAsia="zh-CN" w:bidi="ar-SA"/>
        </w:rPr>
        <w:t xml:space="preserve">所有人员不准携带液体饮料、管制器械及易燃易爆等危险物品进入指定区域，不准在禁烟区吸烟。 </w:t>
      </w:r>
    </w:p>
    <w:p>
      <w:pPr>
        <w:pStyle w:val="4"/>
        <w:spacing w:line="600" w:lineRule="exact"/>
        <w:ind w:left="0" w:firstLine="560" w:firstLineChars="200"/>
        <w:rPr>
          <w:rFonts w:ascii="仿宋_GB2312" w:hAnsi="仿宋_GB2312" w:eastAsia="仿宋_GB2312" w:cs="仿宋_GB2312"/>
          <w:b w:val="0"/>
          <w:bCs w:val="0"/>
          <w:color w:val="000000"/>
          <w:kern w:val="44"/>
          <w:sz w:val="28"/>
          <w:szCs w:val="28"/>
          <w:lang w:val="en-US" w:eastAsia="zh-CN" w:bidi="ar-SA"/>
        </w:rPr>
      </w:pPr>
      <w:r>
        <w:rPr>
          <w:rFonts w:hint="default" w:ascii="仿宋_GB2312" w:hAnsi="仿宋_GB2312" w:eastAsia="仿宋_GB2312" w:cs="仿宋_GB2312"/>
          <w:b w:val="0"/>
          <w:bCs w:val="0"/>
          <w:color w:val="000000"/>
          <w:kern w:val="44"/>
          <w:sz w:val="28"/>
          <w:szCs w:val="28"/>
          <w:lang w:val="en-US" w:eastAsia="zh-CN" w:bidi="ar-SA"/>
        </w:rPr>
        <w:t>2.</w:t>
      </w:r>
      <w:r>
        <w:rPr>
          <w:rFonts w:ascii="仿宋_GB2312" w:hAnsi="仿宋_GB2312" w:eastAsia="仿宋_GB2312" w:cs="仿宋_GB2312"/>
          <w:b w:val="0"/>
          <w:bCs w:val="0"/>
          <w:color w:val="000000"/>
          <w:kern w:val="44"/>
          <w:sz w:val="28"/>
          <w:szCs w:val="28"/>
          <w:lang w:val="en-US" w:eastAsia="zh-CN" w:bidi="ar-SA"/>
        </w:rPr>
        <w:t xml:space="preserve">比赛期间如发生火情等特殊情况，要保持镇静，在第一时间向现场工作人员报告，并按照现场工作人员的统一指挥，参与扑救或有序撤离。 </w:t>
      </w:r>
    </w:p>
    <w:p>
      <w:pPr>
        <w:pStyle w:val="4"/>
        <w:spacing w:line="600" w:lineRule="exact"/>
        <w:ind w:left="0" w:firstLine="560" w:firstLineChars="200"/>
        <w:rPr>
          <w:rFonts w:ascii="仿宋_GB2312" w:hAnsi="仿宋_GB2312" w:eastAsia="仿宋_GB2312" w:cs="仿宋_GB2312"/>
          <w:b w:val="0"/>
          <w:bCs w:val="0"/>
          <w:color w:val="000000"/>
          <w:sz w:val="31"/>
          <w:szCs w:val="31"/>
        </w:rPr>
      </w:pPr>
      <w:r>
        <w:rPr>
          <w:rFonts w:hint="default" w:ascii="仿宋_GB2312" w:hAnsi="仿宋_GB2312" w:eastAsia="仿宋_GB2312" w:cs="仿宋_GB2312"/>
          <w:b w:val="0"/>
          <w:bCs w:val="0"/>
          <w:color w:val="000000"/>
          <w:kern w:val="44"/>
          <w:sz w:val="28"/>
          <w:szCs w:val="28"/>
          <w:lang w:val="en-US" w:eastAsia="zh-CN" w:bidi="ar-SA"/>
        </w:rPr>
        <w:t>3.</w:t>
      </w:r>
      <w:r>
        <w:rPr>
          <w:rFonts w:ascii="仿宋_GB2312" w:hAnsi="仿宋_GB2312" w:eastAsia="仿宋_GB2312" w:cs="仿宋_GB2312"/>
          <w:b w:val="0"/>
          <w:bCs w:val="0"/>
          <w:color w:val="000000"/>
          <w:kern w:val="44"/>
          <w:sz w:val="28"/>
          <w:szCs w:val="28"/>
          <w:lang w:val="en-US" w:eastAsia="zh-CN" w:bidi="ar-SA"/>
        </w:rPr>
        <w:t>比赛期间一旦发生人员意外伤害或紧急突发病情，要服从现场救护人员指挥，医护人员应采取积极有效的医疗救治措施；遇有病情严重情况时，要尽快指派专人护送病人到医院进行救治。</w:t>
      </w:r>
      <w:r>
        <w:rPr>
          <w:rFonts w:ascii="仿宋_GB2312" w:hAnsi="仿宋_GB2312" w:eastAsia="仿宋_GB2312" w:cs="仿宋_GB2312"/>
          <w:b w:val="0"/>
          <w:bCs w:val="0"/>
          <w:color w:val="000000"/>
          <w:sz w:val="31"/>
          <w:szCs w:val="31"/>
        </w:rPr>
        <w:t xml:space="preserve"> </w:t>
      </w:r>
    </w:p>
    <w:p>
      <w:pPr>
        <w:pStyle w:val="4"/>
        <w:spacing w:line="600" w:lineRule="exact"/>
        <w:ind w:left="0" w:firstLine="620" w:firstLineChars="200"/>
        <w:rPr>
          <w:rFonts w:ascii="楷体_GB2312" w:hAnsi="楷体_GB2312" w:eastAsia="楷体_GB2312" w:cs="楷体_GB2312"/>
          <w:b w:val="0"/>
          <w:bCs w:val="0"/>
          <w:color w:val="000000"/>
          <w:sz w:val="31"/>
          <w:szCs w:val="31"/>
        </w:rPr>
      </w:pPr>
      <w:r>
        <w:rPr>
          <w:rFonts w:ascii="楷体_GB2312" w:hAnsi="楷体_GB2312" w:eastAsia="楷体_GB2312" w:cs="楷体_GB2312"/>
          <w:b w:val="0"/>
          <w:bCs w:val="0"/>
          <w:color w:val="000000"/>
          <w:sz w:val="31"/>
          <w:szCs w:val="31"/>
        </w:rPr>
        <w:t xml:space="preserve">（三）安保工作要求 </w:t>
      </w:r>
    </w:p>
    <w:p>
      <w:pPr>
        <w:pStyle w:val="4"/>
        <w:spacing w:line="600" w:lineRule="exact"/>
        <w:ind w:left="0" w:firstLine="560" w:firstLineChars="200"/>
        <w:rPr>
          <w:rFonts w:ascii="仿宋_GB2312" w:hAnsi="仿宋_GB2312" w:eastAsia="仿宋_GB2312" w:cs="仿宋_GB2312"/>
          <w:b w:val="0"/>
          <w:bCs w:val="0"/>
          <w:color w:val="000000"/>
          <w:kern w:val="44"/>
          <w:sz w:val="28"/>
          <w:szCs w:val="28"/>
          <w:lang w:val="en-US" w:eastAsia="zh-CN" w:bidi="ar-SA"/>
        </w:rPr>
      </w:pPr>
      <w:r>
        <w:rPr>
          <w:rFonts w:hint="default" w:ascii="仿宋_GB2312" w:hAnsi="仿宋_GB2312" w:eastAsia="仿宋_GB2312" w:cs="仿宋_GB2312"/>
          <w:b w:val="0"/>
          <w:bCs w:val="0"/>
          <w:color w:val="000000"/>
          <w:kern w:val="44"/>
          <w:sz w:val="28"/>
          <w:szCs w:val="28"/>
          <w:lang w:val="en-US" w:eastAsia="zh-CN" w:bidi="ar-SA"/>
        </w:rPr>
        <w:t>1.</w:t>
      </w:r>
      <w:r>
        <w:rPr>
          <w:rFonts w:ascii="仿宋_GB2312" w:hAnsi="仿宋_GB2312" w:eastAsia="仿宋_GB2312" w:cs="仿宋_GB2312"/>
          <w:b w:val="0"/>
          <w:bCs w:val="0"/>
          <w:color w:val="000000"/>
          <w:kern w:val="44"/>
          <w:sz w:val="28"/>
          <w:szCs w:val="28"/>
          <w:lang w:val="en-US" w:eastAsia="zh-CN" w:bidi="ar-SA"/>
        </w:rPr>
        <w:t xml:space="preserve">在发生突发事件时，安保工作负责人要掌握信息，统一布置工作，全体安保人员必须服从命令、听从指挥，不得顶撞、拖延或临时逃脱，在未接到撤岗指令之前，不得离开岗位。 </w:t>
      </w:r>
    </w:p>
    <w:p>
      <w:pPr>
        <w:pStyle w:val="4"/>
        <w:spacing w:line="600" w:lineRule="exact"/>
        <w:ind w:left="0" w:firstLine="560" w:firstLineChars="200"/>
        <w:rPr>
          <w:rFonts w:ascii="仿宋_GB2312" w:hAnsi="仿宋_GB2312" w:eastAsia="仿宋_GB2312" w:cs="仿宋_GB2312"/>
          <w:b w:val="0"/>
          <w:bCs w:val="0"/>
          <w:color w:val="000000"/>
          <w:kern w:val="44"/>
          <w:sz w:val="28"/>
          <w:szCs w:val="28"/>
          <w:lang w:val="en-US" w:eastAsia="zh-CN" w:bidi="ar-SA"/>
        </w:rPr>
      </w:pPr>
      <w:r>
        <w:rPr>
          <w:rFonts w:hint="default" w:ascii="仿宋_GB2312" w:hAnsi="仿宋_GB2312" w:eastAsia="仿宋_GB2312" w:cs="仿宋_GB2312"/>
          <w:b w:val="0"/>
          <w:bCs w:val="0"/>
          <w:color w:val="000000"/>
          <w:kern w:val="44"/>
          <w:sz w:val="28"/>
          <w:szCs w:val="28"/>
          <w:lang w:val="en-US" w:eastAsia="zh-CN" w:bidi="ar-SA"/>
        </w:rPr>
        <w:t>2.</w:t>
      </w:r>
      <w:r>
        <w:rPr>
          <w:rFonts w:ascii="仿宋_GB2312" w:hAnsi="仿宋_GB2312" w:eastAsia="仿宋_GB2312" w:cs="仿宋_GB2312"/>
          <w:b w:val="0"/>
          <w:bCs w:val="0"/>
          <w:color w:val="000000"/>
          <w:kern w:val="44"/>
          <w:sz w:val="28"/>
          <w:szCs w:val="28"/>
          <w:lang w:val="en-US" w:eastAsia="zh-CN" w:bidi="ar-SA"/>
        </w:rPr>
        <w:t>发现安全隐患或突发事件时，现场人员应立即向保卫组汇报，保卫组接报后要立即到达现场，指挥并配合专业人员做好抢救工作；视突发事件的具体情况，分别向相关部门报告。</w:t>
      </w:r>
    </w:p>
    <w:p>
      <w:pPr>
        <w:pStyle w:val="3"/>
        <w:spacing w:before="156" w:after="156"/>
        <w:ind w:firstLine="562" w:firstLineChars="200"/>
        <w:rPr>
          <w:rStyle w:val="25"/>
          <w:rFonts w:hint="eastAsia" w:ascii="仿宋_GB2312" w:hAnsi="仿宋_GB2312" w:eastAsia="仿宋_GB2312" w:cs="仿宋_GB2312"/>
          <w:b/>
          <w:bCs w:val="0"/>
          <w:sz w:val="28"/>
          <w:szCs w:val="28"/>
          <w:highlight w:val="none"/>
          <w:lang w:val="en-US" w:eastAsia="zh-CN"/>
        </w:rPr>
      </w:pPr>
      <w:r>
        <w:rPr>
          <w:rStyle w:val="25"/>
          <w:rFonts w:hint="eastAsia" w:ascii="仿宋_GB2312" w:hAnsi="仿宋_GB2312" w:eastAsia="仿宋_GB2312" w:cs="仿宋_GB2312"/>
          <w:b/>
          <w:bCs w:val="0"/>
          <w:sz w:val="28"/>
          <w:szCs w:val="28"/>
          <w:highlight w:val="none"/>
          <w:lang w:val="en-US" w:eastAsia="zh-CN"/>
        </w:rPr>
        <w:t>十一、成绩评定</w:t>
      </w:r>
    </w:p>
    <w:p>
      <w:pPr>
        <w:pStyle w:val="4"/>
        <w:keepNext w:val="0"/>
        <w:keepLines w:val="0"/>
        <w:pageBreakBefore w:val="0"/>
        <w:widowControl/>
        <w:kinsoku/>
        <w:wordWrap/>
        <w:overflowPunct/>
        <w:topLinePunct w:val="0"/>
        <w:autoSpaceDE/>
        <w:autoSpaceDN/>
        <w:bidi w:val="0"/>
        <w:adjustRightInd/>
        <w:snapToGrid/>
        <w:spacing w:line="560" w:lineRule="exact"/>
        <w:ind w:left="0" w:firstLine="562" w:firstLineChars="200"/>
        <w:textAlignment w:val="auto"/>
        <w:rPr>
          <w:rFonts w:ascii="Times New Roman" w:hAnsi="Times New Roman" w:eastAsia="楷体"/>
          <w:sz w:val="28"/>
          <w:szCs w:val="28"/>
        </w:rPr>
      </w:pPr>
      <w:r>
        <w:rPr>
          <w:rFonts w:ascii="Times New Roman" w:hAnsi="Times New Roman" w:eastAsia="楷体"/>
          <w:sz w:val="28"/>
          <w:szCs w:val="28"/>
        </w:rPr>
        <w:t xml:space="preserve">（一）评分标准 </w:t>
      </w:r>
    </w:p>
    <w:p>
      <w:pPr>
        <w:pStyle w:val="7"/>
        <w:adjustRightInd w:val="0"/>
        <w:snapToGrid w:val="0"/>
        <w:spacing w:line="600" w:lineRule="exact"/>
        <w:ind w:firstLine="0" w:firstLineChars="0"/>
        <w:jc w:val="center"/>
        <w:rPr>
          <w:rFonts w:ascii="Times New Roman" w:hAnsi="Times New Roman" w:eastAsia="黑体" w:cs="Times New Roman"/>
          <w:bCs/>
          <w:spacing w:val="2"/>
          <w:sz w:val="28"/>
          <w:szCs w:val="28"/>
        </w:rPr>
      </w:pPr>
      <w:r>
        <w:rPr>
          <w:rFonts w:ascii="Times New Roman" w:hAnsi="Times New Roman" w:eastAsia="黑体" w:cs="Times New Roman"/>
          <w:bCs/>
          <w:kern w:val="0"/>
          <w:sz w:val="28"/>
          <w:szCs w:val="28"/>
        </w:rPr>
        <w:t>表</w:t>
      </w:r>
      <w:r>
        <w:rPr>
          <w:rFonts w:hint="eastAsia" w:ascii="Times New Roman" w:hAnsi="Times New Roman" w:eastAsia="黑体" w:cs="Times New Roman"/>
          <w:bCs/>
          <w:kern w:val="0"/>
          <w:sz w:val="28"/>
          <w:szCs w:val="28"/>
          <w:lang w:val="en-US" w:eastAsia="zh-CN"/>
        </w:rPr>
        <w:t>2</w:t>
      </w:r>
      <w:r>
        <w:rPr>
          <w:rFonts w:ascii="Times New Roman" w:hAnsi="Times New Roman" w:eastAsia="黑体" w:cs="Times New Roman"/>
          <w:bCs/>
          <w:kern w:val="0"/>
          <w:sz w:val="28"/>
          <w:szCs w:val="28"/>
        </w:rPr>
        <w:t xml:space="preserve"> </w:t>
      </w:r>
      <w:r>
        <w:rPr>
          <w:rFonts w:hint="eastAsia" w:ascii="Times New Roman" w:hAnsi="Times New Roman" w:eastAsia="黑体" w:cs="Times New Roman"/>
          <w:bCs/>
          <w:kern w:val="0"/>
          <w:sz w:val="24"/>
          <w:szCs w:val="24"/>
          <w:lang w:val="en-US" w:eastAsia="zh-CN"/>
        </w:rPr>
        <w:t>饲料营养与检测</w:t>
      </w:r>
      <w:r>
        <w:rPr>
          <w:rFonts w:ascii="Times New Roman" w:hAnsi="Times New Roman" w:eastAsia="黑体" w:cs="Times New Roman"/>
          <w:bCs/>
          <w:kern w:val="0"/>
          <w:sz w:val="24"/>
          <w:szCs w:val="24"/>
        </w:rPr>
        <w:t>评分</w:t>
      </w:r>
      <w:r>
        <w:rPr>
          <w:rFonts w:hint="eastAsia" w:ascii="Times New Roman" w:hAnsi="Times New Roman" w:eastAsia="黑体" w:cs="Times New Roman"/>
          <w:bCs/>
          <w:kern w:val="0"/>
          <w:sz w:val="24"/>
          <w:szCs w:val="24"/>
          <w:lang w:val="en-US" w:eastAsia="zh-CN"/>
        </w:rPr>
        <w:t>标准</w:t>
      </w:r>
    </w:p>
    <w:tbl>
      <w:tblPr>
        <w:tblStyle w:val="12"/>
        <w:tblW w:w="4637"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0" w:type="dxa"/>
          <w:bottom w:w="0" w:type="dxa"/>
          <w:right w:w="0" w:type="dxa"/>
        </w:tblCellMar>
      </w:tblPr>
      <w:tblGrid>
        <w:gridCol w:w="1489"/>
        <w:gridCol w:w="6"/>
        <w:gridCol w:w="5353"/>
        <w:gridCol w:w="88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63" w:type="pct"/>
            <w:vAlign w:val="center"/>
          </w:tcPr>
          <w:p>
            <w:pPr>
              <w:keepNext w:val="0"/>
              <w:keepLines w:val="0"/>
              <w:widowControl/>
              <w:suppressLineNumbers w:val="0"/>
              <w:jc w:val="center"/>
              <w:rPr>
                <w:rFonts w:ascii="仿宋_GB2312" w:hAnsi="仿宋_GB2312" w:eastAsia="仿宋_GB2312" w:cs="仿宋_GB2312"/>
                <w:b/>
                <w:bCs/>
                <w:color w:val="000000"/>
                <w:kern w:val="0"/>
                <w:sz w:val="24"/>
                <w:szCs w:val="24"/>
                <w:lang w:val="en-US" w:eastAsia="zh-CN" w:bidi="ar"/>
              </w:rPr>
            </w:pPr>
            <w:r>
              <w:rPr>
                <w:rFonts w:ascii="仿宋_GB2312" w:hAnsi="仿宋_GB2312" w:eastAsia="仿宋_GB2312" w:cs="仿宋_GB2312"/>
                <w:b/>
                <w:bCs/>
                <w:color w:val="000000"/>
                <w:kern w:val="0"/>
                <w:sz w:val="24"/>
                <w:szCs w:val="24"/>
                <w:lang w:val="en-US" w:eastAsia="zh-CN" w:bidi="ar"/>
              </w:rPr>
              <w:t>评分标准</w:t>
            </w:r>
          </w:p>
          <w:p>
            <w:pPr>
              <w:pStyle w:val="2"/>
              <w:jc w:val="center"/>
              <w:rPr>
                <w:rFonts w:hint="default"/>
                <w:lang w:val="en-US"/>
              </w:rPr>
            </w:pPr>
            <w:r>
              <w:rPr>
                <w:rFonts w:hint="eastAsia" w:ascii="仿宋_GB2312" w:hAnsi="仿宋_GB2312" w:eastAsia="仿宋_GB2312" w:cs="仿宋_GB2312"/>
                <w:b/>
                <w:bCs/>
                <w:color w:val="000000"/>
                <w:kern w:val="0"/>
                <w:sz w:val="24"/>
                <w:szCs w:val="24"/>
                <w:lang w:val="en-US" w:eastAsia="zh-CN" w:bidi="ar"/>
              </w:rPr>
              <w:t>一级指标</w:t>
            </w:r>
          </w:p>
        </w:tc>
        <w:tc>
          <w:tcPr>
            <w:tcW w:w="3465" w:type="pct"/>
            <w:gridSpan w:val="2"/>
            <w:vAlign w:val="center"/>
          </w:tcPr>
          <w:p>
            <w:pPr>
              <w:keepNext w:val="0"/>
              <w:keepLines w:val="0"/>
              <w:widowControl/>
              <w:suppressLineNumbers w:val="0"/>
              <w:jc w:val="center"/>
              <w:rPr>
                <w:rFonts w:ascii="仿宋_GB2312" w:hAnsi="仿宋_GB2312" w:eastAsia="仿宋_GB2312" w:cs="仿宋_GB2312"/>
                <w:b/>
                <w:bCs/>
                <w:color w:val="000000"/>
                <w:kern w:val="0"/>
                <w:sz w:val="24"/>
                <w:szCs w:val="24"/>
                <w:lang w:val="en-US" w:eastAsia="zh-CN" w:bidi="ar"/>
              </w:rPr>
            </w:pPr>
            <w:r>
              <w:rPr>
                <w:rFonts w:ascii="仿宋_GB2312" w:hAnsi="仿宋_GB2312" w:eastAsia="仿宋_GB2312" w:cs="仿宋_GB2312"/>
                <w:b/>
                <w:bCs/>
                <w:color w:val="000000"/>
                <w:kern w:val="0"/>
                <w:sz w:val="24"/>
                <w:szCs w:val="24"/>
                <w:lang w:val="en-US" w:eastAsia="zh-CN" w:bidi="ar"/>
              </w:rPr>
              <w:t>评分标准</w:t>
            </w:r>
          </w:p>
          <w:p>
            <w:pPr>
              <w:pStyle w:val="2"/>
              <w:jc w:val="center"/>
              <w:rPr>
                <w:rFonts w:hint="default"/>
                <w:lang w:val="en-US"/>
              </w:rPr>
            </w:pPr>
            <w:r>
              <w:rPr>
                <w:rFonts w:hint="eastAsia" w:ascii="仿宋_GB2312" w:hAnsi="仿宋_GB2312" w:eastAsia="仿宋_GB2312" w:cs="仿宋_GB2312"/>
                <w:b/>
                <w:bCs/>
                <w:color w:val="000000"/>
                <w:kern w:val="0"/>
                <w:sz w:val="24"/>
                <w:szCs w:val="24"/>
                <w:lang w:val="en-US" w:eastAsia="zh-CN" w:bidi="ar"/>
              </w:rPr>
              <w:t>二级指标</w:t>
            </w:r>
          </w:p>
        </w:tc>
        <w:tc>
          <w:tcPr>
            <w:tcW w:w="571" w:type="pct"/>
            <w:vAlign w:val="center"/>
          </w:tcPr>
          <w:p>
            <w:pPr>
              <w:keepNext w:val="0"/>
              <w:keepLines w:val="0"/>
              <w:widowControl/>
              <w:suppressLineNumbers w:val="0"/>
              <w:jc w:val="center"/>
              <w:rPr>
                <w:rFonts w:ascii="Times New Roman" w:hAnsi="Times New Roman" w:eastAsia="仿宋_GB2312" w:cs="Times New Roman"/>
                <w:spacing w:val="6"/>
                <w:sz w:val="24"/>
                <w:szCs w:val="24"/>
              </w:rPr>
            </w:pPr>
            <w:r>
              <w:rPr>
                <w:rFonts w:hint="eastAsia" w:ascii="仿宋_GB2312" w:hAnsi="仿宋_GB2312" w:eastAsia="仿宋_GB2312" w:cs="仿宋_GB2312"/>
                <w:b/>
                <w:bCs/>
                <w:color w:val="000000"/>
                <w:kern w:val="0"/>
                <w:sz w:val="24"/>
                <w:szCs w:val="24"/>
                <w:lang w:val="en-US" w:eastAsia="zh-CN" w:bidi="ar"/>
              </w:rPr>
              <w:t>得分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63" w:type="pct"/>
            <w:vAlign w:val="center"/>
          </w:tcPr>
          <w:p>
            <w:pPr>
              <w:keepNext w:val="0"/>
              <w:keepLines w:val="0"/>
              <w:widowControl/>
              <w:suppressLineNumbers w:val="0"/>
              <w:jc w:val="center"/>
              <w:rPr>
                <w:rFonts w:ascii="仿宋_GB2312" w:hAnsi="仿宋_GB2312" w:eastAsia="仿宋_GB2312" w:cs="仿宋_GB2312"/>
                <w:b w:val="0"/>
                <w:bCs w:val="0"/>
                <w:color w:val="000000"/>
                <w:kern w:val="0"/>
                <w:sz w:val="24"/>
                <w:szCs w:val="24"/>
                <w:lang w:val="en-US" w:eastAsia="zh-CN" w:bidi="ar"/>
              </w:rPr>
            </w:pPr>
            <w:r>
              <w:rPr>
                <w:rFonts w:ascii="仿宋_GB2312" w:hAnsi="仿宋_GB2312" w:eastAsia="仿宋_GB2312" w:cs="仿宋_GB2312"/>
                <w:b w:val="0"/>
                <w:bCs w:val="0"/>
                <w:color w:val="000000"/>
                <w:kern w:val="0"/>
                <w:sz w:val="24"/>
                <w:szCs w:val="24"/>
                <w:lang w:val="en-US" w:eastAsia="zh-CN" w:bidi="ar"/>
              </w:rPr>
              <w:t>技能水平</w:t>
            </w:r>
          </w:p>
          <w:p>
            <w:pPr>
              <w:keepNext w:val="0"/>
              <w:keepLines w:val="0"/>
              <w:widowControl/>
              <w:suppressLineNumbers w:val="0"/>
              <w:jc w:val="center"/>
              <w:rPr>
                <w:rFonts w:ascii="Times New Roman" w:hAnsi="Times New Roman" w:eastAsia="仿宋_GB2312" w:cs="Times New Roman"/>
                <w:spacing w:val="6"/>
                <w:sz w:val="24"/>
                <w:szCs w:val="24"/>
              </w:rPr>
            </w:pPr>
            <w:r>
              <w:rPr>
                <w:rFonts w:ascii="仿宋_GB2312" w:hAnsi="仿宋_GB2312" w:eastAsia="仿宋_GB2312" w:cs="仿宋_GB2312"/>
                <w:b w:val="0"/>
                <w:bCs w:val="0"/>
                <w:color w:val="000000"/>
                <w:kern w:val="0"/>
                <w:sz w:val="24"/>
                <w:szCs w:val="24"/>
                <w:lang w:val="en-US" w:eastAsia="zh-CN" w:bidi="ar"/>
              </w:rPr>
              <w:t>（</w:t>
            </w:r>
            <w:r>
              <w:rPr>
                <w:rFonts w:ascii="TimesNewRomanPSMT" w:hAnsi="TimesNewRomanPSMT" w:eastAsia="TimesNewRomanPSMT" w:cs="TimesNewRomanPSMT"/>
                <w:b w:val="0"/>
                <w:bCs w:val="0"/>
                <w:color w:val="000000"/>
                <w:kern w:val="0"/>
                <w:sz w:val="24"/>
                <w:szCs w:val="24"/>
                <w:lang w:val="en-US" w:eastAsia="zh-CN" w:bidi="ar"/>
              </w:rPr>
              <w:t>60</w:t>
            </w:r>
            <w:r>
              <w:rPr>
                <w:rFonts w:ascii="仿宋_GB2312" w:hAnsi="仿宋_GB2312" w:eastAsia="仿宋_GB2312" w:cs="仿宋_GB2312"/>
                <w:b w:val="0"/>
                <w:bCs w:val="0"/>
                <w:color w:val="000000"/>
                <w:kern w:val="0"/>
                <w:sz w:val="24"/>
                <w:szCs w:val="24"/>
                <w:lang w:val="en-US" w:eastAsia="zh-CN" w:bidi="ar"/>
              </w:rPr>
              <w:t>分）</w:t>
            </w:r>
          </w:p>
        </w:tc>
        <w:tc>
          <w:tcPr>
            <w:tcW w:w="3465" w:type="pct"/>
            <w:gridSpan w:val="2"/>
            <w:vAlign w:val="center"/>
          </w:tcPr>
          <w:p>
            <w:pPr>
              <w:keepNext w:val="0"/>
              <w:keepLines w:val="0"/>
              <w:widowControl/>
              <w:suppressLineNumbers w:val="0"/>
              <w:jc w:val="left"/>
            </w:pPr>
            <w:r>
              <w:rPr>
                <w:rFonts w:ascii="TimesNewRomanPSMT" w:hAnsi="TimesNewRomanPSMT" w:eastAsia="TimesNewRomanPSMT" w:cs="TimesNewRomanPSMT"/>
                <w:b w:val="0"/>
                <w:bCs w:val="0"/>
                <w:color w:val="000000"/>
                <w:kern w:val="0"/>
                <w:sz w:val="24"/>
                <w:szCs w:val="24"/>
                <w:lang w:val="en-US" w:eastAsia="zh-CN" w:bidi="ar"/>
              </w:rPr>
              <w:t>1.</w:t>
            </w:r>
            <w:r>
              <w:rPr>
                <w:rFonts w:ascii="仿宋_GB2312" w:hAnsi="仿宋_GB2312" w:eastAsia="仿宋_GB2312" w:cs="仿宋_GB2312"/>
                <w:b w:val="0"/>
                <w:bCs w:val="0"/>
                <w:color w:val="000000"/>
                <w:kern w:val="0"/>
                <w:sz w:val="24"/>
                <w:szCs w:val="24"/>
                <w:lang w:val="en-US" w:eastAsia="zh-CN" w:bidi="ar"/>
              </w:rPr>
              <w:t>熟练掌握本专业或工作岗位的技能。</w:t>
            </w:r>
          </w:p>
          <w:p>
            <w:pPr>
              <w:keepNext w:val="0"/>
              <w:keepLines w:val="0"/>
              <w:widowControl/>
              <w:suppressLineNumbers w:val="0"/>
              <w:jc w:val="left"/>
            </w:pPr>
            <w:r>
              <w:rPr>
                <w:rFonts w:hint="default" w:ascii="TimesNewRomanPSMT" w:hAnsi="TimesNewRomanPSMT" w:eastAsia="TimesNewRomanPSMT" w:cs="TimesNewRomanPSMT"/>
                <w:b w:val="0"/>
                <w:bCs w:val="0"/>
                <w:color w:val="000000"/>
                <w:kern w:val="0"/>
                <w:sz w:val="24"/>
                <w:szCs w:val="24"/>
                <w:lang w:val="en-US" w:eastAsia="zh-CN" w:bidi="ar"/>
              </w:rPr>
              <w:t>2.</w:t>
            </w:r>
            <w:r>
              <w:rPr>
                <w:rFonts w:ascii="仿宋_GB2312" w:hAnsi="仿宋_GB2312" w:eastAsia="仿宋_GB2312" w:cs="仿宋_GB2312"/>
                <w:b w:val="0"/>
                <w:bCs w:val="0"/>
                <w:color w:val="000000"/>
                <w:kern w:val="0"/>
                <w:sz w:val="24"/>
                <w:szCs w:val="24"/>
                <w:lang w:val="en-US" w:eastAsia="zh-CN" w:bidi="ar"/>
              </w:rPr>
              <w:t>技能操作规范，符合行业和岗位标准。</w:t>
            </w:r>
          </w:p>
          <w:p>
            <w:pPr>
              <w:keepNext w:val="0"/>
              <w:keepLines w:val="0"/>
              <w:widowControl/>
              <w:suppressLineNumbers w:val="0"/>
              <w:jc w:val="left"/>
              <w:rPr>
                <w:rFonts w:ascii="Times New Roman" w:hAnsi="Times New Roman" w:eastAsia="仿宋_GB2312" w:cs="Times New Roman"/>
                <w:spacing w:val="6"/>
                <w:sz w:val="24"/>
                <w:szCs w:val="24"/>
              </w:rPr>
            </w:pPr>
            <w:r>
              <w:rPr>
                <w:rFonts w:hint="default" w:ascii="TimesNewRomanPSMT" w:hAnsi="TimesNewRomanPSMT" w:eastAsia="TimesNewRomanPSMT" w:cs="TimesNewRomanPSMT"/>
                <w:b w:val="0"/>
                <w:bCs w:val="0"/>
                <w:color w:val="000000"/>
                <w:kern w:val="0"/>
                <w:sz w:val="24"/>
                <w:szCs w:val="24"/>
                <w:lang w:val="en-US" w:eastAsia="zh-CN" w:bidi="ar"/>
              </w:rPr>
              <w:t>3.</w:t>
            </w:r>
            <w:r>
              <w:rPr>
                <w:rFonts w:ascii="仿宋_GB2312" w:hAnsi="仿宋_GB2312" w:eastAsia="仿宋_GB2312" w:cs="仿宋_GB2312"/>
                <w:b w:val="0"/>
                <w:bCs w:val="0"/>
                <w:color w:val="000000"/>
                <w:kern w:val="0"/>
                <w:sz w:val="24"/>
                <w:szCs w:val="24"/>
                <w:lang w:val="en-US" w:eastAsia="zh-CN" w:bidi="ar"/>
              </w:rPr>
              <w:t>具备较高的技能操作水平及解决复杂问题的综合能力。</w:t>
            </w:r>
          </w:p>
        </w:tc>
        <w:tc>
          <w:tcPr>
            <w:tcW w:w="571" w:type="pct"/>
            <w:vAlign w:val="center"/>
          </w:tcPr>
          <w:p>
            <w:pPr>
              <w:pStyle w:val="17"/>
              <w:rPr>
                <w:rFonts w:ascii="Times New Roman" w:hAnsi="Times New Roman" w:eastAsia="仿宋_GB2312" w:cs="Times New Roman"/>
                <w:spacing w:val="6"/>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63" w:type="pct"/>
            <w:vAlign w:val="center"/>
          </w:tcPr>
          <w:p>
            <w:pPr>
              <w:keepNext w:val="0"/>
              <w:keepLines w:val="0"/>
              <w:widowControl/>
              <w:suppressLineNumbers w:val="0"/>
              <w:jc w:val="center"/>
              <w:rPr>
                <w:rFonts w:ascii="仿宋_GB2312" w:hAnsi="仿宋_GB2312" w:eastAsia="仿宋_GB2312" w:cs="仿宋_GB2312"/>
                <w:b w:val="0"/>
                <w:bCs w:val="0"/>
                <w:color w:val="000000"/>
                <w:kern w:val="0"/>
                <w:sz w:val="24"/>
                <w:szCs w:val="24"/>
                <w:lang w:val="en-US" w:eastAsia="zh-CN" w:bidi="ar"/>
              </w:rPr>
            </w:pPr>
            <w:r>
              <w:rPr>
                <w:rFonts w:ascii="仿宋_GB2312" w:hAnsi="仿宋_GB2312" w:eastAsia="仿宋_GB2312" w:cs="仿宋_GB2312"/>
                <w:b w:val="0"/>
                <w:bCs w:val="0"/>
                <w:color w:val="000000"/>
                <w:kern w:val="0"/>
                <w:sz w:val="24"/>
                <w:szCs w:val="24"/>
                <w:lang w:val="en-US" w:eastAsia="zh-CN" w:bidi="ar"/>
              </w:rPr>
              <w:t>职业素养</w:t>
            </w:r>
          </w:p>
          <w:p>
            <w:pPr>
              <w:keepNext w:val="0"/>
              <w:keepLines w:val="0"/>
              <w:widowControl/>
              <w:suppressLineNumbers w:val="0"/>
              <w:jc w:val="center"/>
              <w:rPr>
                <w:rFonts w:ascii="Times New Roman" w:hAnsi="Times New Roman" w:eastAsia="仿宋_GB2312" w:cs="Times New Roman"/>
                <w:spacing w:val="6"/>
                <w:sz w:val="24"/>
                <w:szCs w:val="24"/>
              </w:rPr>
            </w:pPr>
            <w:r>
              <w:rPr>
                <w:rFonts w:ascii="仿宋_GB2312" w:hAnsi="仿宋_GB2312" w:eastAsia="仿宋_GB2312" w:cs="仿宋_GB2312"/>
                <w:b w:val="0"/>
                <w:bCs w:val="0"/>
                <w:color w:val="000000"/>
                <w:kern w:val="0"/>
                <w:sz w:val="24"/>
                <w:szCs w:val="24"/>
                <w:lang w:val="en-US" w:eastAsia="zh-CN" w:bidi="ar"/>
              </w:rPr>
              <w:t>（</w:t>
            </w:r>
            <w:r>
              <w:rPr>
                <w:rFonts w:hint="default" w:ascii="TimesNewRomanPSMT" w:hAnsi="TimesNewRomanPSMT" w:eastAsia="TimesNewRomanPSMT" w:cs="TimesNewRomanPSMT"/>
                <w:b w:val="0"/>
                <w:bCs w:val="0"/>
                <w:color w:val="000000"/>
                <w:kern w:val="0"/>
                <w:sz w:val="24"/>
                <w:szCs w:val="24"/>
                <w:lang w:val="en-US" w:eastAsia="zh-CN" w:bidi="ar"/>
              </w:rPr>
              <w:t>10</w:t>
            </w:r>
            <w:r>
              <w:rPr>
                <w:rFonts w:ascii="仿宋_GB2312" w:hAnsi="仿宋_GB2312" w:eastAsia="仿宋_GB2312" w:cs="仿宋_GB2312"/>
                <w:b w:val="0"/>
                <w:bCs w:val="0"/>
                <w:color w:val="000000"/>
                <w:kern w:val="0"/>
                <w:sz w:val="24"/>
                <w:szCs w:val="24"/>
                <w:lang w:val="en-US" w:eastAsia="zh-CN" w:bidi="ar"/>
              </w:rPr>
              <w:t>分）</w:t>
            </w:r>
          </w:p>
        </w:tc>
        <w:tc>
          <w:tcPr>
            <w:tcW w:w="3465" w:type="pct"/>
            <w:gridSpan w:val="2"/>
            <w:vAlign w:val="center"/>
          </w:tcPr>
          <w:p>
            <w:pPr>
              <w:keepNext w:val="0"/>
              <w:keepLines w:val="0"/>
              <w:widowControl/>
              <w:suppressLineNumbers w:val="0"/>
              <w:jc w:val="left"/>
            </w:pPr>
            <w:r>
              <w:rPr>
                <w:rFonts w:ascii="TimesNewRomanPSMT" w:hAnsi="TimesNewRomanPSMT" w:eastAsia="TimesNewRomanPSMT" w:cs="TimesNewRomanPSMT"/>
                <w:b w:val="0"/>
                <w:bCs w:val="0"/>
                <w:color w:val="000000"/>
                <w:kern w:val="0"/>
                <w:sz w:val="24"/>
                <w:szCs w:val="24"/>
                <w:lang w:val="en-US" w:eastAsia="zh-CN" w:bidi="ar"/>
              </w:rPr>
              <w:t>1.</w:t>
            </w:r>
            <w:r>
              <w:rPr>
                <w:rFonts w:ascii="仿宋_GB2312" w:hAnsi="仿宋_GB2312" w:eastAsia="仿宋_GB2312" w:cs="仿宋_GB2312"/>
                <w:b w:val="0"/>
                <w:bCs w:val="0"/>
                <w:color w:val="000000"/>
                <w:kern w:val="0"/>
                <w:sz w:val="24"/>
                <w:szCs w:val="24"/>
                <w:lang w:val="en-US" w:eastAsia="zh-CN" w:bidi="ar"/>
              </w:rPr>
              <w:t>展现较好的职业伦理，具有工匠精神。</w:t>
            </w:r>
          </w:p>
          <w:p>
            <w:pPr>
              <w:keepNext w:val="0"/>
              <w:keepLines w:val="0"/>
              <w:widowControl/>
              <w:suppressLineNumbers w:val="0"/>
              <w:jc w:val="left"/>
            </w:pPr>
            <w:r>
              <w:rPr>
                <w:rFonts w:hint="default" w:ascii="TimesNewRomanPSMT" w:hAnsi="TimesNewRomanPSMT" w:eastAsia="TimesNewRomanPSMT" w:cs="TimesNewRomanPSMT"/>
                <w:b w:val="0"/>
                <w:bCs w:val="0"/>
                <w:color w:val="000000"/>
                <w:kern w:val="0"/>
                <w:sz w:val="24"/>
                <w:szCs w:val="24"/>
                <w:lang w:val="en-US" w:eastAsia="zh-CN" w:bidi="ar"/>
              </w:rPr>
              <w:t>2.</w:t>
            </w:r>
            <w:r>
              <w:rPr>
                <w:rFonts w:ascii="仿宋_GB2312" w:hAnsi="仿宋_GB2312" w:eastAsia="仿宋_GB2312" w:cs="仿宋_GB2312"/>
                <w:b w:val="0"/>
                <w:bCs w:val="0"/>
                <w:color w:val="000000"/>
                <w:kern w:val="0"/>
                <w:sz w:val="24"/>
                <w:szCs w:val="24"/>
                <w:lang w:val="en-US" w:eastAsia="zh-CN" w:bidi="ar"/>
              </w:rPr>
              <w:t>展现学校对学生全面培养、基本素养培育和成长发展的成效。</w:t>
            </w:r>
          </w:p>
          <w:p>
            <w:pPr>
              <w:keepNext w:val="0"/>
              <w:keepLines w:val="0"/>
              <w:widowControl/>
              <w:suppressLineNumbers w:val="0"/>
              <w:jc w:val="left"/>
            </w:pPr>
            <w:r>
              <w:rPr>
                <w:rFonts w:hint="default" w:ascii="TimesNewRomanPSMT" w:hAnsi="TimesNewRomanPSMT" w:eastAsia="TimesNewRomanPSMT" w:cs="TimesNewRomanPSMT"/>
                <w:b w:val="0"/>
                <w:bCs w:val="0"/>
                <w:color w:val="000000"/>
                <w:kern w:val="0"/>
                <w:sz w:val="24"/>
                <w:szCs w:val="24"/>
                <w:lang w:val="en-US" w:eastAsia="zh-CN" w:bidi="ar"/>
              </w:rPr>
              <w:t>3.</w:t>
            </w:r>
            <w:r>
              <w:rPr>
                <w:rFonts w:ascii="仿宋_GB2312" w:hAnsi="仿宋_GB2312" w:eastAsia="仿宋_GB2312" w:cs="仿宋_GB2312"/>
                <w:b w:val="0"/>
                <w:bCs w:val="0"/>
                <w:color w:val="000000"/>
                <w:kern w:val="0"/>
                <w:sz w:val="24"/>
                <w:szCs w:val="24"/>
                <w:lang w:val="en-US" w:eastAsia="zh-CN" w:bidi="ar"/>
              </w:rPr>
              <w:t>展现职业教育育人成果，体现产教融合、科教融汇。</w:t>
            </w:r>
          </w:p>
          <w:p>
            <w:pPr>
              <w:keepNext w:val="0"/>
              <w:keepLines w:val="0"/>
              <w:widowControl/>
              <w:suppressLineNumbers w:val="0"/>
              <w:jc w:val="left"/>
              <w:rPr>
                <w:rFonts w:hint="eastAsia" w:ascii="Times New Roman" w:hAnsi="Times New Roman" w:eastAsia="仿宋_GB2312" w:cs="Times New Roman"/>
                <w:spacing w:val="6"/>
                <w:sz w:val="24"/>
                <w:szCs w:val="24"/>
              </w:rPr>
            </w:pPr>
            <w:r>
              <w:rPr>
                <w:rFonts w:hint="default" w:ascii="TimesNewRomanPSMT" w:hAnsi="TimesNewRomanPSMT" w:eastAsia="TimesNewRomanPSMT" w:cs="TimesNewRomanPSMT"/>
                <w:b w:val="0"/>
                <w:bCs w:val="0"/>
                <w:color w:val="000000"/>
                <w:kern w:val="0"/>
                <w:sz w:val="24"/>
                <w:szCs w:val="24"/>
                <w:lang w:val="en-US" w:eastAsia="zh-CN" w:bidi="ar"/>
              </w:rPr>
              <w:t>4.</w:t>
            </w:r>
            <w:r>
              <w:rPr>
                <w:rFonts w:ascii="仿宋_GB2312" w:hAnsi="仿宋_GB2312" w:eastAsia="仿宋_GB2312" w:cs="仿宋_GB2312"/>
                <w:b w:val="0"/>
                <w:bCs w:val="0"/>
                <w:color w:val="000000"/>
                <w:kern w:val="0"/>
                <w:sz w:val="24"/>
                <w:szCs w:val="24"/>
                <w:lang w:val="en-US" w:eastAsia="zh-CN" w:bidi="ar"/>
              </w:rPr>
              <w:t>具备良好的职业道德、职业精神、职业素养。</w:t>
            </w:r>
          </w:p>
        </w:tc>
        <w:tc>
          <w:tcPr>
            <w:tcW w:w="571" w:type="pct"/>
            <w:vAlign w:val="center"/>
          </w:tcPr>
          <w:p>
            <w:pPr>
              <w:pStyle w:val="17"/>
              <w:rPr>
                <w:rFonts w:hint="eastAsia" w:ascii="Times New Roman" w:hAnsi="Times New Roman" w:eastAsia="仿宋_GB2312" w:cs="Times New Roman"/>
                <w:spacing w:val="6"/>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63" w:type="pct"/>
            <w:vAlign w:val="center"/>
          </w:tcPr>
          <w:p>
            <w:pPr>
              <w:keepNext w:val="0"/>
              <w:keepLines w:val="0"/>
              <w:widowControl/>
              <w:suppressLineNumbers w:val="0"/>
              <w:jc w:val="center"/>
            </w:pPr>
            <w:r>
              <w:rPr>
                <w:rFonts w:ascii="仿宋_GB2312" w:hAnsi="仿宋_GB2312" w:eastAsia="仿宋_GB2312" w:cs="仿宋_GB2312"/>
                <w:b w:val="0"/>
                <w:bCs w:val="0"/>
                <w:color w:val="000000"/>
                <w:kern w:val="0"/>
                <w:sz w:val="24"/>
                <w:szCs w:val="24"/>
                <w:lang w:val="en-US" w:eastAsia="zh-CN" w:bidi="ar"/>
              </w:rPr>
              <w:t>应用价值</w:t>
            </w:r>
          </w:p>
          <w:p>
            <w:pPr>
              <w:keepNext w:val="0"/>
              <w:keepLines w:val="0"/>
              <w:widowControl/>
              <w:suppressLineNumbers w:val="0"/>
              <w:jc w:val="center"/>
            </w:pPr>
            <w:r>
              <w:rPr>
                <w:rFonts w:ascii="仿宋_GB2312" w:hAnsi="仿宋_GB2312" w:eastAsia="仿宋_GB2312" w:cs="仿宋_GB2312"/>
                <w:b w:val="0"/>
                <w:bCs w:val="0"/>
                <w:color w:val="000000"/>
                <w:kern w:val="0"/>
                <w:sz w:val="24"/>
                <w:szCs w:val="24"/>
                <w:lang w:val="en-US" w:eastAsia="zh-CN" w:bidi="ar"/>
              </w:rPr>
              <w:t>（</w:t>
            </w:r>
            <w:r>
              <w:rPr>
                <w:rFonts w:ascii="TimesNewRomanPSMT" w:hAnsi="TimesNewRomanPSMT" w:eastAsia="TimesNewRomanPSMT" w:cs="TimesNewRomanPSMT"/>
                <w:b w:val="0"/>
                <w:bCs w:val="0"/>
                <w:color w:val="000000"/>
                <w:kern w:val="0"/>
                <w:sz w:val="24"/>
                <w:szCs w:val="24"/>
                <w:lang w:val="en-US" w:eastAsia="zh-CN" w:bidi="ar"/>
              </w:rPr>
              <w:t>10</w:t>
            </w:r>
            <w:r>
              <w:rPr>
                <w:rFonts w:ascii="仿宋_GB2312" w:hAnsi="仿宋_GB2312" w:eastAsia="仿宋_GB2312" w:cs="仿宋_GB2312"/>
                <w:b w:val="0"/>
                <w:bCs w:val="0"/>
                <w:color w:val="000000"/>
                <w:kern w:val="0"/>
                <w:sz w:val="24"/>
                <w:szCs w:val="24"/>
                <w:lang w:val="en-US" w:eastAsia="zh-CN" w:bidi="ar"/>
              </w:rPr>
              <w:t>分）</w:t>
            </w:r>
          </w:p>
          <w:p>
            <w:pPr>
              <w:keepNext w:val="0"/>
              <w:keepLines w:val="0"/>
              <w:widowControl/>
              <w:suppressLineNumbers w:val="0"/>
              <w:jc w:val="center"/>
              <w:rPr>
                <w:rFonts w:ascii="Times New Roman" w:hAnsi="Times New Roman" w:eastAsia="仿宋_GB2312" w:cs="Times New Roman"/>
                <w:spacing w:val="6"/>
                <w:sz w:val="24"/>
                <w:szCs w:val="24"/>
              </w:rPr>
            </w:pPr>
          </w:p>
        </w:tc>
        <w:tc>
          <w:tcPr>
            <w:tcW w:w="3465" w:type="pct"/>
            <w:gridSpan w:val="2"/>
            <w:vAlign w:val="center"/>
          </w:tcPr>
          <w:p>
            <w:pPr>
              <w:keepNext w:val="0"/>
              <w:keepLines w:val="0"/>
              <w:widowControl/>
              <w:suppressLineNumbers w:val="0"/>
              <w:jc w:val="left"/>
            </w:pPr>
            <w:r>
              <w:rPr>
                <w:rFonts w:ascii="TimesNewRomanPSMT" w:hAnsi="TimesNewRomanPSMT" w:eastAsia="TimesNewRomanPSMT" w:cs="TimesNewRomanPSMT"/>
                <w:b w:val="0"/>
                <w:bCs w:val="0"/>
                <w:color w:val="000000"/>
                <w:kern w:val="0"/>
                <w:sz w:val="24"/>
                <w:szCs w:val="24"/>
                <w:lang w:val="en-US" w:eastAsia="zh-CN" w:bidi="ar"/>
              </w:rPr>
              <w:t>1.</w:t>
            </w:r>
            <w:r>
              <w:rPr>
                <w:rFonts w:ascii="仿宋_GB2312" w:hAnsi="仿宋_GB2312" w:eastAsia="仿宋_GB2312" w:cs="仿宋_GB2312"/>
                <w:b w:val="0"/>
                <w:bCs w:val="0"/>
                <w:color w:val="000000"/>
                <w:kern w:val="0"/>
                <w:sz w:val="24"/>
                <w:szCs w:val="24"/>
                <w:lang w:val="en-US" w:eastAsia="zh-CN" w:bidi="ar"/>
              </w:rPr>
              <w:t>有助于解决生产一线实际问题或现实困难。</w:t>
            </w:r>
          </w:p>
          <w:p>
            <w:pPr>
              <w:keepNext w:val="0"/>
              <w:keepLines w:val="0"/>
              <w:widowControl/>
              <w:suppressLineNumbers w:val="0"/>
              <w:jc w:val="left"/>
            </w:pPr>
            <w:r>
              <w:rPr>
                <w:rFonts w:hint="default" w:ascii="TimesNewRomanPSMT" w:hAnsi="TimesNewRomanPSMT" w:eastAsia="TimesNewRomanPSMT" w:cs="TimesNewRomanPSMT"/>
                <w:b w:val="0"/>
                <w:bCs w:val="0"/>
                <w:color w:val="000000"/>
                <w:kern w:val="0"/>
                <w:sz w:val="24"/>
                <w:szCs w:val="24"/>
                <w:lang w:val="en-US" w:eastAsia="zh-CN" w:bidi="ar"/>
              </w:rPr>
              <w:t>2.</w:t>
            </w:r>
            <w:r>
              <w:rPr>
                <w:rFonts w:ascii="仿宋_GB2312" w:hAnsi="仿宋_GB2312" w:eastAsia="仿宋_GB2312" w:cs="仿宋_GB2312"/>
                <w:b w:val="0"/>
                <w:bCs w:val="0"/>
                <w:color w:val="000000"/>
                <w:kern w:val="0"/>
                <w:sz w:val="24"/>
                <w:szCs w:val="24"/>
                <w:lang w:val="en-US" w:eastAsia="zh-CN" w:bidi="ar"/>
              </w:rPr>
              <w:t>能够促进职业学校学生高质量就业，包括直接间接推动扩大就业规模等。</w:t>
            </w:r>
          </w:p>
          <w:p>
            <w:pPr>
              <w:keepNext w:val="0"/>
              <w:keepLines w:val="0"/>
              <w:widowControl/>
              <w:suppressLineNumbers w:val="0"/>
              <w:jc w:val="left"/>
            </w:pPr>
            <w:r>
              <w:rPr>
                <w:rFonts w:hint="default" w:ascii="TimesNewRomanPSMT" w:hAnsi="TimesNewRomanPSMT" w:eastAsia="TimesNewRomanPSMT" w:cs="TimesNewRomanPSMT"/>
                <w:b w:val="0"/>
                <w:bCs w:val="0"/>
                <w:color w:val="000000"/>
                <w:kern w:val="0"/>
                <w:sz w:val="24"/>
                <w:szCs w:val="24"/>
                <w:lang w:val="en-US" w:eastAsia="zh-CN" w:bidi="ar"/>
              </w:rPr>
              <w:t>3.</w:t>
            </w:r>
            <w:r>
              <w:rPr>
                <w:rFonts w:ascii="仿宋_GB2312" w:hAnsi="仿宋_GB2312" w:eastAsia="仿宋_GB2312" w:cs="仿宋_GB2312"/>
                <w:b w:val="0"/>
                <w:bCs w:val="0"/>
                <w:color w:val="000000"/>
                <w:kern w:val="0"/>
                <w:sz w:val="24"/>
                <w:szCs w:val="24"/>
                <w:lang w:val="en-US" w:eastAsia="zh-CN" w:bidi="ar"/>
              </w:rPr>
              <w:t>对推动产业转型升级、区域经济发展、乡村振兴、城市社区治理、城乡融合发展等具有积极作用。</w:t>
            </w:r>
          </w:p>
          <w:p>
            <w:pPr>
              <w:keepNext w:val="0"/>
              <w:keepLines w:val="0"/>
              <w:widowControl/>
              <w:suppressLineNumbers w:val="0"/>
              <w:jc w:val="left"/>
              <w:rPr>
                <w:rFonts w:hint="eastAsia" w:ascii="Times New Roman" w:hAnsi="Times New Roman" w:eastAsia="仿宋_GB2312" w:cs="Times New Roman"/>
                <w:spacing w:val="6"/>
                <w:sz w:val="24"/>
                <w:szCs w:val="24"/>
              </w:rPr>
            </w:pPr>
            <w:r>
              <w:rPr>
                <w:rFonts w:hint="default" w:ascii="TimesNewRomanPSMT" w:hAnsi="TimesNewRomanPSMT" w:eastAsia="TimesNewRomanPSMT" w:cs="TimesNewRomanPSMT"/>
                <w:b w:val="0"/>
                <w:bCs w:val="0"/>
                <w:color w:val="000000"/>
                <w:kern w:val="0"/>
                <w:sz w:val="24"/>
                <w:szCs w:val="24"/>
                <w:lang w:val="en-US" w:eastAsia="zh-CN" w:bidi="ar"/>
              </w:rPr>
              <w:t>4.</w:t>
            </w:r>
            <w:r>
              <w:rPr>
                <w:rFonts w:ascii="仿宋_GB2312" w:hAnsi="仿宋_GB2312" w:eastAsia="仿宋_GB2312" w:cs="仿宋_GB2312"/>
                <w:b w:val="0"/>
                <w:bCs w:val="0"/>
                <w:color w:val="000000"/>
                <w:kern w:val="0"/>
                <w:sz w:val="24"/>
                <w:szCs w:val="24"/>
                <w:lang w:val="en-US" w:eastAsia="zh-CN" w:bidi="ar"/>
              </w:rPr>
              <w:t>符合绿色低碳节能的可持续发展理念，有利于改善人民生活、提升人民生活质量。</w:t>
            </w:r>
          </w:p>
        </w:tc>
        <w:tc>
          <w:tcPr>
            <w:tcW w:w="571" w:type="pct"/>
            <w:vAlign w:val="center"/>
          </w:tcPr>
          <w:p>
            <w:pPr>
              <w:pStyle w:val="17"/>
              <w:rPr>
                <w:rFonts w:hint="eastAsia" w:ascii="Times New Roman" w:hAnsi="Times New Roman" w:eastAsia="仿宋_GB2312" w:cs="Times New Roman"/>
                <w:spacing w:val="6"/>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63" w:type="pct"/>
            <w:vAlign w:val="center"/>
          </w:tcPr>
          <w:p>
            <w:pPr>
              <w:keepNext w:val="0"/>
              <w:keepLines w:val="0"/>
              <w:widowControl/>
              <w:suppressLineNumbers w:val="0"/>
              <w:jc w:val="center"/>
            </w:pPr>
            <w:r>
              <w:rPr>
                <w:rFonts w:ascii="仿宋_GB2312" w:hAnsi="仿宋_GB2312" w:eastAsia="仿宋_GB2312" w:cs="仿宋_GB2312"/>
                <w:b w:val="0"/>
                <w:bCs w:val="0"/>
                <w:color w:val="000000"/>
                <w:kern w:val="0"/>
                <w:sz w:val="24"/>
                <w:szCs w:val="24"/>
                <w:lang w:val="en-US" w:eastAsia="zh-CN" w:bidi="ar"/>
              </w:rPr>
              <w:t>团队合作</w:t>
            </w:r>
          </w:p>
          <w:p>
            <w:pPr>
              <w:keepNext w:val="0"/>
              <w:keepLines w:val="0"/>
              <w:widowControl/>
              <w:suppressLineNumbers w:val="0"/>
              <w:jc w:val="center"/>
            </w:pPr>
            <w:r>
              <w:rPr>
                <w:rFonts w:ascii="仿宋_GB2312" w:hAnsi="仿宋_GB2312" w:eastAsia="仿宋_GB2312" w:cs="仿宋_GB2312"/>
                <w:b w:val="0"/>
                <w:bCs w:val="0"/>
                <w:color w:val="000000"/>
                <w:kern w:val="0"/>
                <w:sz w:val="24"/>
                <w:szCs w:val="24"/>
                <w:lang w:val="en-US" w:eastAsia="zh-CN" w:bidi="ar"/>
              </w:rPr>
              <w:t>（</w:t>
            </w:r>
            <w:r>
              <w:rPr>
                <w:rFonts w:ascii="TimesNewRomanPSMT" w:hAnsi="TimesNewRomanPSMT" w:eastAsia="TimesNewRomanPSMT" w:cs="TimesNewRomanPSMT"/>
                <w:b w:val="0"/>
                <w:bCs w:val="0"/>
                <w:color w:val="000000"/>
                <w:kern w:val="0"/>
                <w:sz w:val="24"/>
                <w:szCs w:val="24"/>
                <w:lang w:val="en-US" w:eastAsia="zh-CN" w:bidi="ar"/>
              </w:rPr>
              <w:t>10</w:t>
            </w:r>
            <w:r>
              <w:rPr>
                <w:rFonts w:ascii="仿宋_GB2312" w:hAnsi="仿宋_GB2312" w:eastAsia="仿宋_GB2312" w:cs="仿宋_GB2312"/>
                <w:b w:val="0"/>
                <w:bCs w:val="0"/>
                <w:color w:val="000000"/>
                <w:kern w:val="0"/>
                <w:sz w:val="24"/>
                <w:szCs w:val="24"/>
                <w:lang w:val="en-US" w:eastAsia="zh-CN" w:bidi="ar"/>
              </w:rPr>
              <w:t>分）</w:t>
            </w:r>
          </w:p>
          <w:p>
            <w:pPr>
              <w:keepNext w:val="0"/>
              <w:keepLines w:val="0"/>
              <w:widowControl/>
              <w:suppressLineNumbers w:val="0"/>
              <w:jc w:val="center"/>
              <w:rPr>
                <w:rFonts w:ascii="Times New Roman" w:hAnsi="Times New Roman" w:eastAsia="仿宋_GB2312" w:cs="Times New Roman"/>
                <w:spacing w:val="6"/>
                <w:sz w:val="24"/>
                <w:szCs w:val="24"/>
              </w:rPr>
            </w:pPr>
          </w:p>
        </w:tc>
        <w:tc>
          <w:tcPr>
            <w:tcW w:w="3465" w:type="pct"/>
            <w:gridSpan w:val="2"/>
            <w:vAlign w:val="center"/>
          </w:tcPr>
          <w:p>
            <w:pPr>
              <w:keepNext w:val="0"/>
              <w:keepLines w:val="0"/>
              <w:widowControl/>
              <w:suppressLineNumbers w:val="0"/>
              <w:jc w:val="left"/>
            </w:pPr>
            <w:r>
              <w:rPr>
                <w:rFonts w:ascii="TimesNewRomanPSMT" w:hAnsi="TimesNewRomanPSMT" w:eastAsia="TimesNewRomanPSMT" w:cs="TimesNewRomanPSMT"/>
                <w:b w:val="0"/>
                <w:bCs w:val="0"/>
                <w:color w:val="000000"/>
                <w:kern w:val="0"/>
                <w:sz w:val="24"/>
                <w:szCs w:val="24"/>
                <w:lang w:val="en-US" w:eastAsia="zh-CN" w:bidi="ar"/>
              </w:rPr>
              <w:t>1.</w:t>
            </w:r>
            <w:r>
              <w:rPr>
                <w:rFonts w:ascii="仿宋_GB2312" w:hAnsi="仿宋_GB2312" w:eastAsia="仿宋_GB2312" w:cs="仿宋_GB2312"/>
                <w:b w:val="0"/>
                <w:bCs w:val="0"/>
                <w:color w:val="000000"/>
                <w:kern w:val="0"/>
                <w:sz w:val="24"/>
                <w:szCs w:val="24"/>
                <w:lang w:val="en-US" w:eastAsia="zh-CN" w:bidi="ar"/>
              </w:rPr>
              <w:t>团队成员能够准确理解共同目标和任务，清楚自己的角色定位和职责。</w:t>
            </w:r>
          </w:p>
          <w:p>
            <w:pPr>
              <w:keepNext w:val="0"/>
              <w:keepLines w:val="0"/>
              <w:widowControl/>
              <w:suppressLineNumbers w:val="0"/>
              <w:jc w:val="left"/>
            </w:pPr>
            <w:r>
              <w:rPr>
                <w:rFonts w:hint="default" w:ascii="TimesNewRomanPSMT" w:hAnsi="TimesNewRomanPSMT" w:eastAsia="TimesNewRomanPSMT" w:cs="TimesNewRomanPSMT"/>
                <w:b w:val="0"/>
                <w:bCs w:val="0"/>
                <w:color w:val="000000"/>
                <w:kern w:val="0"/>
                <w:sz w:val="24"/>
                <w:szCs w:val="24"/>
                <w:lang w:val="en-US" w:eastAsia="zh-CN" w:bidi="ar"/>
              </w:rPr>
              <w:t>2.</w:t>
            </w:r>
            <w:r>
              <w:rPr>
                <w:rFonts w:ascii="仿宋_GB2312" w:hAnsi="仿宋_GB2312" w:eastAsia="仿宋_GB2312" w:cs="仿宋_GB2312"/>
                <w:b w:val="0"/>
                <w:bCs w:val="0"/>
                <w:color w:val="000000"/>
                <w:kern w:val="0"/>
                <w:sz w:val="24"/>
                <w:szCs w:val="24"/>
                <w:lang w:val="en-US" w:eastAsia="zh-CN" w:bidi="ar"/>
              </w:rPr>
              <w:t>团队成员在比赛中能够有效沟通、紧密协作。</w:t>
            </w:r>
          </w:p>
          <w:p>
            <w:pPr>
              <w:keepNext w:val="0"/>
              <w:keepLines w:val="0"/>
              <w:widowControl/>
              <w:suppressLineNumbers w:val="0"/>
              <w:jc w:val="left"/>
            </w:pPr>
            <w:r>
              <w:rPr>
                <w:rFonts w:hint="default" w:ascii="TimesNewRomanPSMT" w:hAnsi="TimesNewRomanPSMT" w:eastAsia="TimesNewRomanPSMT" w:cs="TimesNewRomanPSMT"/>
                <w:b w:val="0"/>
                <w:bCs w:val="0"/>
                <w:color w:val="000000"/>
                <w:kern w:val="0"/>
                <w:sz w:val="24"/>
                <w:szCs w:val="24"/>
                <w:lang w:val="en-US" w:eastAsia="zh-CN" w:bidi="ar"/>
              </w:rPr>
              <w:t>3.</w:t>
            </w:r>
            <w:r>
              <w:rPr>
                <w:rFonts w:ascii="仿宋_GB2312" w:hAnsi="仿宋_GB2312" w:eastAsia="仿宋_GB2312" w:cs="仿宋_GB2312"/>
                <w:b w:val="0"/>
                <w:bCs w:val="0"/>
                <w:color w:val="000000"/>
                <w:kern w:val="0"/>
                <w:sz w:val="24"/>
                <w:szCs w:val="24"/>
                <w:lang w:val="en-US" w:eastAsia="zh-CN" w:bidi="ar"/>
              </w:rPr>
              <w:t>团队成员能够相互补台，共同应对突发情况。</w:t>
            </w:r>
          </w:p>
          <w:p>
            <w:pPr>
              <w:keepNext w:val="0"/>
              <w:keepLines w:val="0"/>
              <w:widowControl/>
              <w:suppressLineNumbers w:val="0"/>
              <w:jc w:val="left"/>
              <w:rPr>
                <w:rFonts w:hint="eastAsia" w:ascii="Times New Roman" w:hAnsi="Times New Roman" w:eastAsia="仿宋_GB2312" w:cs="Times New Roman"/>
                <w:spacing w:val="6"/>
                <w:sz w:val="24"/>
                <w:szCs w:val="24"/>
              </w:rPr>
            </w:pPr>
            <w:r>
              <w:rPr>
                <w:rFonts w:hint="default" w:ascii="TimesNewRomanPSMT" w:hAnsi="TimesNewRomanPSMT" w:eastAsia="TimesNewRomanPSMT" w:cs="TimesNewRomanPSMT"/>
                <w:b w:val="0"/>
                <w:bCs w:val="0"/>
                <w:color w:val="000000"/>
                <w:kern w:val="0"/>
                <w:sz w:val="24"/>
                <w:szCs w:val="24"/>
                <w:lang w:val="en-US" w:eastAsia="zh-CN" w:bidi="ar"/>
              </w:rPr>
              <w:t>4.</w:t>
            </w:r>
            <w:r>
              <w:rPr>
                <w:rFonts w:ascii="仿宋_GB2312" w:hAnsi="仿宋_GB2312" w:eastAsia="仿宋_GB2312" w:cs="仿宋_GB2312"/>
                <w:b w:val="0"/>
                <w:bCs w:val="0"/>
                <w:color w:val="000000"/>
                <w:kern w:val="0"/>
                <w:sz w:val="24"/>
                <w:szCs w:val="24"/>
                <w:lang w:val="en-US" w:eastAsia="zh-CN" w:bidi="ar"/>
              </w:rPr>
              <w:t>团队成员相互尊重、信任和支持，拥有良好的团队氛围。</w:t>
            </w:r>
          </w:p>
        </w:tc>
        <w:tc>
          <w:tcPr>
            <w:tcW w:w="571" w:type="pct"/>
            <w:vAlign w:val="center"/>
          </w:tcPr>
          <w:p>
            <w:pPr>
              <w:pStyle w:val="17"/>
              <w:rPr>
                <w:rFonts w:hint="eastAsia" w:ascii="Times New Roman" w:hAnsi="Times New Roman" w:eastAsia="仿宋_GB2312" w:cs="Times New Roman"/>
                <w:spacing w:val="6"/>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63" w:type="pct"/>
            <w:vAlign w:val="center"/>
          </w:tcPr>
          <w:p>
            <w:pPr>
              <w:keepNext w:val="0"/>
              <w:keepLines w:val="0"/>
              <w:widowControl/>
              <w:suppressLineNumbers w:val="0"/>
              <w:jc w:val="center"/>
            </w:pPr>
            <w:r>
              <w:rPr>
                <w:rFonts w:ascii="仿宋_GB2312" w:hAnsi="仿宋_GB2312" w:eastAsia="仿宋_GB2312" w:cs="仿宋_GB2312"/>
                <w:b w:val="0"/>
                <w:bCs w:val="0"/>
                <w:color w:val="000000"/>
                <w:kern w:val="0"/>
                <w:sz w:val="24"/>
                <w:szCs w:val="24"/>
                <w:lang w:val="en-US" w:eastAsia="zh-CN" w:bidi="ar"/>
              </w:rPr>
              <w:t>创新创意</w:t>
            </w:r>
          </w:p>
          <w:p>
            <w:pPr>
              <w:keepNext w:val="0"/>
              <w:keepLines w:val="0"/>
              <w:widowControl/>
              <w:suppressLineNumbers w:val="0"/>
              <w:jc w:val="center"/>
            </w:pPr>
            <w:r>
              <w:rPr>
                <w:rFonts w:ascii="仿宋_GB2312" w:hAnsi="仿宋_GB2312" w:eastAsia="仿宋_GB2312" w:cs="仿宋_GB2312"/>
                <w:b w:val="0"/>
                <w:bCs w:val="0"/>
                <w:color w:val="000000"/>
                <w:kern w:val="0"/>
                <w:sz w:val="24"/>
                <w:szCs w:val="24"/>
                <w:lang w:val="en-US" w:eastAsia="zh-CN" w:bidi="ar"/>
              </w:rPr>
              <w:t>（</w:t>
            </w:r>
            <w:r>
              <w:rPr>
                <w:rFonts w:ascii="TimesNewRomanPSMT" w:hAnsi="TimesNewRomanPSMT" w:eastAsia="TimesNewRomanPSMT" w:cs="TimesNewRomanPSMT"/>
                <w:b w:val="0"/>
                <w:bCs w:val="0"/>
                <w:color w:val="000000"/>
                <w:kern w:val="0"/>
                <w:sz w:val="24"/>
                <w:szCs w:val="24"/>
                <w:lang w:val="en-US" w:eastAsia="zh-CN" w:bidi="ar"/>
              </w:rPr>
              <w:t>10</w:t>
            </w:r>
            <w:r>
              <w:rPr>
                <w:rFonts w:ascii="仿宋_GB2312" w:hAnsi="仿宋_GB2312" w:eastAsia="仿宋_GB2312" w:cs="仿宋_GB2312"/>
                <w:b w:val="0"/>
                <w:bCs w:val="0"/>
                <w:color w:val="000000"/>
                <w:kern w:val="0"/>
                <w:sz w:val="24"/>
                <w:szCs w:val="24"/>
                <w:lang w:val="en-US" w:eastAsia="zh-CN" w:bidi="ar"/>
              </w:rPr>
              <w:t>分）</w:t>
            </w:r>
          </w:p>
          <w:p>
            <w:pPr>
              <w:keepNext w:val="0"/>
              <w:keepLines w:val="0"/>
              <w:widowControl/>
              <w:suppressLineNumbers w:val="0"/>
              <w:jc w:val="center"/>
              <w:rPr>
                <w:rFonts w:ascii="Times New Roman" w:hAnsi="Times New Roman" w:eastAsia="仿宋_GB2312" w:cs="Times New Roman"/>
                <w:spacing w:val="6"/>
                <w:sz w:val="24"/>
                <w:szCs w:val="24"/>
              </w:rPr>
            </w:pPr>
          </w:p>
        </w:tc>
        <w:tc>
          <w:tcPr>
            <w:tcW w:w="3465" w:type="pct"/>
            <w:gridSpan w:val="2"/>
            <w:vAlign w:val="center"/>
          </w:tcPr>
          <w:p>
            <w:pPr>
              <w:keepNext w:val="0"/>
              <w:keepLines w:val="0"/>
              <w:widowControl/>
              <w:suppressLineNumbers w:val="0"/>
              <w:jc w:val="left"/>
            </w:pPr>
            <w:r>
              <w:rPr>
                <w:rFonts w:ascii="TimesNewRomanPSMT" w:hAnsi="TimesNewRomanPSMT" w:eastAsia="TimesNewRomanPSMT" w:cs="TimesNewRomanPSMT"/>
                <w:b w:val="0"/>
                <w:bCs w:val="0"/>
                <w:color w:val="000000"/>
                <w:kern w:val="0"/>
                <w:sz w:val="24"/>
                <w:szCs w:val="24"/>
                <w:lang w:val="en-US" w:eastAsia="zh-CN" w:bidi="ar"/>
              </w:rPr>
              <w:t>1.</w:t>
            </w:r>
            <w:r>
              <w:rPr>
                <w:rFonts w:ascii="仿宋_GB2312" w:hAnsi="仿宋_GB2312" w:eastAsia="仿宋_GB2312" w:cs="仿宋_GB2312"/>
                <w:b w:val="0"/>
                <w:bCs w:val="0"/>
                <w:color w:val="000000"/>
                <w:kern w:val="0"/>
                <w:sz w:val="24"/>
                <w:szCs w:val="24"/>
                <w:lang w:val="en-US" w:eastAsia="zh-CN" w:bidi="ar"/>
              </w:rPr>
              <w:t>体现原始创意、创新。</w:t>
            </w:r>
          </w:p>
          <w:p>
            <w:pPr>
              <w:keepNext w:val="0"/>
              <w:keepLines w:val="0"/>
              <w:widowControl/>
              <w:suppressLineNumbers w:val="0"/>
              <w:jc w:val="left"/>
            </w:pPr>
            <w:r>
              <w:rPr>
                <w:rFonts w:hint="default" w:ascii="TimesNewRomanPSMT" w:hAnsi="TimesNewRomanPSMT" w:eastAsia="TimesNewRomanPSMT" w:cs="TimesNewRomanPSMT"/>
                <w:b w:val="0"/>
                <w:bCs w:val="0"/>
                <w:color w:val="000000"/>
                <w:kern w:val="0"/>
                <w:sz w:val="24"/>
                <w:szCs w:val="24"/>
                <w:lang w:val="en-US" w:eastAsia="zh-CN" w:bidi="ar"/>
              </w:rPr>
              <w:t>2.</w:t>
            </w:r>
            <w:r>
              <w:rPr>
                <w:rFonts w:ascii="仿宋_GB2312" w:hAnsi="仿宋_GB2312" w:eastAsia="仿宋_GB2312" w:cs="仿宋_GB2312"/>
                <w:b w:val="0"/>
                <w:bCs w:val="0"/>
                <w:color w:val="000000"/>
                <w:kern w:val="0"/>
                <w:sz w:val="24"/>
                <w:szCs w:val="24"/>
                <w:lang w:val="en-US" w:eastAsia="zh-CN" w:bidi="ar"/>
              </w:rPr>
              <w:t>体现面向职业和岗位的创意及创新，侧重于加工工艺创新、实用技术创新、产品（技术）数字化改良、应用性优化、民生类创意等。</w:t>
            </w:r>
          </w:p>
          <w:p>
            <w:pPr>
              <w:keepNext w:val="0"/>
              <w:keepLines w:val="0"/>
              <w:widowControl/>
              <w:suppressLineNumbers w:val="0"/>
              <w:jc w:val="left"/>
              <w:rPr>
                <w:rFonts w:ascii="Times New Roman" w:hAnsi="Times New Roman" w:eastAsia="仿宋_GB2312" w:cs="Times New Roman"/>
                <w:spacing w:val="6"/>
                <w:sz w:val="24"/>
                <w:szCs w:val="24"/>
              </w:rPr>
            </w:pPr>
            <w:r>
              <w:rPr>
                <w:rFonts w:hint="default" w:ascii="TimesNewRomanPSMT" w:hAnsi="TimesNewRomanPSMT" w:eastAsia="TimesNewRomanPSMT" w:cs="TimesNewRomanPSMT"/>
                <w:b w:val="0"/>
                <w:bCs w:val="0"/>
                <w:color w:val="000000"/>
                <w:kern w:val="0"/>
                <w:sz w:val="24"/>
                <w:szCs w:val="24"/>
                <w:lang w:val="en-US" w:eastAsia="zh-CN" w:bidi="ar"/>
              </w:rPr>
              <w:t>3.</w:t>
            </w:r>
            <w:r>
              <w:rPr>
                <w:rFonts w:ascii="仿宋_GB2312" w:hAnsi="仿宋_GB2312" w:eastAsia="仿宋_GB2312" w:cs="仿宋_GB2312"/>
                <w:b w:val="0"/>
                <w:bCs w:val="0"/>
                <w:color w:val="000000"/>
                <w:kern w:val="0"/>
                <w:sz w:val="24"/>
                <w:szCs w:val="24"/>
                <w:lang w:val="en-US" w:eastAsia="zh-CN" w:bidi="ar"/>
              </w:rPr>
              <w:t>体现团队成员创新精神和创新能力。</w:t>
            </w:r>
          </w:p>
        </w:tc>
        <w:tc>
          <w:tcPr>
            <w:tcW w:w="571" w:type="pct"/>
            <w:vAlign w:val="center"/>
          </w:tcPr>
          <w:p>
            <w:pPr>
              <w:pStyle w:val="17"/>
              <w:rPr>
                <w:rFonts w:ascii="Times New Roman" w:hAnsi="Times New Roman" w:eastAsia="仿宋_GB2312" w:cs="Times New Roman"/>
                <w:spacing w:val="6"/>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428" w:type="pct"/>
            <w:gridSpan w:val="3"/>
            <w:vAlign w:val="center"/>
          </w:tcPr>
          <w:p>
            <w:pPr>
              <w:pStyle w:val="17"/>
              <w:ind w:firstLine="504" w:firstLineChars="200"/>
              <w:jc w:val="left"/>
              <w:rPr>
                <w:rFonts w:hint="eastAsia" w:ascii="Times New Roman" w:hAnsi="Times New Roman" w:eastAsia="仿宋_GB2312" w:cs="Times New Roman"/>
                <w:spacing w:val="6"/>
                <w:sz w:val="24"/>
                <w:szCs w:val="24"/>
                <w:lang w:val="en-US" w:eastAsia="zh-CN"/>
              </w:rPr>
            </w:pPr>
            <w:r>
              <w:rPr>
                <w:rFonts w:hint="eastAsia" w:ascii="Times New Roman" w:hAnsi="Times New Roman" w:eastAsia="仿宋_GB2312" w:cs="Times New Roman"/>
                <w:spacing w:val="6"/>
                <w:sz w:val="24"/>
                <w:szCs w:val="24"/>
                <w:lang w:val="en-US" w:eastAsia="zh-CN"/>
              </w:rPr>
              <w:t>总分</w:t>
            </w:r>
          </w:p>
        </w:tc>
        <w:tc>
          <w:tcPr>
            <w:tcW w:w="571" w:type="pct"/>
            <w:vAlign w:val="center"/>
          </w:tcPr>
          <w:p>
            <w:pPr>
              <w:pStyle w:val="17"/>
              <w:jc w:val="center"/>
              <w:rPr>
                <w:rFonts w:hint="eastAsia" w:ascii="Times New Roman" w:hAnsi="Times New Roman" w:eastAsia="仿宋_GB2312" w:cs="Times New Roman"/>
                <w:spacing w:val="6"/>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329" w:hRule="atLeast"/>
          <w:jc w:val="center"/>
        </w:trPr>
        <w:tc>
          <w:tcPr>
            <w:tcW w:w="967" w:type="pct"/>
            <w:gridSpan w:val="2"/>
            <w:vAlign w:val="center"/>
          </w:tcPr>
          <w:p>
            <w:pPr>
              <w:pStyle w:val="17"/>
              <w:jc w:val="center"/>
              <w:rPr>
                <w:rFonts w:hint="eastAsia" w:ascii="Times New Roman" w:hAnsi="Times New Roman" w:eastAsia="仿宋_GB2312" w:cs="Times New Roman"/>
                <w:spacing w:val="6"/>
                <w:sz w:val="24"/>
                <w:szCs w:val="24"/>
                <w:lang w:val="en-US" w:eastAsia="zh-CN"/>
              </w:rPr>
            </w:pPr>
            <w:r>
              <w:rPr>
                <w:rFonts w:hint="eastAsia" w:ascii="Times New Roman" w:hAnsi="Times New Roman" w:eastAsia="仿宋_GB2312" w:cs="Times New Roman"/>
                <w:spacing w:val="6"/>
                <w:sz w:val="24"/>
                <w:szCs w:val="24"/>
                <w:lang w:val="en-US" w:eastAsia="zh-CN"/>
              </w:rPr>
              <w:t>项目整体</w:t>
            </w:r>
          </w:p>
          <w:p>
            <w:pPr>
              <w:pStyle w:val="17"/>
              <w:jc w:val="center"/>
              <w:rPr>
                <w:rFonts w:hint="default" w:ascii="Times New Roman" w:hAnsi="Times New Roman" w:eastAsia="仿宋_GB2312" w:cs="Times New Roman"/>
                <w:spacing w:val="6"/>
                <w:sz w:val="24"/>
                <w:szCs w:val="24"/>
                <w:lang w:val="en-US" w:eastAsia="zh-CN"/>
              </w:rPr>
            </w:pPr>
            <w:r>
              <w:rPr>
                <w:rFonts w:hint="eastAsia" w:ascii="Times New Roman" w:hAnsi="Times New Roman" w:eastAsia="仿宋_GB2312" w:cs="Times New Roman"/>
                <w:spacing w:val="6"/>
                <w:sz w:val="24"/>
                <w:szCs w:val="24"/>
                <w:lang w:val="en-US" w:eastAsia="zh-CN"/>
              </w:rPr>
              <w:t>评价</w:t>
            </w:r>
          </w:p>
        </w:tc>
        <w:tc>
          <w:tcPr>
            <w:tcW w:w="4032" w:type="pct"/>
            <w:gridSpan w:val="2"/>
            <w:vAlign w:val="top"/>
          </w:tcPr>
          <w:p>
            <w:pPr>
              <w:pStyle w:val="17"/>
              <w:jc w:val="center"/>
              <w:rPr>
                <w:rFonts w:hint="eastAsia" w:ascii="Times New Roman" w:hAnsi="Times New Roman" w:eastAsia="仿宋_GB2312" w:cs="Times New Roman"/>
                <w:spacing w:val="6"/>
                <w:sz w:val="24"/>
                <w:szCs w:val="24"/>
              </w:rPr>
            </w:pPr>
            <w:r>
              <w:rPr>
                <w:rFonts w:ascii="仿宋_GB2312" w:hAnsi="仿宋_GB2312" w:eastAsia="仿宋_GB2312" w:cs="仿宋_GB2312"/>
                <w:b w:val="0"/>
                <w:bCs w:val="0"/>
                <w:color w:val="000000"/>
                <w:sz w:val="22"/>
                <w:szCs w:val="22"/>
              </w:rPr>
              <w:t>（简要说明该项目及选手技能操作的优点和不足；此栏必填）</w:t>
            </w:r>
          </w:p>
        </w:tc>
      </w:tr>
    </w:tbl>
    <w:p>
      <w:pPr>
        <w:pStyle w:val="4"/>
        <w:spacing w:line="600" w:lineRule="exact"/>
        <w:ind w:left="0" w:firstLine="562" w:firstLineChars="200"/>
        <w:rPr>
          <w:rFonts w:ascii="Times New Roman" w:hAnsi="Times New Roman" w:eastAsia="楷体"/>
          <w:sz w:val="28"/>
          <w:szCs w:val="28"/>
        </w:rPr>
      </w:pPr>
      <w:r>
        <w:rPr>
          <w:rFonts w:ascii="Times New Roman" w:hAnsi="Times New Roman" w:eastAsia="楷体"/>
          <w:sz w:val="28"/>
          <w:szCs w:val="28"/>
        </w:rPr>
        <w:t>（二）评分方式</w:t>
      </w:r>
    </w:p>
    <w:p>
      <w:pPr>
        <w:pStyle w:val="2"/>
        <w:adjustRightInd w:val="0"/>
        <w:snapToGrid w:val="0"/>
        <w:spacing w:before="0" w:line="600" w:lineRule="exact"/>
        <w:ind w:left="0" w:firstLine="562" w:firstLineChars="200"/>
        <w:rPr>
          <w:rStyle w:val="26"/>
          <w:rFonts w:ascii="Times New Roman" w:hAnsi="Times New Roman" w:eastAsia="仿宋_GB2312"/>
          <w:lang w:eastAsia="zh-CN"/>
        </w:rPr>
      </w:pPr>
      <w:r>
        <w:rPr>
          <w:rStyle w:val="26"/>
          <w:rFonts w:ascii="Times New Roman" w:hAnsi="Times New Roman" w:eastAsia="仿宋_GB2312"/>
          <w:lang w:eastAsia="zh-CN"/>
        </w:rPr>
        <w:t>1.裁判组组成</w:t>
      </w:r>
    </w:p>
    <w:p>
      <w:pPr>
        <w:spacing w:line="560" w:lineRule="exact"/>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聘请相关专业职业技能鉴定高级考评员、行业企业专家、高等院校具有高级职称的专业教师为裁判员，由</w:t>
      </w:r>
      <w:r>
        <w:rPr>
          <w:rFonts w:ascii="仿宋_GB2312" w:hAnsi="仿宋_GB2312" w:eastAsia="仿宋_GB2312" w:cs="仿宋_GB2312"/>
          <w:sz w:val="28"/>
          <w:szCs w:val="28"/>
          <w:highlight w:val="none"/>
        </w:rPr>
        <w:t>5</w:t>
      </w:r>
      <w:r>
        <w:rPr>
          <w:rFonts w:hint="eastAsia" w:ascii="仿宋_GB2312" w:hAnsi="仿宋_GB2312" w:eastAsia="仿宋_GB2312" w:cs="仿宋_GB2312"/>
          <w:sz w:val="28"/>
          <w:szCs w:val="28"/>
          <w:highlight w:val="none"/>
        </w:rPr>
        <w:t>人组成。</w:t>
      </w:r>
    </w:p>
    <w:p>
      <w:pPr>
        <w:spacing w:line="560" w:lineRule="exact"/>
        <w:ind w:firstLine="562" w:firstLineChars="200"/>
        <w:rPr>
          <w:rStyle w:val="26"/>
          <w:rFonts w:ascii="Times New Roman" w:hAnsi="Times New Roman" w:eastAsia="仿宋_GB2312"/>
          <w:highlight w:val="none"/>
        </w:rPr>
      </w:pPr>
      <w:r>
        <w:rPr>
          <w:rStyle w:val="26"/>
          <w:rFonts w:hint="eastAsia" w:ascii="Times New Roman" w:hAnsi="Times New Roman" w:eastAsia="仿宋_GB2312"/>
          <w:highlight w:val="none"/>
        </w:rPr>
        <w:t>2.成绩产生方法</w:t>
      </w:r>
    </w:p>
    <w:p>
      <w:pPr>
        <w:adjustRightInd w:val="0"/>
        <w:snapToGrid w:val="0"/>
        <w:spacing w:line="600" w:lineRule="exact"/>
        <w:ind w:firstLine="560" w:firstLineChars="200"/>
        <w:rPr>
          <w:rFonts w:ascii="Times New Roman" w:hAnsi="Times New Roman" w:eastAsia="仿宋_GB2312"/>
          <w:sz w:val="28"/>
          <w:szCs w:val="28"/>
          <w:highlight w:val="none"/>
        </w:rPr>
      </w:pPr>
      <w:r>
        <w:rPr>
          <w:rFonts w:hint="eastAsia" w:ascii="仿宋_GB2312" w:hAnsi="仿宋_GB2312" w:eastAsia="仿宋_GB2312" w:cs="仿宋_GB2312"/>
          <w:sz w:val="28"/>
          <w:szCs w:val="28"/>
          <w:highlight w:val="none"/>
        </w:rPr>
        <w:t>为保证公开、公平、公正、透明</w:t>
      </w:r>
      <w:r>
        <w:rPr>
          <w:rFonts w:hint="eastAsia" w:ascii="Times New Roman" w:hAnsi="Times New Roman" w:eastAsia="仿宋_GB2312"/>
          <w:sz w:val="28"/>
          <w:szCs w:val="28"/>
          <w:highlight w:val="none"/>
        </w:rPr>
        <w:t>地进行成绩评定</w:t>
      </w:r>
      <w:r>
        <w:rPr>
          <w:rFonts w:ascii="Times New Roman" w:hAnsi="Times New Roman" w:eastAsia="仿宋_GB2312"/>
          <w:sz w:val="28"/>
          <w:szCs w:val="28"/>
          <w:highlight w:val="none"/>
        </w:rPr>
        <w:t>。</w:t>
      </w:r>
    </w:p>
    <w:p>
      <w:pPr>
        <w:spacing w:line="560" w:lineRule="exact"/>
        <w:ind w:firstLine="562" w:firstLineChars="200"/>
        <w:rPr>
          <w:rStyle w:val="26"/>
          <w:rFonts w:ascii="Times New Roman" w:hAnsi="Times New Roman" w:eastAsia="仿宋_GB2312"/>
          <w:highlight w:val="none"/>
        </w:rPr>
      </w:pPr>
      <w:r>
        <w:rPr>
          <w:rStyle w:val="26"/>
          <w:rFonts w:hint="eastAsia" w:ascii="Times New Roman" w:hAnsi="Times New Roman" w:eastAsia="仿宋_GB2312"/>
          <w:highlight w:val="none"/>
        </w:rPr>
        <w:t>3.成绩审核方法</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各裁判员首先审核自身对选手的原始打分成绩，并签名；裁判长对所有裁判员的打分成绩进行审核，并签名。</w:t>
      </w:r>
    </w:p>
    <w:p>
      <w:pPr>
        <w:spacing w:line="560" w:lineRule="exact"/>
        <w:ind w:firstLine="562" w:firstLineChars="200"/>
        <w:rPr>
          <w:rStyle w:val="26"/>
          <w:rFonts w:ascii="Times New Roman" w:hAnsi="Times New Roman" w:eastAsia="仿宋_GB2312"/>
        </w:rPr>
      </w:pPr>
      <w:r>
        <w:rPr>
          <w:rStyle w:val="26"/>
          <w:rFonts w:hint="eastAsia" w:ascii="Times New Roman" w:hAnsi="Times New Roman" w:eastAsia="仿宋_GB2312"/>
        </w:rPr>
        <w:t>4.成绩复核</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为保障成绩评判的准确性，监督仲裁组将对赛项总成绩排名前10%的所有参赛队伍（选手）的成绩进行复核；对其余成绩进行抽检复核，抽检覆盖率不得低于15%。如发现成绩错误以书面方式及时告知裁判长，由裁判长更正成绩并签字确认。复核、抽检错误率超过5%的，裁判组将对所有成绩进行复核。</w:t>
      </w:r>
    </w:p>
    <w:p>
      <w:pPr>
        <w:pStyle w:val="3"/>
        <w:spacing w:before="156" w:after="156"/>
        <w:ind w:firstLine="562" w:firstLineChars="200"/>
        <w:rPr>
          <w:rStyle w:val="25"/>
          <w:rFonts w:hint="eastAsia" w:ascii="仿宋_GB2312" w:hAnsi="仿宋_GB2312" w:eastAsia="仿宋_GB2312" w:cs="仿宋_GB2312"/>
          <w:b/>
          <w:bCs w:val="0"/>
          <w:sz w:val="28"/>
          <w:szCs w:val="28"/>
          <w:highlight w:val="none"/>
          <w:lang w:val="en-US" w:eastAsia="zh-CN"/>
        </w:rPr>
      </w:pPr>
      <w:r>
        <w:rPr>
          <w:rStyle w:val="25"/>
          <w:rFonts w:hint="eastAsia" w:ascii="仿宋_GB2312" w:hAnsi="仿宋_GB2312" w:eastAsia="仿宋_GB2312" w:cs="仿宋_GB2312"/>
          <w:b/>
          <w:bCs w:val="0"/>
          <w:sz w:val="28"/>
          <w:szCs w:val="28"/>
          <w:highlight w:val="none"/>
          <w:lang w:val="en-US" w:eastAsia="zh-CN"/>
        </w:rPr>
        <w:t>十二、赛项预案</w:t>
      </w:r>
    </w:p>
    <w:p>
      <w:pPr>
        <w:pStyle w:val="4"/>
        <w:keepNext w:val="0"/>
        <w:keepLines w:val="0"/>
        <w:pageBreakBefore w:val="0"/>
        <w:widowControl/>
        <w:kinsoku/>
        <w:wordWrap/>
        <w:overflowPunct/>
        <w:topLinePunct w:val="0"/>
        <w:autoSpaceDE/>
        <w:autoSpaceDN/>
        <w:bidi w:val="0"/>
        <w:adjustRightInd/>
        <w:snapToGrid/>
        <w:spacing w:line="560" w:lineRule="exact"/>
        <w:ind w:left="0" w:firstLine="562" w:firstLineChars="200"/>
        <w:textAlignment w:val="auto"/>
        <w:rPr>
          <w:rFonts w:ascii="楷体_GB2312" w:hAnsi="楷体_GB2312" w:eastAsia="楷体_GB2312" w:cs="楷体_GB2312"/>
          <w:b w:val="0"/>
          <w:bCs w:val="0"/>
          <w:color w:val="000000"/>
          <w:sz w:val="28"/>
          <w:szCs w:val="28"/>
        </w:rPr>
      </w:pPr>
      <w:r>
        <w:rPr>
          <w:rFonts w:ascii="楷体_GB2312" w:hAnsi="楷体_GB2312" w:eastAsia="楷体_GB2312" w:cs="楷体_GB2312"/>
          <w:b/>
          <w:bCs/>
          <w:color w:val="000000"/>
          <w:sz w:val="28"/>
          <w:szCs w:val="28"/>
        </w:rPr>
        <w:t>（一）试剂试样安全管理预案</w:t>
      </w:r>
      <w:r>
        <w:rPr>
          <w:rFonts w:ascii="楷体_GB2312" w:hAnsi="楷体_GB2312" w:eastAsia="楷体_GB2312" w:cs="楷体_GB2312"/>
          <w:b w:val="0"/>
          <w:bCs w:val="0"/>
          <w:color w:val="000000"/>
          <w:sz w:val="28"/>
          <w:szCs w:val="28"/>
        </w:rPr>
        <w:t xml:space="preserve"> </w:t>
      </w:r>
    </w:p>
    <w:p>
      <w:pPr>
        <w:pStyle w:val="4"/>
        <w:keepNext w:val="0"/>
        <w:keepLines w:val="0"/>
        <w:pageBreakBefore w:val="0"/>
        <w:widowControl/>
        <w:kinsoku/>
        <w:wordWrap/>
        <w:overflowPunct/>
        <w:topLinePunct w:val="0"/>
        <w:autoSpaceDE/>
        <w:autoSpaceDN/>
        <w:bidi w:val="0"/>
        <w:adjustRightInd/>
        <w:snapToGrid/>
        <w:spacing w:line="560" w:lineRule="exact"/>
        <w:ind w:left="0" w:firstLine="560" w:firstLineChars="200"/>
        <w:textAlignment w:val="auto"/>
        <w:rPr>
          <w:rFonts w:ascii="仿宋_GB2312" w:hAnsi="仿宋_GB2312" w:eastAsia="仿宋_GB2312" w:cs="仿宋_GB2312"/>
          <w:b w:val="0"/>
          <w:bCs w:val="0"/>
          <w:color w:val="000000"/>
          <w:sz w:val="28"/>
          <w:szCs w:val="28"/>
        </w:rPr>
      </w:pPr>
      <w:r>
        <w:rPr>
          <w:rFonts w:ascii="仿宋_GB2312" w:hAnsi="仿宋_GB2312" w:eastAsia="仿宋_GB2312" w:cs="仿宋_GB2312"/>
          <w:b w:val="0"/>
          <w:bCs w:val="0"/>
          <w:color w:val="000000"/>
          <w:sz w:val="28"/>
          <w:szCs w:val="28"/>
        </w:rPr>
        <w:t>如果发生涉及试剂试样的安全事故，现场人员依不同情 况酌情实施急救，并及时上报。且立即联系医疗救护人员进行现场救护工作，同时拨打</w:t>
      </w:r>
      <w:r>
        <w:rPr>
          <w:rFonts w:ascii="TimesNewRomanPSMT" w:hAnsi="TimesNewRomanPSMT" w:eastAsia="TimesNewRomanPSMT" w:cs="TimesNewRomanPSMT"/>
          <w:b w:val="0"/>
          <w:bCs w:val="0"/>
          <w:color w:val="000000"/>
          <w:sz w:val="28"/>
          <w:szCs w:val="28"/>
        </w:rPr>
        <w:t>120</w:t>
      </w:r>
      <w:r>
        <w:rPr>
          <w:rFonts w:ascii="仿宋_GB2312" w:hAnsi="仿宋_GB2312" w:eastAsia="仿宋_GB2312" w:cs="仿宋_GB2312"/>
          <w:b w:val="0"/>
          <w:bCs w:val="0"/>
          <w:color w:val="000000"/>
          <w:sz w:val="28"/>
          <w:szCs w:val="28"/>
        </w:rPr>
        <w:t xml:space="preserve">急救电话。 </w:t>
      </w:r>
    </w:p>
    <w:p>
      <w:pPr>
        <w:pStyle w:val="4"/>
        <w:keepNext w:val="0"/>
        <w:keepLines w:val="0"/>
        <w:pageBreakBefore w:val="0"/>
        <w:widowControl/>
        <w:kinsoku/>
        <w:wordWrap/>
        <w:overflowPunct/>
        <w:topLinePunct w:val="0"/>
        <w:autoSpaceDE/>
        <w:autoSpaceDN/>
        <w:bidi w:val="0"/>
        <w:adjustRightInd/>
        <w:snapToGrid/>
        <w:spacing w:line="560" w:lineRule="exact"/>
        <w:ind w:left="0" w:firstLine="562" w:firstLineChars="200"/>
        <w:textAlignment w:val="auto"/>
        <w:rPr>
          <w:rFonts w:ascii="楷体_GB2312" w:hAnsi="楷体_GB2312" w:eastAsia="楷体_GB2312" w:cs="楷体_GB2312"/>
          <w:b/>
          <w:bCs/>
          <w:color w:val="000000"/>
          <w:sz w:val="28"/>
          <w:szCs w:val="28"/>
        </w:rPr>
      </w:pPr>
      <w:r>
        <w:rPr>
          <w:rFonts w:ascii="楷体_GB2312" w:hAnsi="楷体_GB2312" w:eastAsia="楷体_GB2312" w:cs="楷体_GB2312"/>
          <w:b/>
          <w:bCs/>
          <w:color w:val="000000"/>
          <w:sz w:val="28"/>
          <w:szCs w:val="28"/>
        </w:rPr>
        <w:t xml:space="preserve">（二）水、电保障应急预案 </w:t>
      </w:r>
    </w:p>
    <w:p>
      <w:pPr>
        <w:pStyle w:val="4"/>
        <w:keepNext w:val="0"/>
        <w:keepLines w:val="0"/>
        <w:pageBreakBefore w:val="0"/>
        <w:widowControl/>
        <w:kinsoku/>
        <w:wordWrap/>
        <w:overflowPunct/>
        <w:topLinePunct w:val="0"/>
        <w:autoSpaceDE/>
        <w:autoSpaceDN/>
        <w:bidi w:val="0"/>
        <w:adjustRightInd/>
        <w:snapToGrid/>
        <w:spacing w:line="560" w:lineRule="exact"/>
        <w:ind w:left="0" w:firstLine="560" w:firstLineChars="200"/>
        <w:textAlignment w:val="auto"/>
        <w:rPr>
          <w:rFonts w:ascii="仿宋_GB2312" w:hAnsi="仿宋_GB2312" w:eastAsia="仿宋_GB2312" w:cs="仿宋_GB2312"/>
          <w:b w:val="0"/>
          <w:bCs w:val="0"/>
          <w:color w:val="000000"/>
          <w:sz w:val="28"/>
          <w:szCs w:val="28"/>
        </w:rPr>
      </w:pPr>
      <w:r>
        <w:rPr>
          <w:rFonts w:hint="default" w:ascii="TimesNewRomanPSMT" w:hAnsi="TimesNewRomanPSMT" w:eastAsia="TimesNewRomanPSMT" w:cs="TimesNewRomanPSMT"/>
          <w:b w:val="0"/>
          <w:bCs w:val="0"/>
          <w:color w:val="000000"/>
          <w:sz w:val="28"/>
          <w:szCs w:val="28"/>
        </w:rPr>
        <w:t>1.</w:t>
      </w:r>
      <w:r>
        <w:rPr>
          <w:rFonts w:ascii="仿宋_GB2312" w:hAnsi="仿宋_GB2312" w:eastAsia="仿宋_GB2312" w:cs="仿宋_GB2312"/>
          <w:b w:val="0"/>
          <w:bCs w:val="0"/>
          <w:color w:val="000000"/>
          <w:sz w:val="28"/>
          <w:szCs w:val="28"/>
        </w:rPr>
        <w:t xml:space="preserve">一旦发生水、电路故障、停水、停电等现象，现场人员要在第一时间向应急处置小组报告，并采取有效措施，防止发生事故。 </w:t>
      </w:r>
    </w:p>
    <w:p>
      <w:pPr>
        <w:pStyle w:val="4"/>
        <w:keepNext w:val="0"/>
        <w:keepLines w:val="0"/>
        <w:pageBreakBefore w:val="0"/>
        <w:widowControl/>
        <w:kinsoku/>
        <w:wordWrap/>
        <w:overflowPunct/>
        <w:topLinePunct w:val="0"/>
        <w:autoSpaceDE/>
        <w:autoSpaceDN/>
        <w:bidi w:val="0"/>
        <w:adjustRightInd/>
        <w:snapToGrid/>
        <w:spacing w:line="560" w:lineRule="exact"/>
        <w:ind w:left="0" w:firstLine="560" w:firstLineChars="200"/>
        <w:textAlignment w:val="auto"/>
        <w:rPr>
          <w:rFonts w:ascii="仿宋_GB2312" w:hAnsi="仿宋_GB2312" w:eastAsia="仿宋_GB2312" w:cs="仿宋_GB2312"/>
          <w:b w:val="0"/>
          <w:bCs w:val="0"/>
          <w:color w:val="000000"/>
          <w:sz w:val="28"/>
          <w:szCs w:val="28"/>
        </w:rPr>
      </w:pPr>
      <w:r>
        <w:rPr>
          <w:rFonts w:hint="default" w:ascii="TimesNewRomanPSMT" w:hAnsi="TimesNewRomanPSMT" w:eastAsia="TimesNewRomanPSMT" w:cs="TimesNewRomanPSMT"/>
          <w:b w:val="0"/>
          <w:bCs w:val="0"/>
          <w:color w:val="000000"/>
          <w:sz w:val="28"/>
          <w:szCs w:val="28"/>
        </w:rPr>
        <w:t>2.</w:t>
      </w:r>
      <w:r>
        <w:rPr>
          <w:rFonts w:ascii="仿宋_GB2312" w:hAnsi="仿宋_GB2312" w:eastAsia="仿宋_GB2312" w:cs="仿宋_GB2312"/>
          <w:b w:val="0"/>
          <w:bCs w:val="0"/>
          <w:color w:val="000000"/>
          <w:sz w:val="28"/>
          <w:szCs w:val="28"/>
        </w:rPr>
        <w:t xml:space="preserve">应急小组接到水、电路故障报告后，立即联系学校后勤处，由后勤处立即安排专业人员在第一时间到现场进行检测、维修，尽快修复。 </w:t>
      </w:r>
    </w:p>
    <w:p>
      <w:pPr>
        <w:pStyle w:val="4"/>
        <w:keepNext w:val="0"/>
        <w:keepLines w:val="0"/>
        <w:pageBreakBefore w:val="0"/>
        <w:widowControl/>
        <w:kinsoku/>
        <w:wordWrap/>
        <w:overflowPunct/>
        <w:topLinePunct w:val="0"/>
        <w:autoSpaceDE/>
        <w:autoSpaceDN/>
        <w:bidi w:val="0"/>
        <w:adjustRightInd/>
        <w:snapToGrid/>
        <w:spacing w:line="560" w:lineRule="exact"/>
        <w:ind w:left="0" w:firstLine="560" w:firstLineChars="200"/>
        <w:textAlignment w:val="auto"/>
        <w:rPr>
          <w:rFonts w:ascii="仿宋_GB2312" w:hAnsi="仿宋_GB2312" w:eastAsia="仿宋_GB2312" w:cs="仿宋_GB2312"/>
          <w:b w:val="0"/>
          <w:bCs w:val="0"/>
          <w:color w:val="000000"/>
          <w:sz w:val="28"/>
          <w:szCs w:val="28"/>
        </w:rPr>
      </w:pPr>
      <w:r>
        <w:rPr>
          <w:rFonts w:hint="default" w:ascii="TimesNewRomanPSMT" w:hAnsi="TimesNewRomanPSMT" w:eastAsia="TimesNewRomanPSMT" w:cs="TimesNewRomanPSMT"/>
          <w:b w:val="0"/>
          <w:bCs w:val="0"/>
          <w:color w:val="000000"/>
          <w:sz w:val="28"/>
          <w:szCs w:val="28"/>
        </w:rPr>
        <w:t>3.</w:t>
      </w:r>
      <w:r>
        <w:rPr>
          <w:rFonts w:ascii="仿宋_GB2312" w:hAnsi="仿宋_GB2312" w:eastAsia="仿宋_GB2312" w:cs="仿宋_GB2312"/>
          <w:b w:val="0"/>
          <w:bCs w:val="0"/>
          <w:color w:val="000000"/>
          <w:sz w:val="28"/>
          <w:szCs w:val="28"/>
        </w:rPr>
        <w:t>一旦发生触电事故，首先要在安全的情况下使触电者尽快脱离电源。触电者脱离电源后，救护者应立即将其就近移至干燥通风处，可依不同情况酌情实施救护。组织人员对事发场地外围进行封锁，严禁无关人员进入，防止造成更大灾害。立即联系医疗救护人员进行现场救护，同时拨打</w:t>
      </w:r>
      <w:r>
        <w:rPr>
          <w:rFonts w:hint="default" w:ascii="TimesNewRomanPSMT" w:hAnsi="TimesNewRomanPSMT" w:eastAsia="TimesNewRomanPSMT" w:cs="TimesNewRomanPSMT"/>
          <w:b w:val="0"/>
          <w:bCs w:val="0"/>
          <w:color w:val="000000"/>
          <w:sz w:val="28"/>
          <w:szCs w:val="28"/>
        </w:rPr>
        <w:t>120</w:t>
      </w:r>
      <w:r>
        <w:rPr>
          <w:rFonts w:ascii="仿宋_GB2312" w:hAnsi="仿宋_GB2312" w:eastAsia="仿宋_GB2312" w:cs="仿宋_GB2312"/>
          <w:b w:val="0"/>
          <w:bCs w:val="0"/>
          <w:color w:val="000000"/>
          <w:sz w:val="28"/>
          <w:szCs w:val="28"/>
        </w:rPr>
        <w:t xml:space="preserve">急救电话。 </w:t>
      </w:r>
    </w:p>
    <w:p>
      <w:pPr>
        <w:pStyle w:val="4"/>
        <w:keepNext w:val="0"/>
        <w:keepLines w:val="0"/>
        <w:pageBreakBefore w:val="0"/>
        <w:widowControl/>
        <w:kinsoku/>
        <w:wordWrap/>
        <w:overflowPunct/>
        <w:topLinePunct w:val="0"/>
        <w:autoSpaceDE/>
        <w:autoSpaceDN/>
        <w:bidi w:val="0"/>
        <w:adjustRightInd/>
        <w:snapToGrid/>
        <w:spacing w:line="560" w:lineRule="exact"/>
        <w:ind w:left="0" w:firstLine="562" w:firstLineChars="200"/>
        <w:textAlignment w:val="auto"/>
        <w:rPr>
          <w:rFonts w:ascii="楷体_GB2312" w:hAnsi="楷体_GB2312" w:eastAsia="楷体_GB2312" w:cs="楷体_GB2312"/>
          <w:b/>
          <w:bCs/>
          <w:color w:val="000000"/>
          <w:sz w:val="28"/>
          <w:szCs w:val="28"/>
        </w:rPr>
      </w:pPr>
      <w:r>
        <w:rPr>
          <w:rFonts w:ascii="楷体_GB2312" w:hAnsi="楷体_GB2312" w:eastAsia="楷体_GB2312" w:cs="楷体_GB2312"/>
          <w:b/>
          <w:bCs/>
          <w:color w:val="000000"/>
          <w:sz w:val="28"/>
          <w:szCs w:val="28"/>
        </w:rPr>
        <w:t xml:space="preserve">（三）其它设备安全管理预案 </w:t>
      </w:r>
    </w:p>
    <w:p>
      <w:pPr>
        <w:pStyle w:val="4"/>
        <w:keepNext w:val="0"/>
        <w:keepLines w:val="0"/>
        <w:pageBreakBefore w:val="0"/>
        <w:widowControl/>
        <w:kinsoku/>
        <w:wordWrap/>
        <w:overflowPunct/>
        <w:topLinePunct w:val="0"/>
        <w:autoSpaceDE/>
        <w:autoSpaceDN/>
        <w:bidi w:val="0"/>
        <w:adjustRightInd/>
        <w:snapToGrid/>
        <w:spacing w:line="560" w:lineRule="exact"/>
        <w:ind w:left="0" w:firstLine="560" w:firstLineChars="200"/>
        <w:textAlignment w:val="auto"/>
        <w:rPr>
          <w:rFonts w:ascii="仿宋_GB2312" w:hAnsi="仿宋_GB2312" w:eastAsia="仿宋_GB2312" w:cs="仿宋_GB2312"/>
          <w:b w:val="0"/>
          <w:bCs w:val="0"/>
          <w:color w:val="000000"/>
          <w:sz w:val="28"/>
          <w:szCs w:val="28"/>
        </w:rPr>
      </w:pPr>
      <w:r>
        <w:rPr>
          <w:rFonts w:hint="default" w:ascii="TimesNewRomanPSMT" w:hAnsi="TimesNewRomanPSMT" w:eastAsia="TimesNewRomanPSMT" w:cs="TimesNewRomanPSMT"/>
          <w:b w:val="0"/>
          <w:bCs w:val="0"/>
          <w:color w:val="000000"/>
          <w:sz w:val="28"/>
          <w:szCs w:val="28"/>
        </w:rPr>
        <w:t>1.</w:t>
      </w:r>
      <w:r>
        <w:rPr>
          <w:rFonts w:ascii="仿宋_GB2312" w:hAnsi="仿宋_GB2312" w:eastAsia="仿宋_GB2312" w:cs="仿宋_GB2312"/>
          <w:b w:val="0"/>
          <w:bCs w:val="0"/>
          <w:color w:val="000000"/>
          <w:sz w:val="28"/>
          <w:szCs w:val="28"/>
        </w:rPr>
        <w:t xml:space="preserve">发生玻璃器皿割伤事故时，由现场人员依不同情况酌 情实施急救，情况严重时立即联系医疗救护人员进行现场救护，同时拨打 </w:t>
      </w:r>
      <w:r>
        <w:rPr>
          <w:rFonts w:hint="default" w:ascii="TimesNewRomanPSMT" w:hAnsi="TimesNewRomanPSMT" w:eastAsia="TimesNewRomanPSMT" w:cs="TimesNewRomanPSMT"/>
          <w:b w:val="0"/>
          <w:bCs w:val="0"/>
          <w:color w:val="000000"/>
          <w:sz w:val="28"/>
          <w:szCs w:val="28"/>
        </w:rPr>
        <w:t xml:space="preserve">120 </w:t>
      </w:r>
      <w:r>
        <w:rPr>
          <w:rFonts w:ascii="仿宋_GB2312" w:hAnsi="仿宋_GB2312" w:eastAsia="仿宋_GB2312" w:cs="仿宋_GB2312"/>
          <w:b w:val="0"/>
          <w:bCs w:val="0"/>
          <w:color w:val="000000"/>
          <w:sz w:val="28"/>
          <w:szCs w:val="28"/>
        </w:rPr>
        <w:t xml:space="preserve">急救电话。 </w:t>
      </w:r>
    </w:p>
    <w:p>
      <w:pPr>
        <w:pStyle w:val="4"/>
        <w:keepNext w:val="0"/>
        <w:keepLines w:val="0"/>
        <w:pageBreakBefore w:val="0"/>
        <w:widowControl/>
        <w:kinsoku/>
        <w:wordWrap/>
        <w:overflowPunct/>
        <w:topLinePunct w:val="0"/>
        <w:autoSpaceDE/>
        <w:autoSpaceDN/>
        <w:bidi w:val="0"/>
        <w:adjustRightInd/>
        <w:snapToGrid/>
        <w:spacing w:line="560" w:lineRule="exact"/>
        <w:ind w:left="0" w:firstLine="560" w:firstLineChars="200"/>
        <w:textAlignment w:val="auto"/>
        <w:rPr>
          <w:rFonts w:ascii="仿宋_GB2312" w:hAnsi="仿宋_GB2312" w:eastAsia="仿宋_GB2312" w:cs="仿宋_GB2312"/>
          <w:b w:val="0"/>
          <w:bCs w:val="0"/>
          <w:color w:val="000000"/>
          <w:sz w:val="28"/>
          <w:szCs w:val="28"/>
        </w:rPr>
      </w:pPr>
      <w:r>
        <w:rPr>
          <w:rFonts w:hint="default" w:ascii="TimesNewRomanPSMT" w:hAnsi="TimesNewRomanPSMT" w:eastAsia="TimesNewRomanPSMT" w:cs="TimesNewRomanPSMT"/>
          <w:b w:val="0"/>
          <w:bCs w:val="0"/>
          <w:color w:val="000000"/>
          <w:sz w:val="28"/>
          <w:szCs w:val="28"/>
        </w:rPr>
        <w:t>2.</w:t>
      </w:r>
      <w:r>
        <w:rPr>
          <w:rFonts w:ascii="仿宋_GB2312" w:hAnsi="仿宋_GB2312" w:eastAsia="仿宋_GB2312" w:cs="仿宋_GB2312"/>
          <w:b w:val="0"/>
          <w:bCs w:val="0"/>
          <w:color w:val="000000"/>
          <w:sz w:val="28"/>
          <w:szCs w:val="28"/>
        </w:rPr>
        <w:t>如遇精密仪器产生故障，由责任人员负责维修、更换。</w:t>
      </w:r>
    </w:p>
    <w:p>
      <w:pPr>
        <w:pStyle w:val="4"/>
        <w:keepNext w:val="0"/>
        <w:keepLines w:val="0"/>
        <w:pageBreakBefore w:val="0"/>
        <w:widowControl/>
        <w:kinsoku/>
        <w:wordWrap/>
        <w:overflowPunct/>
        <w:topLinePunct w:val="0"/>
        <w:autoSpaceDE/>
        <w:autoSpaceDN/>
        <w:bidi w:val="0"/>
        <w:adjustRightInd/>
        <w:snapToGrid/>
        <w:spacing w:line="560" w:lineRule="exact"/>
        <w:ind w:left="0" w:firstLine="562" w:firstLineChars="200"/>
        <w:textAlignment w:val="auto"/>
        <w:rPr>
          <w:rFonts w:ascii="楷体_GB2312" w:hAnsi="楷体_GB2312" w:eastAsia="楷体_GB2312" w:cs="楷体_GB2312"/>
          <w:b/>
          <w:bCs/>
          <w:color w:val="000000"/>
          <w:sz w:val="28"/>
          <w:szCs w:val="28"/>
        </w:rPr>
      </w:pPr>
      <w:r>
        <w:rPr>
          <w:rFonts w:ascii="楷体_GB2312" w:hAnsi="楷体_GB2312" w:eastAsia="楷体_GB2312" w:cs="楷体_GB2312"/>
          <w:b/>
          <w:bCs/>
          <w:color w:val="000000"/>
          <w:sz w:val="28"/>
          <w:szCs w:val="28"/>
        </w:rPr>
        <w:t xml:space="preserve">（四）医疗应急预案 </w:t>
      </w:r>
    </w:p>
    <w:p>
      <w:pPr>
        <w:pStyle w:val="4"/>
        <w:keepNext w:val="0"/>
        <w:keepLines w:val="0"/>
        <w:pageBreakBefore w:val="0"/>
        <w:widowControl/>
        <w:kinsoku/>
        <w:wordWrap/>
        <w:overflowPunct/>
        <w:topLinePunct w:val="0"/>
        <w:autoSpaceDE/>
        <w:autoSpaceDN/>
        <w:bidi w:val="0"/>
        <w:adjustRightInd/>
        <w:snapToGrid/>
        <w:spacing w:line="560" w:lineRule="exact"/>
        <w:ind w:left="0" w:firstLine="560" w:firstLineChars="200"/>
        <w:textAlignment w:val="auto"/>
        <w:rPr>
          <w:rFonts w:ascii="仿宋_GB2312" w:hAnsi="仿宋_GB2312" w:eastAsia="仿宋_GB2312" w:cs="仿宋_GB2312"/>
          <w:b w:val="0"/>
          <w:bCs w:val="0"/>
          <w:color w:val="000000"/>
          <w:sz w:val="28"/>
          <w:szCs w:val="28"/>
        </w:rPr>
      </w:pPr>
      <w:r>
        <w:rPr>
          <w:rFonts w:hint="default" w:ascii="TimesNewRomanPSMT" w:hAnsi="TimesNewRomanPSMT" w:eastAsia="TimesNewRomanPSMT" w:cs="TimesNewRomanPSMT"/>
          <w:b w:val="0"/>
          <w:bCs w:val="0"/>
          <w:color w:val="000000"/>
          <w:sz w:val="28"/>
          <w:szCs w:val="28"/>
        </w:rPr>
        <w:t>1.</w:t>
      </w:r>
      <w:r>
        <w:rPr>
          <w:rFonts w:ascii="仿宋_GB2312" w:hAnsi="仿宋_GB2312" w:eastAsia="仿宋_GB2312" w:cs="仿宋_GB2312"/>
          <w:b w:val="0"/>
          <w:bCs w:val="0"/>
          <w:color w:val="000000"/>
          <w:sz w:val="28"/>
          <w:szCs w:val="28"/>
        </w:rPr>
        <w:t xml:space="preserve">安排医务人员在比赛现场值班。 </w:t>
      </w:r>
    </w:p>
    <w:p>
      <w:pPr>
        <w:adjustRightInd w:val="0"/>
        <w:snapToGrid w:val="0"/>
        <w:spacing w:line="600" w:lineRule="exact"/>
        <w:ind w:firstLine="560" w:firstLineChars="200"/>
        <w:rPr>
          <w:rFonts w:ascii="Times New Roman" w:hAnsi="Times New Roman" w:eastAsia="仿宋_GB2312"/>
          <w:sz w:val="28"/>
          <w:szCs w:val="28"/>
        </w:rPr>
      </w:pPr>
      <w:r>
        <w:rPr>
          <w:rFonts w:hint="default" w:ascii="TimesNewRomanPSMT" w:hAnsi="TimesNewRomanPSMT" w:eastAsia="TimesNewRomanPSMT" w:cs="TimesNewRomanPSMT"/>
          <w:b w:val="0"/>
          <w:bCs w:val="0"/>
          <w:color w:val="000000"/>
          <w:sz w:val="28"/>
          <w:szCs w:val="28"/>
        </w:rPr>
        <w:t>2.</w:t>
      </w:r>
      <w:r>
        <w:rPr>
          <w:rFonts w:ascii="仿宋_GB2312" w:hAnsi="仿宋_GB2312" w:eastAsia="仿宋_GB2312" w:cs="仿宋_GB2312"/>
          <w:b w:val="0"/>
          <w:bCs w:val="0"/>
          <w:color w:val="000000"/>
          <w:sz w:val="28"/>
          <w:szCs w:val="28"/>
        </w:rPr>
        <w:t>比赛过程中如果发现选手突然出现发热、呕吐等身体 不适状况，由专人护送至休息室，医务人员到场处置并做好情况登记工作，必要时请求属地卫生部门协助。</w:t>
      </w:r>
    </w:p>
    <w:p>
      <w:pPr>
        <w:pStyle w:val="3"/>
        <w:spacing w:before="156" w:after="156"/>
        <w:ind w:firstLine="562" w:firstLineChars="200"/>
        <w:rPr>
          <w:rStyle w:val="25"/>
          <w:rFonts w:hint="eastAsia" w:ascii="仿宋_GB2312" w:hAnsi="仿宋_GB2312" w:eastAsia="仿宋_GB2312" w:cs="仿宋_GB2312"/>
          <w:b/>
          <w:bCs w:val="0"/>
          <w:sz w:val="28"/>
          <w:szCs w:val="28"/>
          <w:highlight w:val="none"/>
          <w:lang w:val="en-US" w:eastAsia="zh-CN"/>
        </w:rPr>
      </w:pPr>
      <w:r>
        <w:rPr>
          <w:rStyle w:val="25"/>
          <w:rFonts w:hint="eastAsia" w:ascii="仿宋_GB2312" w:hAnsi="仿宋_GB2312" w:eastAsia="仿宋_GB2312" w:cs="仿宋_GB2312"/>
          <w:b/>
          <w:bCs w:val="0"/>
          <w:sz w:val="28"/>
          <w:szCs w:val="28"/>
          <w:highlight w:val="none"/>
          <w:lang w:val="en-US" w:eastAsia="zh-CN"/>
        </w:rPr>
        <w:t>十三、竞赛须知</w:t>
      </w:r>
    </w:p>
    <w:p>
      <w:pPr>
        <w:pStyle w:val="4"/>
        <w:spacing w:line="600" w:lineRule="exact"/>
        <w:ind w:left="0" w:firstLine="562" w:firstLineChars="200"/>
        <w:rPr>
          <w:rFonts w:ascii="Times New Roman" w:hAnsi="Times New Roman" w:eastAsia="楷体"/>
          <w:sz w:val="28"/>
          <w:szCs w:val="28"/>
        </w:rPr>
      </w:pPr>
      <w:r>
        <w:rPr>
          <w:rFonts w:ascii="Times New Roman" w:hAnsi="Times New Roman" w:eastAsia="楷体"/>
          <w:sz w:val="28"/>
          <w:szCs w:val="28"/>
        </w:rPr>
        <w:t>（一）参赛队须知</w:t>
      </w:r>
    </w:p>
    <w:p>
      <w:pPr>
        <w:adjustRightInd w:val="0"/>
        <w:snapToGrid w:val="0"/>
        <w:spacing w:line="60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w:t>
      </w:r>
      <w:r>
        <w:rPr>
          <w:rFonts w:ascii="Times New Roman" w:hAnsi="Times New Roman" w:eastAsia="仿宋_GB2312"/>
          <w:sz w:val="28"/>
          <w:szCs w:val="28"/>
        </w:rPr>
        <w:t>.</w:t>
      </w:r>
      <w:r>
        <w:rPr>
          <w:rFonts w:hint="eastAsia" w:ascii="Times New Roman" w:hAnsi="Times New Roman" w:eastAsia="仿宋_GB2312"/>
          <w:sz w:val="28"/>
          <w:szCs w:val="28"/>
        </w:rPr>
        <w:t>各参赛队的统一着装上不得有显示学校校名的中、英文标识。</w:t>
      </w:r>
    </w:p>
    <w:p>
      <w:pPr>
        <w:adjustRightInd w:val="0"/>
        <w:snapToGrid w:val="0"/>
        <w:spacing w:line="60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2.参赛队员在报名获得审核确认后，原则上不再更换，如筹备过程中，队员因故不能参赛，所在</w:t>
      </w:r>
      <w:r>
        <w:rPr>
          <w:rFonts w:hint="eastAsia" w:ascii="Times New Roman" w:hAnsi="Times New Roman" w:eastAsia="仿宋_GB2312"/>
          <w:sz w:val="28"/>
          <w:szCs w:val="28"/>
        </w:rPr>
        <w:t>校</w:t>
      </w:r>
      <w:r>
        <w:rPr>
          <w:rFonts w:ascii="Times New Roman" w:hAnsi="Times New Roman" w:eastAsia="仿宋_GB2312"/>
          <w:sz w:val="28"/>
          <w:szCs w:val="28"/>
        </w:rPr>
        <w:t>主管部门需出具书面说明并按相关规定补充人员并接受审核；竞赛开始后，参赛队不得更换参赛队员，允许队员缺席比赛。</w:t>
      </w:r>
    </w:p>
    <w:p>
      <w:pPr>
        <w:adjustRightInd w:val="0"/>
        <w:snapToGrid w:val="0"/>
        <w:spacing w:line="60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3.参赛队按照大赛赛程安排，凭有效身份证件进行报到和检录，凭大赛组委会颁发的参赛证和工位号参加比赛。</w:t>
      </w:r>
    </w:p>
    <w:p>
      <w:pPr>
        <w:pStyle w:val="4"/>
        <w:spacing w:line="600" w:lineRule="exact"/>
        <w:ind w:left="0" w:firstLine="562" w:firstLineChars="200"/>
        <w:rPr>
          <w:rFonts w:ascii="Times New Roman" w:hAnsi="Times New Roman" w:eastAsia="楷体"/>
          <w:sz w:val="28"/>
          <w:szCs w:val="28"/>
        </w:rPr>
      </w:pPr>
      <w:r>
        <w:rPr>
          <w:rFonts w:ascii="Times New Roman" w:hAnsi="Times New Roman" w:eastAsia="楷体"/>
          <w:sz w:val="28"/>
          <w:szCs w:val="28"/>
        </w:rPr>
        <w:t>（二）领队和指导教师须知</w:t>
      </w:r>
    </w:p>
    <w:p>
      <w:pPr>
        <w:adjustRightInd w:val="0"/>
        <w:snapToGrid w:val="0"/>
        <w:spacing w:line="60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1.各参赛代表队要发扬良好道德风尚，听从指挥，服从裁判，不弄虚作假。如发现弄虚作假者，取消参赛资格，名次无效。</w:t>
      </w:r>
    </w:p>
    <w:p>
      <w:pPr>
        <w:adjustRightInd w:val="0"/>
        <w:snapToGrid w:val="0"/>
        <w:spacing w:line="60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2.各代表队领队要坚决执行竞赛的各项规定，加强对参赛人员的管理，做好赛前准备工作，督促选手带好证件等竞赛相关材料。</w:t>
      </w:r>
    </w:p>
    <w:p>
      <w:pPr>
        <w:adjustRightInd w:val="0"/>
        <w:snapToGrid w:val="0"/>
        <w:spacing w:line="60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3.竞赛过程中，领队、指导教师及其他人员一律不得进入竞赛区域。</w:t>
      </w:r>
    </w:p>
    <w:p>
      <w:pPr>
        <w:adjustRightInd w:val="0"/>
        <w:snapToGrid w:val="0"/>
        <w:spacing w:line="60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4.如对竞赛过程有异议，在规定的时间内由领队向赛项仲裁工作组提出书面申请。</w:t>
      </w:r>
    </w:p>
    <w:p>
      <w:pPr>
        <w:adjustRightInd w:val="0"/>
        <w:snapToGrid w:val="0"/>
        <w:spacing w:line="60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5.对申诉的仲裁结果，领队要带头服从和执行，并做好选手工作。参赛选手不得因申诉或对处理意见不服而停止竞赛，否则以弃权处理。</w:t>
      </w:r>
    </w:p>
    <w:p>
      <w:pPr>
        <w:adjustRightInd w:val="0"/>
        <w:snapToGrid w:val="0"/>
        <w:spacing w:line="60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6.指导教师应及时查看大赛官方网页有关赛项的通知和内容，认真研究和掌握本赛项竞赛的规程、技术规范和赛场要求，指导选手做好赛前的一切技术准备和竞赛准备。</w:t>
      </w:r>
    </w:p>
    <w:p>
      <w:pPr>
        <w:pStyle w:val="4"/>
        <w:spacing w:line="600" w:lineRule="exact"/>
        <w:ind w:left="0" w:firstLine="562" w:firstLineChars="200"/>
        <w:rPr>
          <w:rFonts w:ascii="Times New Roman" w:hAnsi="Times New Roman" w:eastAsia="楷体"/>
          <w:sz w:val="28"/>
          <w:szCs w:val="28"/>
        </w:rPr>
      </w:pPr>
      <w:r>
        <w:rPr>
          <w:rFonts w:ascii="Times New Roman" w:hAnsi="Times New Roman" w:eastAsia="楷体"/>
          <w:sz w:val="28"/>
          <w:szCs w:val="28"/>
        </w:rPr>
        <w:t>（三）参赛选手须知</w:t>
      </w:r>
    </w:p>
    <w:p>
      <w:pPr>
        <w:adjustRightInd w:val="0"/>
        <w:snapToGrid w:val="0"/>
        <w:spacing w:line="60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1.参赛选手应按有关要求如实填报个人信息，否则取消竞赛资格。</w:t>
      </w:r>
    </w:p>
    <w:p>
      <w:pPr>
        <w:adjustRightInd w:val="0"/>
        <w:snapToGrid w:val="0"/>
        <w:spacing w:line="60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2.参赛选手凭统一印制的参赛证和有效身份证件参加竞赛。</w:t>
      </w:r>
    </w:p>
    <w:p>
      <w:pPr>
        <w:adjustRightInd w:val="0"/>
        <w:snapToGrid w:val="0"/>
        <w:spacing w:line="60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3.参赛选手应认真学习领会本次竞赛相关文件，自觉遵守大赛纪律，服从指挥，听从安排，文明参赛。</w:t>
      </w:r>
    </w:p>
    <w:p>
      <w:pPr>
        <w:adjustRightInd w:val="0"/>
        <w:snapToGrid w:val="0"/>
        <w:spacing w:line="60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4.参赛选手请勿携带与竞赛无关的电子设备、通讯设备及其他资料与用品。</w:t>
      </w:r>
    </w:p>
    <w:p>
      <w:pPr>
        <w:adjustRightInd w:val="0"/>
        <w:snapToGrid w:val="0"/>
        <w:spacing w:line="60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5.参赛选手应在抽签前30分钟抵达赛场，凭参赛证、身份证件检录，按要求入场，不得迟到早退。</w:t>
      </w:r>
    </w:p>
    <w:p>
      <w:pPr>
        <w:adjustRightInd w:val="0"/>
        <w:snapToGrid w:val="0"/>
        <w:spacing w:line="60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6.参赛选手须在确认竞赛内容和现场设备等无误后开始竞赛。在竞赛过程中，如有疑问</w:t>
      </w:r>
      <w:r>
        <w:rPr>
          <w:rFonts w:hint="eastAsia" w:ascii="Times New Roman" w:hAnsi="Times New Roman" w:eastAsia="仿宋_GB2312"/>
          <w:sz w:val="28"/>
          <w:szCs w:val="28"/>
        </w:rPr>
        <w:t>或</w:t>
      </w:r>
      <w:r>
        <w:rPr>
          <w:rFonts w:ascii="Times New Roman" w:hAnsi="Times New Roman" w:eastAsia="仿宋_GB2312"/>
          <w:sz w:val="28"/>
          <w:szCs w:val="28"/>
        </w:rPr>
        <w:t>遇设备或软件等故障</w:t>
      </w:r>
      <w:r>
        <w:rPr>
          <w:rFonts w:hint="eastAsia" w:ascii="Times New Roman" w:hAnsi="Times New Roman" w:eastAsia="仿宋_GB2312"/>
          <w:sz w:val="28"/>
          <w:szCs w:val="28"/>
        </w:rPr>
        <w:t>或</w:t>
      </w:r>
      <w:r>
        <w:rPr>
          <w:rFonts w:ascii="Times New Roman" w:hAnsi="Times New Roman" w:eastAsia="仿宋_GB2312"/>
          <w:sz w:val="28"/>
          <w:szCs w:val="28"/>
        </w:rPr>
        <w:t>遇身体不适，参赛选手示意</w:t>
      </w:r>
      <w:r>
        <w:rPr>
          <w:rFonts w:hint="eastAsia" w:ascii="Times New Roman" w:hAnsi="Times New Roman" w:eastAsia="仿宋_GB2312"/>
          <w:sz w:val="28"/>
          <w:szCs w:val="28"/>
        </w:rPr>
        <w:t>评委</w:t>
      </w:r>
      <w:r>
        <w:rPr>
          <w:rFonts w:ascii="Times New Roman" w:hAnsi="Times New Roman" w:eastAsia="仿宋_GB2312"/>
          <w:sz w:val="28"/>
          <w:szCs w:val="28"/>
        </w:rPr>
        <w:t>。</w:t>
      </w:r>
    </w:p>
    <w:p>
      <w:pPr>
        <w:adjustRightInd w:val="0"/>
        <w:snapToGrid w:val="0"/>
        <w:spacing w:line="60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7.各参赛选手必须按规范要求操作竞赛设备。如故意破坏设备，经裁判长批准后将立即取消其参赛资格。</w:t>
      </w:r>
    </w:p>
    <w:p>
      <w:pPr>
        <w:adjustRightInd w:val="0"/>
        <w:snapToGrid w:val="0"/>
        <w:spacing w:line="60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8.竞赛规定时间结束，选手应立即停止操作。裁判长发出指令后，方可离开赛场。</w:t>
      </w:r>
    </w:p>
    <w:p>
      <w:pPr>
        <w:adjustRightInd w:val="0"/>
        <w:snapToGrid w:val="0"/>
        <w:spacing w:line="60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9.未经批准，参赛选手不得在竞赛期间接受其他单位和个人进行的与竞赛内容相关的采访；不得将竞赛的相关信息私自公布。</w:t>
      </w:r>
    </w:p>
    <w:p>
      <w:pPr>
        <w:pStyle w:val="4"/>
        <w:spacing w:line="600" w:lineRule="exact"/>
        <w:ind w:left="0" w:firstLine="562" w:firstLineChars="200"/>
        <w:rPr>
          <w:rFonts w:ascii="Times New Roman" w:hAnsi="Times New Roman" w:eastAsia="楷体"/>
          <w:sz w:val="28"/>
          <w:szCs w:val="28"/>
        </w:rPr>
      </w:pPr>
      <w:r>
        <w:rPr>
          <w:rFonts w:ascii="Times New Roman" w:hAnsi="Times New Roman" w:eastAsia="楷体"/>
          <w:sz w:val="28"/>
          <w:szCs w:val="28"/>
        </w:rPr>
        <w:t>（四）工作人员须知</w:t>
      </w:r>
    </w:p>
    <w:p>
      <w:pPr>
        <w:adjustRightInd w:val="0"/>
        <w:snapToGrid w:val="0"/>
        <w:spacing w:line="60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1.大赛全体工作人员必须服从组委会统一指挥，认真履行职责，做好比赛服务工作。</w:t>
      </w:r>
    </w:p>
    <w:p>
      <w:pPr>
        <w:adjustRightInd w:val="0"/>
        <w:snapToGrid w:val="0"/>
        <w:spacing w:line="60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2.全体工作人员要按分工准时到岗，尽职尽责做好份内各项工作，保证比赛顺利进行。</w:t>
      </w:r>
    </w:p>
    <w:p>
      <w:pPr>
        <w:adjustRightInd w:val="0"/>
        <w:snapToGrid w:val="0"/>
        <w:spacing w:line="60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3.认真检查、核准证件，非参赛选手不准进入赛场。同时，要安排好领队、指导教师。</w:t>
      </w:r>
    </w:p>
    <w:p>
      <w:pPr>
        <w:adjustRightInd w:val="0"/>
        <w:snapToGrid w:val="0"/>
        <w:spacing w:line="60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4.比赛出现技术问题（包括设备、器材等）时，应与及时联系各项技术负责人，妥善处理；如需重新</w:t>
      </w:r>
      <w:r>
        <w:rPr>
          <w:rFonts w:hint="eastAsia" w:ascii="Times New Roman" w:hAnsi="Times New Roman" w:eastAsia="仿宋_GB2312"/>
          <w:sz w:val="28"/>
          <w:szCs w:val="28"/>
        </w:rPr>
        <w:t>比赛</w:t>
      </w:r>
      <w:r>
        <w:rPr>
          <w:rFonts w:ascii="Times New Roman" w:hAnsi="Times New Roman" w:eastAsia="仿宋_GB2312"/>
          <w:sz w:val="28"/>
          <w:szCs w:val="28"/>
        </w:rPr>
        <w:t>或延时比赛，须得到组委会同意后方可进行。</w:t>
      </w:r>
    </w:p>
    <w:p>
      <w:pPr>
        <w:adjustRightInd w:val="0"/>
        <w:snapToGrid w:val="0"/>
        <w:spacing w:line="60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5.如遇突发事件，要及时向组委会报告，同时做好疏导工作，避免重大事故发生，确保大赛圆满成功。</w:t>
      </w:r>
    </w:p>
    <w:p>
      <w:pPr>
        <w:adjustRightInd w:val="0"/>
        <w:snapToGrid w:val="0"/>
        <w:spacing w:line="60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6.要认真组织好参赛选手的赛前准备工作，遇有重大问题及时与组委会联系协商解决办法。</w:t>
      </w:r>
    </w:p>
    <w:p>
      <w:pPr>
        <w:adjustRightInd w:val="0"/>
        <w:snapToGrid w:val="0"/>
        <w:spacing w:line="60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7.各项比赛的技术负责人，一定要坚守岗位，要对比赛技术操作的全过程负责。</w:t>
      </w:r>
    </w:p>
    <w:p>
      <w:pPr>
        <w:adjustRightInd w:val="0"/>
        <w:snapToGrid w:val="0"/>
        <w:spacing w:line="60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8.工作人员不要在赛场内接听或打电话，负责现场的人员在比赛期间一律关闭手机。</w:t>
      </w:r>
    </w:p>
    <w:p>
      <w:pPr>
        <w:pStyle w:val="3"/>
        <w:spacing w:before="156" w:after="156"/>
        <w:ind w:firstLine="562" w:firstLineChars="200"/>
        <w:rPr>
          <w:rStyle w:val="25"/>
          <w:rFonts w:hint="eastAsia" w:ascii="仿宋_GB2312" w:hAnsi="仿宋_GB2312" w:eastAsia="仿宋_GB2312" w:cs="仿宋_GB2312"/>
          <w:b/>
          <w:bCs w:val="0"/>
          <w:sz w:val="28"/>
          <w:szCs w:val="28"/>
          <w:highlight w:val="none"/>
          <w:lang w:val="en-US" w:eastAsia="zh-CN"/>
        </w:rPr>
      </w:pPr>
      <w:r>
        <w:rPr>
          <w:rStyle w:val="25"/>
          <w:rFonts w:hint="eastAsia" w:ascii="仿宋_GB2312" w:hAnsi="仿宋_GB2312" w:eastAsia="仿宋_GB2312" w:cs="仿宋_GB2312"/>
          <w:b/>
          <w:bCs w:val="0"/>
          <w:sz w:val="28"/>
          <w:szCs w:val="28"/>
          <w:highlight w:val="none"/>
          <w:lang w:val="en-US" w:eastAsia="zh-CN"/>
        </w:rPr>
        <w:t>十四、申诉与仲裁</w:t>
      </w:r>
    </w:p>
    <w:p>
      <w:pPr>
        <w:adjustRightInd w:val="0"/>
        <w:snapToGrid w:val="0"/>
        <w:spacing w:line="600" w:lineRule="exact"/>
        <w:ind w:firstLine="560" w:firstLineChars="200"/>
        <w:rPr>
          <w:lang w:eastAsia="zh-CN"/>
        </w:rPr>
      </w:pPr>
      <w:r>
        <w:rPr>
          <w:rFonts w:ascii="Times New Roman" w:hAnsi="Times New Roman" w:eastAsia="仿宋_GB2312"/>
          <w:sz w:val="28"/>
          <w:szCs w:val="28"/>
        </w:rPr>
        <w:t>本赛项在比赛过程中若出现有失公正或有关人员违规等现象，参赛队领队可在比赛结束后2小时之内向监督仲裁组提出书面申诉，书面申诉应对申诉事件的现象、发生时间、涉及人员、申诉依据等进行充分、实事求是的叙述，并由领队亲笔签名。非书面申诉不予受理。</w:t>
      </w:r>
    </w:p>
    <w:p>
      <w:pPr>
        <w:pStyle w:val="2"/>
        <w:rPr>
          <w:lang w:eastAsia="zh-CN"/>
        </w:rPr>
      </w:pPr>
    </w:p>
    <w:p>
      <w:pPr>
        <w:rPr>
          <w:rFonts w:ascii="Times New Roman" w:hAnsi="Times New Roman"/>
        </w:rPr>
      </w:pPr>
    </w:p>
    <w:sectPr>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楷体_GB2312">
    <w:panose1 w:val="02010609030101010101"/>
    <w:charset w:val="86"/>
    <w:family w:val="auto"/>
    <w:pitch w:val="default"/>
    <w:sig w:usb0="00000001" w:usb1="080E0000" w:usb2="00000000" w:usb3="00000000" w:csb0="00040000" w:csb1="00000000"/>
  </w:font>
  <w:font w:name="TimesNewRomanPSMT">
    <w:altName w:val="Times New Roman"/>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rPr>
        <w:sz w:val="18"/>
        <w:szCs w:val="18"/>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sz w:val="18"/>
        <w:szCs w:val="1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E658A1"/>
    <w:multiLevelType w:val="singleLevel"/>
    <w:tmpl w:val="99E658A1"/>
    <w:lvl w:ilvl="0" w:tentative="0">
      <w:start w:val="2"/>
      <w:numFmt w:val="chineseCounting"/>
      <w:suff w:val="nothing"/>
      <w:lvlText w:val="（%1）"/>
      <w:lvlJc w:val="left"/>
      <w:rPr>
        <w:rFonts w:hint="eastAsia"/>
      </w:rPr>
    </w:lvl>
  </w:abstractNum>
  <w:abstractNum w:abstractNumId="1">
    <w:nsid w:val="A2B91B6D"/>
    <w:multiLevelType w:val="singleLevel"/>
    <w:tmpl w:val="A2B91B6D"/>
    <w:lvl w:ilvl="0" w:tentative="0">
      <w:start w:val="1"/>
      <w:numFmt w:val="decimal"/>
      <w:lvlText w:val="%1."/>
      <w:lvlJc w:val="left"/>
      <w:pPr>
        <w:tabs>
          <w:tab w:val="left" w:pos="312"/>
        </w:tabs>
      </w:pPr>
    </w:lvl>
  </w:abstractNum>
  <w:abstractNum w:abstractNumId="2">
    <w:nsid w:val="AE686C31"/>
    <w:multiLevelType w:val="singleLevel"/>
    <w:tmpl w:val="AE686C31"/>
    <w:lvl w:ilvl="0" w:tentative="0">
      <w:start w:val="1"/>
      <w:numFmt w:val="decimal"/>
      <w:lvlText w:val="%1."/>
      <w:lvlJc w:val="left"/>
      <w:pPr>
        <w:tabs>
          <w:tab w:val="left" w:pos="312"/>
        </w:tabs>
      </w:pPr>
    </w:lvl>
  </w:abstractNum>
  <w:abstractNum w:abstractNumId="3">
    <w:nsid w:val="DC1CF5F5"/>
    <w:multiLevelType w:val="singleLevel"/>
    <w:tmpl w:val="DC1CF5F5"/>
    <w:lvl w:ilvl="0" w:tentative="0">
      <w:start w:val="1"/>
      <w:numFmt w:val="decimal"/>
      <w:lvlText w:val="%1."/>
      <w:lvlJc w:val="left"/>
      <w:pPr>
        <w:tabs>
          <w:tab w:val="left" w:pos="312"/>
        </w:tabs>
      </w:pPr>
    </w:lvl>
  </w:abstractNum>
  <w:abstractNum w:abstractNumId="4">
    <w:nsid w:val="09670B55"/>
    <w:multiLevelType w:val="singleLevel"/>
    <w:tmpl w:val="09670B55"/>
    <w:lvl w:ilvl="0" w:tentative="0">
      <w:start w:val="2"/>
      <w:numFmt w:val="chineseCounting"/>
      <w:suff w:val="nothing"/>
      <w:lvlText w:val="（%1）"/>
      <w:lvlJc w:val="left"/>
      <w:rPr>
        <w:rFonts w:hint="eastAsia"/>
      </w:rPr>
    </w:lvl>
  </w:abstractNum>
  <w:abstractNum w:abstractNumId="5">
    <w:nsid w:val="4767928F"/>
    <w:multiLevelType w:val="singleLevel"/>
    <w:tmpl w:val="4767928F"/>
    <w:lvl w:ilvl="0" w:tentative="0">
      <w:start w:val="1"/>
      <w:numFmt w:val="chineseCounting"/>
      <w:suff w:val="nothing"/>
      <w:lvlText w:val="（%1）"/>
      <w:lvlJc w:val="left"/>
      <w:rPr>
        <w:rFonts w:hint="eastAsia"/>
      </w:rPr>
    </w:lvl>
  </w:abstractNum>
  <w:num w:numId="1">
    <w:abstractNumId w:val="0"/>
  </w:num>
  <w:num w:numId="2">
    <w:abstractNumId w:val="4"/>
  </w:num>
  <w:num w:numId="3">
    <w:abstractNumId w:val="3"/>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UzOWVkY2E4ZTA1ODU1M2RjY2NmZTQwYzRjN2Q0OWYifQ=="/>
  </w:docVars>
  <w:rsids>
    <w:rsidRoot w:val="009E1E7F"/>
    <w:rsid w:val="00027A19"/>
    <w:rsid w:val="000328CB"/>
    <w:rsid w:val="000343CA"/>
    <w:rsid w:val="00041374"/>
    <w:rsid w:val="00063133"/>
    <w:rsid w:val="00071FC3"/>
    <w:rsid w:val="000741EF"/>
    <w:rsid w:val="000A0B13"/>
    <w:rsid w:val="000B6F36"/>
    <w:rsid w:val="000D4DC1"/>
    <w:rsid w:val="000D791A"/>
    <w:rsid w:val="000E12D9"/>
    <w:rsid w:val="000E6678"/>
    <w:rsid w:val="000F21EC"/>
    <w:rsid w:val="00103B53"/>
    <w:rsid w:val="00114217"/>
    <w:rsid w:val="00121F92"/>
    <w:rsid w:val="001309FC"/>
    <w:rsid w:val="001416E2"/>
    <w:rsid w:val="00157C53"/>
    <w:rsid w:val="0018113A"/>
    <w:rsid w:val="001830D8"/>
    <w:rsid w:val="0018555C"/>
    <w:rsid w:val="001B0194"/>
    <w:rsid w:val="001B05F8"/>
    <w:rsid w:val="001B5F37"/>
    <w:rsid w:val="001B6759"/>
    <w:rsid w:val="001F0FD7"/>
    <w:rsid w:val="0020177C"/>
    <w:rsid w:val="00207E3A"/>
    <w:rsid w:val="0023306F"/>
    <w:rsid w:val="0025574A"/>
    <w:rsid w:val="00256F89"/>
    <w:rsid w:val="002670E3"/>
    <w:rsid w:val="00270128"/>
    <w:rsid w:val="002708AE"/>
    <w:rsid w:val="00277587"/>
    <w:rsid w:val="002949F9"/>
    <w:rsid w:val="002C545B"/>
    <w:rsid w:val="002E4E1E"/>
    <w:rsid w:val="002F247F"/>
    <w:rsid w:val="00321D92"/>
    <w:rsid w:val="003364E4"/>
    <w:rsid w:val="003501CF"/>
    <w:rsid w:val="003517C3"/>
    <w:rsid w:val="00355649"/>
    <w:rsid w:val="00360147"/>
    <w:rsid w:val="0037398F"/>
    <w:rsid w:val="00397C4A"/>
    <w:rsid w:val="003C0C4D"/>
    <w:rsid w:val="003E2CAB"/>
    <w:rsid w:val="003F40A2"/>
    <w:rsid w:val="003F6E3D"/>
    <w:rsid w:val="00405197"/>
    <w:rsid w:val="00415210"/>
    <w:rsid w:val="004543AF"/>
    <w:rsid w:val="00460B95"/>
    <w:rsid w:val="0046274D"/>
    <w:rsid w:val="00477D9C"/>
    <w:rsid w:val="00482F41"/>
    <w:rsid w:val="0048311F"/>
    <w:rsid w:val="0049438D"/>
    <w:rsid w:val="00495E75"/>
    <w:rsid w:val="004A3CE1"/>
    <w:rsid w:val="004B11DD"/>
    <w:rsid w:val="004B5B18"/>
    <w:rsid w:val="004C140B"/>
    <w:rsid w:val="004D31AB"/>
    <w:rsid w:val="00503A61"/>
    <w:rsid w:val="00511664"/>
    <w:rsid w:val="005541CD"/>
    <w:rsid w:val="005617CC"/>
    <w:rsid w:val="00571894"/>
    <w:rsid w:val="00572677"/>
    <w:rsid w:val="005A2A80"/>
    <w:rsid w:val="005F0505"/>
    <w:rsid w:val="005F4EA5"/>
    <w:rsid w:val="005F62D5"/>
    <w:rsid w:val="005F71C5"/>
    <w:rsid w:val="00603DDE"/>
    <w:rsid w:val="00611F5B"/>
    <w:rsid w:val="00614287"/>
    <w:rsid w:val="0062057D"/>
    <w:rsid w:val="00643F05"/>
    <w:rsid w:val="006441D3"/>
    <w:rsid w:val="006651FB"/>
    <w:rsid w:val="00673016"/>
    <w:rsid w:val="006756E1"/>
    <w:rsid w:val="00683AF9"/>
    <w:rsid w:val="00692D7E"/>
    <w:rsid w:val="006B3B57"/>
    <w:rsid w:val="006B5ECF"/>
    <w:rsid w:val="006B7168"/>
    <w:rsid w:val="006F2467"/>
    <w:rsid w:val="006F3D67"/>
    <w:rsid w:val="007173FB"/>
    <w:rsid w:val="00722BF8"/>
    <w:rsid w:val="00723680"/>
    <w:rsid w:val="0072738F"/>
    <w:rsid w:val="00727967"/>
    <w:rsid w:val="00734DA5"/>
    <w:rsid w:val="00744448"/>
    <w:rsid w:val="007567A6"/>
    <w:rsid w:val="00765C36"/>
    <w:rsid w:val="00774430"/>
    <w:rsid w:val="00794606"/>
    <w:rsid w:val="007A3F60"/>
    <w:rsid w:val="007B2328"/>
    <w:rsid w:val="007C77AB"/>
    <w:rsid w:val="007D2C09"/>
    <w:rsid w:val="007E342A"/>
    <w:rsid w:val="007F0DB0"/>
    <w:rsid w:val="007F3E83"/>
    <w:rsid w:val="007F52B8"/>
    <w:rsid w:val="00801EAB"/>
    <w:rsid w:val="008140D8"/>
    <w:rsid w:val="0082022E"/>
    <w:rsid w:val="00830EDE"/>
    <w:rsid w:val="008351D3"/>
    <w:rsid w:val="008431BF"/>
    <w:rsid w:val="008452BF"/>
    <w:rsid w:val="00845C74"/>
    <w:rsid w:val="00862236"/>
    <w:rsid w:val="00897752"/>
    <w:rsid w:val="008A661B"/>
    <w:rsid w:val="008B23A5"/>
    <w:rsid w:val="008D4A82"/>
    <w:rsid w:val="008E493A"/>
    <w:rsid w:val="00925C54"/>
    <w:rsid w:val="00933C0B"/>
    <w:rsid w:val="00942A95"/>
    <w:rsid w:val="00956863"/>
    <w:rsid w:val="00980C04"/>
    <w:rsid w:val="0099279C"/>
    <w:rsid w:val="009A7605"/>
    <w:rsid w:val="009B5B33"/>
    <w:rsid w:val="009D4813"/>
    <w:rsid w:val="009E1E7F"/>
    <w:rsid w:val="009E62DA"/>
    <w:rsid w:val="009F33FF"/>
    <w:rsid w:val="00A440D3"/>
    <w:rsid w:val="00A63BDC"/>
    <w:rsid w:val="00A6695F"/>
    <w:rsid w:val="00A73176"/>
    <w:rsid w:val="00AA315F"/>
    <w:rsid w:val="00AC61C9"/>
    <w:rsid w:val="00AD418B"/>
    <w:rsid w:val="00B03988"/>
    <w:rsid w:val="00B143C6"/>
    <w:rsid w:val="00B275BD"/>
    <w:rsid w:val="00B372A2"/>
    <w:rsid w:val="00B411FF"/>
    <w:rsid w:val="00B422CC"/>
    <w:rsid w:val="00B45B5B"/>
    <w:rsid w:val="00B553B3"/>
    <w:rsid w:val="00B67E37"/>
    <w:rsid w:val="00B74A9F"/>
    <w:rsid w:val="00B80551"/>
    <w:rsid w:val="00B91601"/>
    <w:rsid w:val="00BA1AC0"/>
    <w:rsid w:val="00BB4AB3"/>
    <w:rsid w:val="00BB7729"/>
    <w:rsid w:val="00BD2AD2"/>
    <w:rsid w:val="00BE32BA"/>
    <w:rsid w:val="00BF7CAE"/>
    <w:rsid w:val="00C02AAE"/>
    <w:rsid w:val="00C27F4E"/>
    <w:rsid w:val="00C43C69"/>
    <w:rsid w:val="00C51B57"/>
    <w:rsid w:val="00C533E9"/>
    <w:rsid w:val="00C53701"/>
    <w:rsid w:val="00C73FF8"/>
    <w:rsid w:val="00C90C7D"/>
    <w:rsid w:val="00C953B5"/>
    <w:rsid w:val="00CA39DB"/>
    <w:rsid w:val="00CB2D42"/>
    <w:rsid w:val="00CC026D"/>
    <w:rsid w:val="00CF5E61"/>
    <w:rsid w:val="00D05167"/>
    <w:rsid w:val="00D12BC2"/>
    <w:rsid w:val="00D136B5"/>
    <w:rsid w:val="00D22D28"/>
    <w:rsid w:val="00D3323A"/>
    <w:rsid w:val="00D334A0"/>
    <w:rsid w:val="00D407F2"/>
    <w:rsid w:val="00D536E1"/>
    <w:rsid w:val="00D62FD0"/>
    <w:rsid w:val="00D64791"/>
    <w:rsid w:val="00D8098C"/>
    <w:rsid w:val="00D82646"/>
    <w:rsid w:val="00D85D26"/>
    <w:rsid w:val="00DA2087"/>
    <w:rsid w:val="00DA3F3C"/>
    <w:rsid w:val="00DB3710"/>
    <w:rsid w:val="00DB739C"/>
    <w:rsid w:val="00DC200D"/>
    <w:rsid w:val="00DE3890"/>
    <w:rsid w:val="00DF3AD1"/>
    <w:rsid w:val="00E24875"/>
    <w:rsid w:val="00E35177"/>
    <w:rsid w:val="00E453D7"/>
    <w:rsid w:val="00E504AD"/>
    <w:rsid w:val="00E611C5"/>
    <w:rsid w:val="00E619D7"/>
    <w:rsid w:val="00E62165"/>
    <w:rsid w:val="00E66094"/>
    <w:rsid w:val="00E72AAF"/>
    <w:rsid w:val="00E82902"/>
    <w:rsid w:val="00E87F6F"/>
    <w:rsid w:val="00E938DC"/>
    <w:rsid w:val="00EA00E7"/>
    <w:rsid w:val="00EA6EA9"/>
    <w:rsid w:val="00EB3EC4"/>
    <w:rsid w:val="00EB43D1"/>
    <w:rsid w:val="00ED1C15"/>
    <w:rsid w:val="00EF111A"/>
    <w:rsid w:val="00F036EB"/>
    <w:rsid w:val="00F03B6A"/>
    <w:rsid w:val="00F06F9E"/>
    <w:rsid w:val="00F07407"/>
    <w:rsid w:val="00F11357"/>
    <w:rsid w:val="00F11F5F"/>
    <w:rsid w:val="00F133E0"/>
    <w:rsid w:val="00F14D31"/>
    <w:rsid w:val="00F3622E"/>
    <w:rsid w:val="00F41CF6"/>
    <w:rsid w:val="00F535E7"/>
    <w:rsid w:val="00F72CC1"/>
    <w:rsid w:val="00F80C33"/>
    <w:rsid w:val="00F853D9"/>
    <w:rsid w:val="00F97A9C"/>
    <w:rsid w:val="00FA0463"/>
    <w:rsid w:val="00FC4246"/>
    <w:rsid w:val="00FD04C8"/>
    <w:rsid w:val="00FE2562"/>
    <w:rsid w:val="00FE38C9"/>
    <w:rsid w:val="00FE554F"/>
    <w:rsid w:val="043F2BBC"/>
    <w:rsid w:val="06056C0C"/>
    <w:rsid w:val="071429B9"/>
    <w:rsid w:val="07282E4A"/>
    <w:rsid w:val="07802062"/>
    <w:rsid w:val="0A275365"/>
    <w:rsid w:val="0A4E5CD4"/>
    <w:rsid w:val="0ACA6CB0"/>
    <w:rsid w:val="0B1353C6"/>
    <w:rsid w:val="0D4645E0"/>
    <w:rsid w:val="0D6C4C61"/>
    <w:rsid w:val="0E503C69"/>
    <w:rsid w:val="0E720BD9"/>
    <w:rsid w:val="0F2B59B9"/>
    <w:rsid w:val="0FB73D2F"/>
    <w:rsid w:val="11647FD3"/>
    <w:rsid w:val="11933812"/>
    <w:rsid w:val="120668A8"/>
    <w:rsid w:val="12446080"/>
    <w:rsid w:val="13313C85"/>
    <w:rsid w:val="13753D75"/>
    <w:rsid w:val="13CD4381"/>
    <w:rsid w:val="13DF1FF2"/>
    <w:rsid w:val="15144D38"/>
    <w:rsid w:val="15A00DC2"/>
    <w:rsid w:val="162D0F93"/>
    <w:rsid w:val="16961184"/>
    <w:rsid w:val="16B03286"/>
    <w:rsid w:val="16F00171"/>
    <w:rsid w:val="17156361"/>
    <w:rsid w:val="176979A6"/>
    <w:rsid w:val="18431828"/>
    <w:rsid w:val="186158C2"/>
    <w:rsid w:val="19121BF9"/>
    <w:rsid w:val="19503A90"/>
    <w:rsid w:val="1AFC4CEC"/>
    <w:rsid w:val="1BB77202"/>
    <w:rsid w:val="1D723D55"/>
    <w:rsid w:val="1E0755A3"/>
    <w:rsid w:val="1E5F0BFE"/>
    <w:rsid w:val="1FD41261"/>
    <w:rsid w:val="214610E9"/>
    <w:rsid w:val="21D10C1B"/>
    <w:rsid w:val="23104742"/>
    <w:rsid w:val="248176D8"/>
    <w:rsid w:val="256F255E"/>
    <w:rsid w:val="26B171BF"/>
    <w:rsid w:val="26B74D5A"/>
    <w:rsid w:val="26EF000B"/>
    <w:rsid w:val="27181267"/>
    <w:rsid w:val="28845678"/>
    <w:rsid w:val="2A936DFF"/>
    <w:rsid w:val="2C0945EC"/>
    <w:rsid w:val="2EE41C6B"/>
    <w:rsid w:val="30692CBF"/>
    <w:rsid w:val="3081665F"/>
    <w:rsid w:val="30ED645B"/>
    <w:rsid w:val="317E4255"/>
    <w:rsid w:val="325D27B6"/>
    <w:rsid w:val="327A0EC0"/>
    <w:rsid w:val="32DD46FE"/>
    <w:rsid w:val="337D7395"/>
    <w:rsid w:val="33CD3272"/>
    <w:rsid w:val="37D13B9D"/>
    <w:rsid w:val="386E4E5E"/>
    <w:rsid w:val="3CEFF606"/>
    <w:rsid w:val="3DB71FE7"/>
    <w:rsid w:val="3E6E68DA"/>
    <w:rsid w:val="3E77486D"/>
    <w:rsid w:val="400A4625"/>
    <w:rsid w:val="409F01E1"/>
    <w:rsid w:val="456C35FF"/>
    <w:rsid w:val="47046F66"/>
    <w:rsid w:val="475D031E"/>
    <w:rsid w:val="494B4A07"/>
    <w:rsid w:val="4CA72156"/>
    <w:rsid w:val="4E3C0E56"/>
    <w:rsid w:val="4E623873"/>
    <w:rsid w:val="4EAA679E"/>
    <w:rsid w:val="4F1279A4"/>
    <w:rsid w:val="4FD02C77"/>
    <w:rsid w:val="50092B59"/>
    <w:rsid w:val="519F568B"/>
    <w:rsid w:val="52003C21"/>
    <w:rsid w:val="52104A18"/>
    <w:rsid w:val="5224454D"/>
    <w:rsid w:val="52CF094C"/>
    <w:rsid w:val="53F22E5F"/>
    <w:rsid w:val="542B308D"/>
    <w:rsid w:val="543B62C5"/>
    <w:rsid w:val="5529143A"/>
    <w:rsid w:val="562B7C58"/>
    <w:rsid w:val="56710BBC"/>
    <w:rsid w:val="56B82BA0"/>
    <w:rsid w:val="56C43C09"/>
    <w:rsid w:val="57D664AE"/>
    <w:rsid w:val="5850457B"/>
    <w:rsid w:val="59DE57E2"/>
    <w:rsid w:val="5A4119D6"/>
    <w:rsid w:val="5A5E2E2F"/>
    <w:rsid w:val="5A7E13E8"/>
    <w:rsid w:val="5B4A1675"/>
    <w:rsid w:val="5DDC5FBC"/>
    <w:rsid w:val="5E2D7213"/>
    <w:rsid w:val="5EFC0383"/>
    <w:rsid w:val="5F144150"/>
    <w:rsid w:val="5F3A0D6E"/>
    <w:rsid w:val="5F531386"/>
    <w:rsid w:val="5F6B652A"/>
    <w:rsid w:val="5FFE2DF2"/>
    <w:rsid w:val="6045400C"/>
    <w:rsid w:val="60C5514D"/>
    <w:rsid w:val="61123CB9"/>
    <w:rsid w:val="611D5408"/>
    <w:rsid w:val="621C1B2B"/>
    <w:rsid w:val="64B236D4"/>
    <w:rsid w:val="656C0C99"/>
    <w:rsid w:val="65801643"/>
    <w:rsid w:val="65823145"/>
    <w:rsid w:val="6633482C"/>
    <w:rsid w:val="67446DCC"/>
    <w:rsid w:val="67BF469C"/>
    <w:rsid w:val="67E26807"/>
    <w:rsid w:val="68197244"/>
    <w:rsid w:val="68BA4E6C"/>
    <w:rsid w:val="693136C5"/>
    <w:rsid w:val="69CB51A1"/>
    <w:rsid w:val="6A554F75"/>
    <w:rsid w:val="6C5F51B8"/>
    <w:rsid w:val="6FA62B23"/>
    <w:rsid w:val="6FAD3F2E"/>
    <w:rsid w:val="6FB75AD8"/>
    <w:rsid w:val="6FF387A3"/>
    <w:rsid w:val="6FF811A6"/>
    <w:rsid w:val="721720D0"/>
    <w:rsid w:val="73384002"/>
    <w:rsid w:val="73730232"/>
    <w:rsid w:val="73D94A20"/>
    <w:rsid w:val="74421DA2"/>
    <w:rsid w:val="758E216C"/>
    <w:rsid w:val="75A70B28"/>
    <w:rsid w:val="7710233E"/>
    <w:rsid w:val="77DD698F"/>
    <w:rsid w:val="77EDCA28"/>
    <w:rsid w:val="79C31161"/>
    <w:rsid w:val="7A2143C0"/>
    <w:rsid w:val="7A614AAA"/>
    <w:rsid w:val="7ACD3ACC"/>
    <w:rsid w:val="7B7FB388"/>
    <w:rsid w:val="7BCE5017"/>
    <w:rsid w:val="7BFBBD4D"/>
    <w:rsid w:val="7BFF5157"/>
    <w:rsid w:val="7C8619B4"/>
    <w:rsid w:val="7CFE235C"/>
    <w:rsid w:val="7D2B718F"/>
    <w:rsid w:val="7E9542CC"/>
    <w:rsid w:val="8AEF47E9"/>
    <w:rsid w:val="AFFF30D2"/>
    <w:rsid w:val="B7DEECA1"/>
    <w:rsid w:val="D757435B"/>
    <w:rsid w:val="DE7F1F6A"/>
    <w:rsid w:val="ED9F63BA"/>
    <w:rsid w:val="F65BD4DB"/>
    <w:rsid w:val="FF6DF7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25"/>
    <w:qFormat/>
    <w:uiPriority w:val="0"/>
    <w:pPr>
      <w:spacing w:before="50" w:beforeLines="50" w:after="50" w:afterLines="50" w:line="600" w:lineRule="exact"/>
      <w:outlineLvl w:val="0"/>
    </w:pPr>
    <w:rPr>
      <w:rFonts w:ascii="Times New Roman" w:hAnsi="Times New Roman" w:eastAsia="黑体"/>
      <w:bCs/>
      <w:kern w:val="44"/>
      <w:sz w:val="32"/>
      <w:szCs w:val="44"/>
    </w:rPr>
  </w:style>
  <w:style w:type="paragraph" w:styleId="4">
    <w:name w:val="heading 2"/>
    <w:basedOn w:val="1"/>
    <w:next w:val="1"/>
    <w:qFormat/>
    <w:uiPriority w:val="9"/>
    <w:pPr>
      <w:widowControl/>
      <w:ind w:left="260"/>
      <w:jc w:val="left"/>
      <w:outlineLvl w:val="1"/>
    </w:pPr>
    <w:rPr>
      <w:rFonts w:ascii="宋体" w:hAnsi="宋体"/>
      <w:b/>
      <w:bCs/>
      <w:kern w:val="0"/>
      <w:sz w:val="30"/>
      <w:szCs w:val="30"/>
    </w:rPr>
  </w:style>
  <w:style w:type="paragraph" w:styleId="5">
    <w:name w:val="heading 3"/>
    <w:basedOn w:val="1"/>
    <w:next w:val="1"/>
    <w:link w:val="26"/>
    <w:qFormat/>
    <w:uiPriority w:val="9"/>
    <w:pPr>
      <w:widowControl/>
      <w:ind w:left="260"/>
      <w:jc w:val="left"/>
      <w:outlineLvl w:val="2"/>
    </w:pPr>
    <w:rPr>
      <w:rFonts w:ascii="宋体" w:hAnsi="宋体"/>
      <w:b/>
      <w:bCs/>
      <w:kern w:val="0"/>
      <w:sz w:val="28"/>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8"/>
    <w:unhideWhenUsed/>
    <w:qFormat/>
    <w:uiPriority w:val="1"/>
    <w:pPr>
      <w:spacing w:before="41"/>
      <w:ind w:left="120"/>
      <w:jc w:val="left"/>
    </w:pPr>
    <w:rPr>
      <w:rFonts w:ascii="仿宋" w:hAnsi="仿宋" w:eastAsia="仿宋"/>
      <w:kern w:val="0"/>
      <w:sz w:val="28"/>
      <w:szCs w:val="28"/>
      <w:lang w:eastAsia="en-US"/>
    </w:rPr>
  </w:style>
  <w:style w:type="paragraph" w:styleId="6">
    <w:name w:val="annotation text"/>
    <w:basedOn w:val="1"/>
    <w:link w:val="27"/>
    <w:qFormat/>
    <w:uiPriority w:val="0"/>
    <w:pPr>
      <w:jc w:val="left"/>
    </w:pPr>
  </w:style>
  <w:style w:type="paragraph" w:styleId="7">
    <w:name w:val="Plain Text"/>
    <w:basedOn w:val="1"/>
    <w:link w:val="19"/>
    <w:unhideWhenUsed/>
    <w:qFormat/>
    <w:uiPriority w:val="99"/>
    <w:pPr>
      <w:spacing w:line="360" w:lineRule="auto"/>
      <w:ind w:firstLine="880" w:firstLineChars="200"/>
    </w:pPr>
    <w:rPr>
      <w:rFonts w:ascii="宋体" w:hAnsi="Courier New" w:eastAsia="仿宋_GB2312" w:cs="Courier New"/>
      <w:sz w:val="30"/>
      <w:szCs w:val="21"/>
    </w:rPr>
  </w:style>
  <w:style w:type="paragraph" w:styleId="8">
    <w:name w:val="Balloon Text"/>
    <w:basedOn w:val="1"/>
    <w:link w:val="29"/>
    <w:qFormat/>
    <w:uiPriority w:val="0"/>
    <w:rPr>
      <w:sz w:val="18"/>
      <w:szCs w:val="18"/>
    </w:rPr>
  </w:style>
  <w:style w:type="paragraph" w:styleId="9">
    <w:name w:val="footer"/>
    <w:basedOn w:val="1"/>
    <w:link w:val="20"/>
    <w:qFormat/>
    <w:uiPriority w:val="0"/>
    <w:pPr>
      <w:tabs>
        <w:tab w:val="center" w:pos="4153"/>
        <w:tab w:val="right" w:pos="8306"/>
      </w:tabs>
      <w:snapToGrid w:val="0"/>
      <w:jc w:val="left"/>
    </w:pPr>
    <w:rPr>
      <w:sz w:val="18"/>
      <w:szCs w:val="18"/>
    </w:rPr>
  </w:style>
  <w:style w:type="paragraph" w:styleId="10">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11">
    <w:name w:val="annotation subject"/>
    <w:basedOn w:val="6"/>
    <w:next w:val="6"/>
    <w:link w:val="28"/>
    <w:qFormat/>
    <w:uiPriority w:val="0"/>
    <w:rPr>
      <w:b/>
      <w:bCs/>
    </w:rPr>
  </w:style>
  <w:style w:type="table" w:styleId="13">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styleId="15">
    <w:name w:val="Hyperlink"/>
    <w:qFormat/>
    <w:uiPriority w:val="0"/>
    <w:rPr>
      <w:color w:val="0000FF"/>
      <w:u w:val="single"/>
    </w:rPr>
  </w:style>
  <w:style w:type="character" w:styleId="16">
    <w:name w:val="annotation reference"/>
    <w:basedOn w:val="14"/>
    <w:qFormat/>
    <w:uiPriority w:val="0"/>
    <w:rPr>
      <w:sz w:val="21"/>
      <w:szCs w:val="21"/>
    </w:rPr>
  </w:style>
  <w:style w:type="paragraph" w:customStyle="1" w:styleId="17">
    <w:name w:val="Table Paragraph"/>
    <w:basedOn w:val="1"/>
    <w:qFormat/>
    <w:uiPriority w:val="0"/>
    <w:pPr>
      <w:autoSpaceDE w:val="0"/>
      <w:autoSpaceDN w:val="0"/>
      <w:jc w:val="left"/>
    </w:pPr>
    <w:rPr>
      <w:rFonts w:ascii="仿宋" w:hAnsi="仿宋" w:eastAsia="仿宋" w:cs="仿宋"/>
      <w:kern w:val="0"/>
      <w:sz w:val="22"/>
      <w:szCs w:val="22"/>
    </w:rPr>
  </w:style>
  <w:style w:type="character" w:customStyle="1" w:styleId="18">
    <w:name w:val="正文文本 字符"/>
    <w:link w:val="2"/>
    <w:qFormat/>
    <w:uiPriority w:val="1"/>
    <w:rPr>
      <w:rFonts w:ascii="仿宋" w:hAnsi="仿宋" w:eastAsia="仿宋"/>
      <w:sz w:val="28"/>
      <w:szCs w:val="28"/>
      <w:lang w:eastAsia="en-US"/>
    </w:rPr>
  </w:style>
  <w:style w:type="character" w:customStyle="1" w:styleId="19">
    <w:name w:val="纯文本 字符"/>
    <w:link w:val="7"/>
    <w:qFormat/>
    <w:uiPriority w:val="99"/>
    <w:rPr>
      <w:rFonts w:ascii="宋体" w:hAnsi="Courier New" w:eastAsia="仿宋_GB2312" w:cs="Courier New"/>
      <w:kern w:val="2"/>
      <w:sz w:val="30"/>
      <w:szCs w:val="21"/>
    </w:rPr>
  </w:style>
  <w:style w:type="character" w:customStyle="1" w:styleId="20">
    <w:name w:val="页脚 字符"/>
    <w:link w:val="9"/>
    <w:qFormat/>
    <w:uiPriority w:val="0"/>
    <w:rPr>
      <w:kern w:val="2"/>
      <w:sz w:val="18"/>
      <w:szCs w:val="18"/>
    </w:rPr>
  </w:style>
  <w:style w:type="character" w:customStyle="1" w:styleId="21">
    <w:name w:val="页眉 字符"/>
    <w:link w:val="10"/>
    <w:qFormat/>
    <w:uiPriority w:val="0"/>
    <w:rPr>
      <w:kern w:val="2"/>
      <w:sz w:val="18"/>
      <w:szCs w:val="18"/>
    </w:rPr>
  </w:style>
  <w:style w:type="character" w:customStyle="1" w:styleId="22">
    <w:name w:val="15"/>
    <w:qFormat/>
    <w:uiPriority w:val="0"/>
    <w:rPr>
      <w:rFonts w:hint="default" w:ascii="Times New Roman" w:hAnsi="Times New Roman" w:cs="Times New Roman"/>
      <w:b/>
    </w:rPr>
  </w:style>
  <w:style w:type="table" w:customStyle="1" w:styleId="23">
    <w:name w:val="TableGrid"/>
    <w:qFormat/>
    <w:uiPriority w:val="0"/>
    <w:tblPr>
      <w:tblCellMar>
        <w:top w:w="0" w:type="dxa"/>
        <w:left w:w="0" w:type="dxa"/>
        <w:bottom w:w="0" w:type="dxa"/>
        <w:right w:w="0" w:type="dxa"/>
      </w:tblCellMar>
    </w:tblPr>
  </w:style>
  <w:style w:type="table" w:customStyle="1" w:styleId="24">
    <w:name w:val="Table Normal"/>
    <w:semiHidden/>
    <w:qFormat/>
    <w:uiPriority w:val="2"/>
    <w:rPr>
      <w:rFonts w:eastAsia="Times New Roman"/>
    </w:rPr>
    <w:tblPr>
      <w:tblCellMar>
        <w:top w:w="0" w:type="dxa"/>
        <w:left w:w="0" w:type="dxa"/>
        <w:bottom w:w="0" w:type="dxa"/>
        <w:right w:w="0" w:type="dxa"/>
      </w:tblCellMar>
    </w:tblPr>
  </w:style>
  <w:style w:type="character" w:customStyle="1" w:styleId="25">
    <w:name w:val="标题 1 字符"/>
    <w:link w:val="3"/>
    <w:qFormat/>
    <w:uiPriority w:val="0"/>
    <w:rPr>
      <w:rFonts w:ascii="Times New Roman" w:hAnsi="Times New Roman" w:eastAsia="黑体" w:cs="Times New Roman"/>
      <w:bCs/>
      <w:kern w:val="44"/>
      <w:sz w:val="32"/>
      <w:szCs w:val="44"/>
    </w:rPr>
  </w:style>
  <w:style w:type="character" w:customStyle="1" w:styleId="26">
    <w:name w:val="标题 3 字符"/>
    <w:link w:val="5"/>
    <w:qFormat/>
    <w:uiPriority w:val="9"/>
    <w:rPr>
      <w:rFonts w:ascii="宋体" w:hAnsi="宋体" w:cs="Times New Roman"/>
      <w:b/>
      <w:bCs/>
      <w:kern w:val="0"/>
      <w:sz w:val="28"/>
      <w:szCs w:val="28"/>
    </w:rPr>
  </w:style>
  <w:style w:type="character" w:customStyle="1" w:styleId="27">
    <w:name w:val="批注文字 字符"/>
    <w:basedOn w:val="14"/>
    <w:link w:val="6"/>
    <w:qFormat/>
    <w:uiPriority w:val="0"/>
    <w:rPr>
      <w:kern w:val="2"/>
      <w:sz w:val="21"/>
      <w:szCs w:val="24"/>
    </w:rPr>
  </w:style>
  <w:style w:type="character" w:customStyle="1" w:styleId="28">
    <w:name w:val="批注主题 字符"/>
    <w:basedOn w:val="27"/>
    <w:link w:val="11"/>
    <w:qFormat/>
    <w:uiPriority w:val="0"/>
    <w:rPr>
      <w:b/>
      <w:bCs/>
      <w:kern w:val="2"/>
      <w:sz w:val="21"/>
      <w:szCs w:val="24"/>
    </w:rPr>
  </w:style>
  <w:style w:type="character" w:customStyle="1" w:styleId="29">
    <w:name w:val="批注框文本 字符"/>
    <w:basedOn w:val="14"/>
    <w:link w:val="8"/>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1531</Words>
  <Characters>1591</Characters>
  <Lines>70</Lines>
  <Paragraphs>19</Paragraphs>
  <TotalTime>7</TotalTime>
  <ScaleCrop>false</ScaleCrop>
  <LinksUpToDate>false</LinksUpToDate>
  <CharactersWithSpaces>1697</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2025-03-18T14:18:00Z</dcterms:created>
  <dc:creator>HP</dc:creator>
  <cp:lastModifiedBy>jyt</cp:lastModifiedBy>
  <cp:lastPrinted>2023-04-18T12:26:00Z</cp:lastPrinted>
  <dcterms:modified xsi:type="dcterms:W3CDTF">2025-07-04T10:16:31Z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B62CF9B1430A4A0791EB0D838A7556D5_13</vt:lpwstr>
  </property>
  <property fmtid="{D5CDD505-2E9C-101B-9397-08002B2CF9AE}" pid="4" name="KSOTemplateDocerSaveRecord">
    <vt:lpwstr>eyJoZGlkIjoiNWM0NjdiZmFiMWM4MWQxMGFiNzA2MjNjOWVkNTFlMmQiLCJ1c2VySWQiOiIyMzY5NjQwNDUifQ==</vt:lpwstr>
  </property>
</Properties>
</file>