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40" w:lineRule="exact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b/>
          <w:bCs w:val="0"/>
          <w:color w:val="000000"/>
          <w:sz w:val="44"/>
          <w:szCs w:val="44"/>
        </w:rPr>
      </w:pPr>
      <w:r>
        <w:rPr>
          <w:rFonts w:hint="eastAsia" w:ascii="仿宋_GB2312" w:hAnsi="仿宋_GB2312" w:eastAsia="仿宋_GB2312" w:cs="仿宋_GB2312"/>
          <w:b/>
          <w:bCs w:val="0"/>
          <w:color w:val="000000"/>
          <w:sz w:val="44"/>
          <w:szCs w:val="44"/>
        </w:rPr>
        <w:t>202</w:t>
      </w:r>
      <w:r>
        <w:rPr>
          <w:rFonts w:hint="eastAsia" w:ascii="仿宋_GB2312" w:hAnsi="仿宋_GB2312" w:eastAsia="仿宋_GB2312" w:cs="仿宋_GB2312"/>
          <w:b/>
          <w:bCs w:val="0"/>
          <w:color w:val="000000"/>
          <w:sz w:val="44"/>
          <w:szCs w:val="4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b/>
          <w:bCs w:val="0"/>
          <w:color w:val="000000"/>
          <w:sz w:val="44"/>
          <w:szCs w:val="44"/>
        </w:rPr>
        <w:t>年海南省中等职业学校</w:t>
      </w:r>
      <w:r>
        <w:rPr>
          <w:rFonts w:hint="eastAsia" w:ascii="仿宋_GB2312" w:hAnsi="仿宋_GB2312" w:eastAsia="仿宋_GB2312" w:cs="仿宋_GB2312"/>
          <w:b/>
          <w:bCs w:val="0"/>
          <w:color w:val="000000"/>
          <w:sz w:val="44"/>
          <w:szCs w:val="44"/>
          <w:lang w:eastAsia="zh-CN"/>
        </w:rPr>
        <w:t>学生</w:t>
      </w:r>
      <w:r>
        <w:rPr>
          <w:rFonts w:hint="eastAsia" w:ascii="仿宋_GB2312" w:hAnsi="仿宋_GB2312" w:eastAsia="仿宋_GB2312" w:cs="仿宋_GB2312"/>
          <w:b/>
          <w:bCs w:val="0"/>
          <w:color w:val="000000"/>
          <w:sz w:val="44"/>
          <w:szCs w:val="44"/>
        </w:rPr>
        <w:t>职业技能竞赛</w:t>
      </w:r>
      <w:r>
        <w:rPr>
          <w:rFonts w:hint="eastAsia" w:ascii="仿宋_GB2312" w:hAnsi="仿宋_GB2312" w:eastAsia="仿宋_GB2312" w:cs="仿宋_GB2312"/>
          <w:b/>
          <w:bCs w:val="0"/>
          <w:color w:val="000000"/>
          <w:sz w:val="44"/>
          <w:szCs w:val="44"/>
          <w:lang w:eastAsia="zh-CN"/>
        </w:rPr>
        <w:t>“</w:t>
      </w:r>
      <w:r>
        <w:rPr>
          <w:rFonts w:hint="eastAsia" w:ascii="仿宋_GB2312" w:hAnsi="仿宋_GB2312" w:eastAsia="仿宋_GB2312" w:cs="仿宋_GB2312"/>
          <w:b/>
          <w:bCs w:val="0"/>
          <w:color w:val="000000"/>
          <w:sz w:val="44"/>
          <w:szCs w:val="44"/>
        </w:rPr>
        <w:t>汽车车身修复与美容</w:t>
      </w:r>
      <w:r>
        <w:rPr>
          <w:rFonts w:hint="eastAsia" w:ascii="仿宋_GB2312" w:hAnsi="仿宋_GB2312" w:eastAsia="仿宋_GB2312" w:cs="仿宋_GB2312"/>
          <w:b/>
          <w:bCs w:val="0"/>
          <w:color w:val="000000"/>
          <w:sz w:val="44"/>
          <w:szCs w:val="44"/>
          <w:lang w:eastAsia="zh-CN"/>
        </w:rPr>
        <w:t>”</w:t>
      </w:r>
      <w:r>
        <w:rPr>
          <w:rFonts w:hint="eastAsia" w:ascii="仿宋_GB2312" w:hAnsi="仿宋_GB2312" w:eastAsia="仿宋_GB2312" w:cs="仿宋_GB2312"/>
          <w:b/>
          <w:bCs w:val="0"/>
          <w:color w:val="000000"/>
          <w:sz w:val="44"/>
          <w:szCs w:val="44"/>
        </w:rPr>
        <w:t>赛项规程</w:t>
      </w:r>
    </w:p>
    <w:p>
      <w:pPr>
        <w:pStyle w:val="29"/>
        <w:spacing w:line="560" w:lineRule="exact"/>
        <w:ind w:firstLine="643"/>
        <w:rPr>
          <w:rFonts w:hint="eastAsia" w:ascii="仿宋_GB2312" w:hAnsi="仿宋_GB2312" w:eastAsia="仿宋_GB2312" w:cs="仿宋_GB2312"/>
          <w:b/>
          <w:color w:val="000000"/>
          <w:sz w:val="32"/>
          <w:szCs w:val="32"/>
        </w:rPr>
      </w:pPr>
    </w:p>
    <w:p>
      <w:pPr>
        <w:pStyle w:val="2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540" w:lineRule="exact"/>
        <w:ind w:left="0" w:leftChars="0" w:firstLine="562" w:firstLineChars="200"/>
        <w:textAlignment w:val="auto"/>
        <w:rPr>
          <w:rFonts w:hint="eastAsia" w:ascii="仿宋_GB2312" w:hAnsi="仿宋_GB2312" w:eastAsia="仿宋_GB2312" w:cs="仿宋_GB2312"/>
          <w:b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color w:val="000000"/>
          <w:sz w:val="28"/>
          <w:szCs w:val="28"/>
        </w:rPr>
        <w:t>一、比赛内容</w:t>
      </w:r>
    </w:p>
    <w:p>
      <w:pPr>
        <w:spacing w:line="460" w:lineRule="exact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本竞赛项目包括板件更换、受损门板修复、损伤区处理和自流平底漆喷涂、水性底色漆及清漆喷涂等四个作业内容构成比赛,满分100分,（其中板件更换占25分、受损门板修复占25分、损伤区处理占25分、自流平底漆喷涂、水性底色漆及清漆喷涂占25分）</w:t>
      </w:r>
    </w:p>
    <w:p>
      <w:pPr>
        <w:spacing w:line="460" w:lineRule="exact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实操比赛期间选手为按组顺序滚动进行比赛，车身修复单人作业时间合计为80分钟、涂装单人作业时间合计为110分钟。其中</w:t>
      </w:r>
      <w:r>
        <w:rPr>
          <w:rFonts w:hint="eastAsia" w:ascii="仿宋_GB2312" w:hAnsi="仿宋_GB2312" w:eastAsia="仿宋_GB2312" w:cs="仿宋_GB2312"/>
          <w:sz w:val="28"/>
          <w:szCs w:val="28"/>
        </w:rPr>
        <w:tab/>
      </w:r>
    </w:p>
    <w:p>
      <w:pPr>
        <w:spacing w:line="460" w:lineRule="exact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（1）板件更换：40分钟</w:t>
      </w:r>
    </w:p>
    <w:p>
      <w:pPr>
        <w:spacing w:line="460" w:lineRule="exact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（2）受损门板修复：40分钟</w:t>
      </w:r>
    </w:p>
    <w:p>
      <w:pPr>
        <w:spacing w:line="460" w:lineRule="exact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（3）损伤区处理：60分钟</w:t>
      </w:r>
    </w:p>
    <w:p>
      <w:pPr>
        <w:spacing w:line="460" w:lineRule="exact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（4）喷涂底漆、水性底色漆、清漆：50分钟</w:t>
      </w:r>
    </w:p>
    <w:p>
      <w:pPr>
        <w:keepNext w:val="0"/>
        <w:keepLines w:val="0"/>
        <w:pageBreakBefore w:val="0"/>
        <w:widowControl w:val="0"/>
        <w:tabs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540" w:lineRule="exact"/>
        <w:ind w:firstLine="562" w:firstLineChars="200"/>
        <w:textAlignment w:val="auto"/>
        <w:rPr>
          <w:rFonts w:hint="eastAsia"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sz w:val="28"/>
          <w:szCs w:val="28"/>
        </w:rPr>
        <w:t>二、竞赛方式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540" w:lineRule="exact"/>
        <w:ind w:firstLine="562" w:firstLineChars="200"/>
        <w:textAlignment w:val="auto"/>
        <w:rPr>
          <w:rFonts w:hint="eastAsia"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sz w:val="28"/>
          <w:szCs w:val="28"/>
        </w:rPr>
        <w:t>（一）比赛形式</w:t>
      </w:r>
    </w:p>
    <w:p>
      <w:pPr>
        <w:spacing w:line="460" w:lineRule="exact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本赛项为团体实操比赛，选手A需独立完成板件更换、受损门板修复两个项目，B选手独立完成损伤区处理（按国赛要求是完成A选手修复的门板处理，但省赛考虑时间问题完成指定门板的损伤区处理即可）和自流平底漆喷涂、水性底色漆及清漆喷涂两个项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540" w:lineRule="exact"/>
        <w:ind w:firstLine="562" w:firstLineChars="200"/>
        <w:textAlignment w:val="auto"/>
        <w:rPr>
          <w:rFonts w:hint="eastAsia"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sz w:val="28"/>
          <w:szCs w:val="28"/>
        </w:rPr>
        <w:t>（二）参赛要求</w:t>
      </w:r>
    </w:p>
    <w:p>
      <w:pPr>
        <w:spacing w:line="460" w:lineRule="exact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  <w:lang w:val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zh-CN"/>
        </w:rPr>
        <w:t>本省中职学校均可报名参加竞赛，</w:t>
      </w:r>
      <w:r>
        <w:rPr>
          <w:rFonts w:hint="eastAsia" w:ascii="仿宋_GB2312" w:hAnsi="仿宋_GB2312" w:eastAsia="仿宋_GB2312" w:cs="仿宋_GB2312"/>
          <w:sz w:val="28"/>
          <w:szCs w:val="28"/>
        </w:rPr>
        <w:t>每校可报2支参赛队，每队由2名选手组成（来自同一学校）</w:t>
      </w:r>
      <w:r>
        <w:rPr>
          <w:rFonts w:hint="eastAsia" w:ascii="仿宋_GB2312" w:hAnsi="仿宋_GB2312" w:eastAsia="仿宋_GB2312" w:cs="仿宋_GB2312"/>
          <w:sz w:val="28"/>
          <w:szCs w:val="28"/>
          <w:lang w:val="zh-CN"/>
        </w:rPr>
        <w:t>；</w:t>
      </w:r>
      <w:r>
        <w:rPr>
          <w:rFonts w:hint="eastAsia" w:ascii="仿宋_GB2312" w:hAnsi="仿宋_GB2312" w:eastAsia="仿宋_GB2312" w:cs="仿宋_GB2312"/>
          <w:sz w:val="28"/>
          <w:szCs w:val="28"/>
        </w:rPr>
        <w:t>每支参赛队可报指导教师2人</w:t>
      </w:r>
      <w:r>
        <w:rPr>
          <w:rFonts w:hint="eastAsia" w:ascii="仿宋_GB2312" w:hAnsi="仿宋_GB2312" w:eastAsia="仿宋_GB2312" w:cs="仿宋_GB2312"/>
          <w:sz w:val="28"/>
          <w:szCs w:val="28"/>
          <w:lang w:val="zh-CN"/>
        </w:rPr>
        <w:t>，指导教师须为本校专兼职教师。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三、</w:t>
      </w:r>
      <w:r>
        <w:rPr>
          <w:rFonts w:hint="eastAsia" w:ascii="仿宋_GB2312" w:hAnsi="仿宋_GB2312" w:eastAsia="仿宋_GB2312" w:cs="仿宋_GB2312"/>
          <w:b/>
          <w:sz w:val="28"/>
          <w:szCs w:val="28"/>
        </w:rPr>
        <w:t>比赛作业工件</w:t>
      </w:r>
    </w:p>
    <w:p>
      <w:pPr>
        <w:spacing w:line="460" w:lineRule="exact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  <w:lang w:val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zh-CN"/>
        </w:rPr>
        <w:t>（一）板件更换项目的工件为模拟结构件套装成型板件，工件形状如图：</w:t>
      </w:r>
    </w:p>
    <w:p>
      <w:pPr>
        <w:spacing w:line="560" w:lineRule="exact"/>
        <w:ind w:left="567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</w:p>
    <w:p>
      <w:pPr>
        <w:spacing w:line="560" w:lineRule="exact"/>
        <w:ind w:left="567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1447800</wp:posOffset>
            </wp:positionH>
            <wp:positionV relativeFrom="paragraph">
              <wp:posOffset>15875</wp:posOffset>
            </wp:positionV>
            <wp:extent cx="2152650" cy="2313940"/>
            <wp:effectExtent l="19050" t="0" r="0" b="0"/>
            <wp:wrapNone/>
            <wp:docPr id="2" name="图片 6" descr="C:\Users\pc\AppData\Local\Temp\1545212752(1)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C:\Users\pc\AppData\Local\Temp\1545212752(1).png"/>
                    <pic:cNvPicPr>
                      <a:picLocks noChangeAspect="true" noChangeArrowheads="true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2314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ind w:left="567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</w:p>
    <w:p>
      <w:pPr>
        <w:spacing w:line="560" w:lineRule="exact"/>
        <w:ind w:left="567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</w:p>
    <w:p>
      <w:pPr>
        <w:spacing w:line="560" w:lineRule="exact"/>
        <w:ind w:left="567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</w:p>
    <w:p>
      <w:pPr>
        <w:spacing w:line="560" w:lineRule="exact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</w:p>
    <w:p>
      <w:pPr>
        <w:spacing w:line="560" w:lineRule="exact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</w:p>
    <w:p>
      <w:pPr>
        <w:spacing w:line="560" w:lineRule="exact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</w:p>
    <w:p>
      <w:pPr>
        <w:spacing w:line="460" w:lineRule="exact"/>
        <w:ind w:firstLine="600" w:firstLineChars="200"/>
        <w:rPr>
          <w:rFonts w:hint="eastAsia" w:ascii="仿宋_GB2312" w:hAnsi="仿宋_GB2312" w:eastAsia="仿宋_GB2312" w:cs="仿宋_GB2312"/>
          <w:sz w:val="30"/>
          <w:szCs w:val="30"/>
          <w:lang w:val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zh-CN"/>
        </w:rPr>
        <w:t>A、D板件：镀锌钢板，厚度0.7mm</w:t>
      </w:r>
    </w:p>
    <w:p>
      <w:pPr>
        <w:spacing w:line="460" w:lineRule="exact"/>
        <w:ind w:firstLine="600" w:firstLineChars="200"/>
        <w:rPr>
          <w:rFonts w:hint="eastAsia" w:ascii="仿宋_GB2312" w:hAnsi="仿宋_GB2312" w:eastAsia="仿宋_GB2312" w:cs="仿宋_GB2312"/>
          <w:sz w:val="30"/>
          <w:szCs w:val="30"/>
          <w:lang w:val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zh-CN"/>
        </w:rPr>
        <w:t>B、E板件：低碳钢钢板，厚度1.2mm</w:t>
      </w:r>
    </w:p>
    <w:p>
      <w:pPr>
        <w:spacing w:line="460" w:lineRule="exact"/>
        <w:ind w:firstLine="600" w:firstLineChars="200"/>
        <w:rPr>
          <w:rFonts w:hint="eastAsia" w:ascii="仿宋_GB2312" w:hAnsi="仿宋_GB2312" w:eastAsia="仿宋_GB2312" w:cs="仿宋_GB2312"/>
          <w:sz w:val="30"/>
          <w:szCs w:val="30"/>
          <w:lang w:val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zh-CN"/>
        </w:rPr>
        <w:t>C板件：镀锌钢板，厚度1mm</w:t>
      </w:r>
    </w:p>
    <w:p>
      <w:pPr>
        <w:spacing w:line="460" w:lineRule="exact"/>
        <w:ind w:firstLine="600" w:firstLineChars="200"/>
        <w:rPr>
          <w:rFonts w:hint="eastAsia" w:ascii="仿宋_GB2312" w:hAnsi="仿宋_GB2312" w:eastAsia="仿宋_GB2312" w:cs="仿宋_GB2312"/>
          <w:sz w:val="30"/>
          <w:szCs w:val="30"/>
          <w:lang w:val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zh-CN"/>
        </w:rPr>
        <w:t>D板件：镀锌钢板，厚度0.7mm，已加工好4个Φ9mm孔、4个Φ6mm孔</w:t>
      </w:r>
    </w:p>
    <w:p>
      <w:pPr>
        <w:spacing w:line="460" w:lineRule="exact"/>
        <w:ind w:firstLine="600" w:firstLineChars="200"/>
        <w:rPr>
          <w:rFonts w:hint="eastAsia" w:ascii="仿宋_GB2312" w:hAnsi="仿宋_GB2312" w:eastAsia="仿宋_GB2312" w:cs="仿宋_GB2312"/>
          <w:sz w:val="30"/>
          <w:szCs w:val="30"/>
          <w:lang w:val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zh-CN"/>
        </w:rPr>
        <w:t>E板件：低碳钢板，厚度1.2mm，已加工好4个Φ8mm孔</w:t>
      </w:r>
    </w:p>
    <w:p>
      <w:pPr>
        <w:spacing w:line="460" w:lineRule="exact"/>
        <w:ind w:firstLine="600" w:firstLineChars="200"/>
        <w:rPr>
          <w:rFonts w:hint="eastAsia" w:ascii="仿宋_GB2312" w:hAnsi="仿宋_GB2312" w:eastAsia="仿宋_GB2312" w:cs="仿宋_GB2312"/>
          <w:sz w:val="30"/>
          <w:szCs w:val="30"/>
          <w:lang w:val="zh-CN"/>
        </w:rPr>
      </w:pPr>
      <w:r>
        <w:rPr>
          <w:rFonts w:hint="eastAsia" w:ascii="仿宋_GB2312" w:hAnsi="仿宋_GB2312" w:eastAsia="仿宋_GB2312" w:cs="仿宋_GB2312"/>
          <w:sz w:val="30"/>
          <w:szCs w:val="30"/>
          <w:lang w:val="zh-CN"/>
        </w:rPr>
        <w:t>（二）受损门板修复项目的工件为已设置损伤的车门外板（门板厚度0.7mm）。</w:t>
      </w:r>
    </w:p>
    <w:p>
      <w:pPr>
        <w:spacing w:line="360" w:lineRule="auto"/>
        <w:ind w:firstLine="484" w:firstLineChars="202"/>
        <w:jc w:val="center"/>
        <w:rPr>
          <w:rFonts w:hint="eastAsia" w:ascii="仿宋_GB2312" w:hAnsi="仿宋_GB2312" w:eastAsia="仿宋_GB2312" w:cs="仿宋_GB2312"/>
          <w:color w:val="000000"/>
          <w:sz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</w:rPr>
        <w:drawing>
          <wp:inline distT="0" distB="0" distL="0" distR="0">
            <wp:extent cx="3900170" cy="2074545"/>
            <wp:effectExtent l="19050" t="0" r="4762" b="0"/>
            <wp:docPr id="3" name="图片 2" descr="C:\Users\pc\AppData\Local\Temp\1552971285(1)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C:\Users\pc\AppData\Local\Temp\1552971285(1).png"/>
                    <pic:cNvPicPr>
                      <a:picLocks noChangeAspect="true" noChangeArrowheads="true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0358" cy="207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4"/>
        <w:spacing w:after="480" w:line="562" w:lineRule="exact"/>
        <w:ind w:firstLine="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注：图片上工件、颜色与比赛工件无关。</w:t>
      </w:r>
    </w:p>
    <w:p>
      <w:pPr>
        <w:spacing w:line="560" w:lineRule="exact"/>
        <w:ind w:firstLine="562" w:firstLineChars="200"/>
        <w:rPr>
          <w:rFonts w:hint="eastAsia"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sz w:val="28"/>
          <w:szCs w:val="28"/>
        </w:rPr>
        <w:t>四、实操比赛考核要求</w:t>
      </w:r>
    </w:p>
    <w:p>
      <w:pPr>
        <w:spacing w:line="460" w:lineRule="exact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  <w:lang w:val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zh-CN"/>
        </w:rPr>
        <w:t>（一）板件更换   　　</w:t>
      </w:r>
    </w:p>
    <w:p>
      <w:pPr>
        <w:spacing w:line="460" w:lineRule="exact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  <w:lang w:val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zh-CN"/>
        </w:rPr>
        <w:t>1.作业要求：A选手在40分钟内对提供的板件（A、B、C板件）进行电阻点焊、测量、画线、切割、定位、保护焊等操作。</w:t>
      </w:r>
    </w:p>
    <w:p>
      <w:pPr>
        <w:spacing w:line="460" w:lineRule="exact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  <w:lang w:val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zh-CN"/>
        </w:rPr>
        <w:t>(1）A、B、C板件结合。</w:t>
      </w:r>
    </w:p>
    <w:p>
      <w:pPr>
        <w:spacing w:line="460" w:lineRule="exact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  <w:lang w:val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zh-CN"/>
        </w:rPr>
        <w:t>按照下图尺寸，在A板件上测量、划线，确定焊点位置。</w:t>
      </w:r>
    </w:p>
    <w:p>
      <w:pPr>
        <w:pStyle w:val="12"/>
        <w:ind w:firstLine="1540" w:firstLineChars="550"/>
        <w:rPr>
          <w:rFonts w:hint="eastAsia" w:ascii="仿宋_GB2312" w:hAnsi="仿宋_GB2312" w:eastAsia="仿宋_GB2312" w:cs="仿宋_GB2312"/>
          <w:kern w:val="2"/>
          <w:sz w:val="28"/>
          <w:szCs w:val="28"/>
        </w:rPr>
      </w:pPr>
      <w:r>
        <w:rPr>
          <w:rFonts w:hint="eastAsia" w:ascii="仿宋_GB2312" w:hAnsi="仿宋_GB2312" w:eastAsia="仿宋_GB2312" w:cs="仿宋_GB2312"/>
          <w:kern w:val="2"/>
          <w:sz w:val="28"/>
          <w:szCs w:val="28"/>
        </w:rPr>
        <w:drawing>
          <wp:inline distT="0" distB="0" distL="0" distR="0">
            <wp:extent cx="3457575" cy="1247775"/>
            <wp:effectExtent l="19050" t="0" r="9525" b="0"/>
            <wp:docPr id="16" name="图片 3" descr="C:\Users\pc\AppData\Local\Temp\1552921948(1)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 descr="C:\Users\pc\AppData\Local\Temp\1552921948(1).png"/>
                    <pic:cNvPicPr>
                      <a:picLocks noChangeAspect="true" noChangeArrowheads="true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2"/>
        <w:numPr>
          <w:ilvl w:val="0"/>
          <w:numId w:val="1"/>
        </w:numPr>
        <w:spacing w:line="560" w:lineRule="exact"/>
        <w:jc w:val="both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  <w:t xml:space="preserve"> A、B、C板件定位，使用电阻点焊焊接在一起，每边10个焊</w:t>
      </w:r>
    </w:p>
    <w:p>
      <w:pPr>
        <w:pStyle w:val="12"/>
        <w:numPr>
          <w:ilvl w:val="0"/>
          <w:numId w:val="0"/>
        </w:numPr>
        <w:spacing w:line="560" w:lineRule="exact"/>
        <w:jc w:val="both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  <w:t>点（如下图）。</w:t>
      </w:r>
    </w:p>
    <w:p>
      <w:pPr>
        <w:pStyle w:val="12"/>
        <w:spacing w:line="360" w:lineRule="auto"/>
        <w:ind w:firstLine="556"/>
        <w:jc w:val="center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899160</wp:posOffset>
            </wp:positionH>
            <wp:positionV relativeFrom="paragraph">
              <wp:posOffset>311785</wp:posOffset>
            </wp:positionV>
            <wp:extent cx="3457575" cy="1409700"/>
            <wp:effectExtent l="19050" t="0" r="9525" b="0"/>
            <wp:wrapNone/>
            <wp:docPr id="9" name="图片 4" descr="C:\Users\pc\AppData\Local\Temp\1547602141(1)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 descr="C:\Users\pc\AppData\Local\Temp\1547602141(1).png"/>
                    <pic:cNvPicPr>
                      <a:picLocks noChangeAspect="true" noChangeArrowheads="true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12"/>
        <w:spacing w:line="360" w:lineRule="auto"/>
        <w:ind w:firstLine="555"/>
        <w:jc w:val="center"/>
        <w:rPr>
          <w:rFonts w:hint="eastAsia" w:ascii="仿宋_GB2312" w:hAnsi="仿宋_GB2312" w:eastAsia="仿宋_GB2312" w:cs="仿宋_GB2312"/>
          <w:kern w:val="2"/>
          <w:sz w:val="28"/>
          <w:szCs w:val="28"/>
        </w:rPr>
      </w:pPr>
    </w:p>
    <w:p>
      <w:pPr>
        <w:spacing w:line="360" w:lineRule="auto"/>
        <w:rPr>
          <w:rFonts w:hint="eastAsia" w:ascii="仿宋_GB2312" w:hAnsi="仿宋_GB2312" w:eastAsia="仿宋_GB2312" w:cs="仿宋_GB2312"/>
          <w:color w:val="000000"/>
          <w:sz w:val="24"/>
          <w:szCs w:val="28"/>
        </w:rPr>
      </w:pP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color w:val="000000"/>
          <w:sz w:val="24"/>
          <w:szCs w:val="28"/>
        </w:rPr>
      </w:pP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color w:val="000000"/>
          <w:sz w:val="24"/>
          <w:szCs w:val="28"/>
        </w:rPr>
      </w:pP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color w:val="000000"/>
          <w:sz w:val="24"/>
          <w:szCs w:val="28"/>
        </w:rPr>
      </w:pP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color w:val="000000"/>
          <w:sz w:val="24"/>
          <w:szCs w:val="28"/>
        </w:rPr>
      </w:pP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color w:val="000000"/>
          <w:sz w:val="24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8"/>
        </w:rPr>
        <w:t>（2）</w:t>
      </w:r>
      <w:r>
        <w:rPr>
          <w:rFonts w:hint="eastAsia" w:ascii="仿宋_GB2312" w:hAnsi="仿宋_GB2312" w:eastAsia="仿宋_GB2312" w:cs="仿宋_GB2312"/>
          <w:color w:val="000000"/>
          <w:sz w:val="24"/>
          <w:szCs w:val="28"/>
        </w:rPr>
        <w:t>板件钻孔、切割分离（如下图）</w:t>
      </w:r>
    </w:p>
    <w:p>
      <w:pPr>
        <w:spacing w:line="360" w:lineRule="auto"/>
        <w:ind w:firstLine="560" w:firstLineChars="200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2962275</wp:posOffset>
            </wp:positionH>
            <wp:positionV relativeFrom="paragraph">
              <wp:posOffset>36195</wp:posOffset>
            </wp:positionV>
            <wp:extent cx="2350770" cy="1847850"/>
            <wp:effectExtent l="19050" t="0" r="0" b="0"/>
            <wp:wrapNone/>
            <wp:docPr id="11" name="图片 6" descr="C:\Users\pc\AppData\Local\Temp\1547602364(1)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 descr="C:\Users\pc\AppData\Local\Temp\1547602364(1).png"/>
                    <pic:cNvPicPr>
                      <a:picLocks noChangeAspect="true" noChangeArrowheads="true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36195</wp:posOffset>
            </wp:positionV>
            <wp:extent cx="2524125" cy="1847850"/>
            <wp:effectExtent l="19050" t="0" r="9525" b="0"/>
            <wp:wrapNone/>
            <wp:docPr id="10" name="图片 5" descr="C:\Users\pc\AppData\Local\Temp\1547602296(1)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C:\Users\pc\AppData\Local\Temp\1547602296(1).png"/>
                    <pic:cNvPicPr>
                      <a:picLocks noChangeAspect="true" noChangeArrowheads="true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ind w:firstLine="560" w:firstLineChars="200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</w:p>
    <w:p>
      <w:pPr>
        <w:spacing w:line="360" w:lineRule="auto"/>
        <w:ind w:firstLine="560" w:firstLineChars="200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</w:p>
    <w:p>
      <w:pPr>
        <w:spacing w:line="360" w:lineRule="auto"/>
        <w:ind w:firstLine="560" w:firstLineChars="200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</w:p>
    <w:p>
      <w:pPr>
        <w:spacing w:line="560" w:lineRule="exact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</w:p>
    <w:p>
      <w:pPr>
        <w:pStyle w:val="12"/>
        <w:numPr>
          <w:ilvl w:val="0"/>
          <w:numId w:val="2"/>
        </w:numPr>
        <w:spacing w:line="560" w:lineRule="exact"/>
        <w:rPr>
          <w:rFonts w:hint="eastAsia" w:ascii="仿宋_GB2312" w:hAnsi="仿宋_GB2312" w:eastAsia="仿宋_GB2312" w:cs="仿宋_GB2312"/>
          <w:color w:val="000000"/>
          <w:kern w:val="2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  <w:t>根据D板长度尺寸，割锯切割分离A板件。(如下图）</w:t>
      </w:r>
    </w:p>
    <w:p>
      <w:pPr>
        <w:pStyle w:val="12"/>
        <w:numPr>
          <w:ilvl w:val="0"/>
          <w:numId w:val="0"/>
        </w:numPr>
        <w:spacing w:line="560" w:lineRule="exact"/>
        <w:ind w:left="560" w:leftChars="0"/>
        <w:rPr>
          <w:rFonts w:hint="eastAsia" w:ascii="仿宋_GB2312" w:hAnsi="仿宋_GB2312" w:eastAsia="仿宋_GB2312" w:cs="仿宋_GB2312"/>
          <w:color w:val="000000"/>
          <w:kern w:val="2"/>
          <w:szCs w:val="28"/>
        </w:rPr>
      </w:pPr>
    </w:p>
    <w:p>
      <w:pPr>
        <w:pStyle w:val="12"/>
        <w:spacing w:line="560" w:lineRule="exact"/>
        <w:ind w:firstLine="565" w:firstLineChars="202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1194435</wp:posOffset>
            </wp:positionH>
            <wp:positionV relativeFrom="paragraph">
              <wp:posOffset>113665</wp:posOffset>
            </wp:positionV>
            <wp:extent cx="2895600" cy="1543050"/>
            <wp:effectExtent l="19050" t="0" r="0" b="0"/>
            <wp:wrapNone/>
            <wp:docPr id="12" name="图片 7" descr="C:\Users\pc\AppData\Local\Temp\1547602448(1)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 descr="C:\Users\pc\AppData\Local\Temp\1547602448(1).png"/>
                    <pic:cNvPicPr>
                      <a:picLocks noChangeAspect="true" noChangeArrowheads="true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12"/>
        <w:spacing w:line="560" w:lineRule="exact"/>
        <w:ind w:firstLine="565" w:firstLineChars="202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</w:p>
    <w:p>
      <w:pPr>
        <w:pStyle w:val="12"/>
        <w:spacing w:line="560" w:lineRule="exact"/>
        <w:ind w:firstLine="565" w:firstLineChars="202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</w:p>
    <w:p>
      <w:pPr>
        <w:pStyle w:val="12"/>
        <w:spacing w:line="560" w:lineRule="exact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</w:p>
    <w:p>
      <w:pPr>
        <w:pStyle w:val="12"/>
        <w:spacing w:line="560" w:lineRule="exact"/>
        <w:ind w:firstLine="565" w:firstLineChars="202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</w:p>
    <w:p>
      <w:pPr>
        <w:pStyle w:val="12"/>
        <w:spacing w:line="560" w:lineRule="exact"/>
        <w:ind w:firstLine="565" w:firstLineChars="202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  <w:t>② 根据E板件长度尺寸，切割分离B板件（如下图）。</w:t>
      </w:r>
    </w:p>
    <w:p>
      <w:pPr>
        <w:pStyle w:val="12"/>
        <w:jc w:val="center"/>
        <w:rPr>
          <w:rFonts w:hint="eastAsia" w:ascii="仿宋_GB2312" w:hAnsi="仿宋_GB2312" w:eastAsia="仿宋_GB2312" w:cs="仿宋_GB2312"/>
          <w:kern w:val="2"/>
          <w:sz w:val="28"/>
          <w:szCs w:val="28"/>
        </w:rPr>
      </w:pPr>
      <w:r>
        <w:rPr>
          <w:rFonts w:hint="eastAsia" w:ascii="仿宋_GB2312" w:hAnsi="仿宋_GB2312" w:eastAsia="仿宋_GB2312" w:cs="仿宋_GB2312"/>
          <w:kern w:val="2"/>
          <w:sz w:val="28"/>
          <w:szCs w:val="28"/>
        </w:rPr>
        <w:drawing>
          <wp:inline distT="0" distB="0" distL="0" distR="0">
            <wp:extent cx="2895600" cy="1378585"/>
            <wp:effectExtent l="0" t="0" r="0" b="8255"/>
            <wp:docPr id="13" name="图片 8" descr="C:\Users\pc\AppData\Local\Temp\1547602528(1)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 descr="C:\Users\pc\AppData\Local\Temp\1547602528(1).png"/>
                    <pic:cNvPicPr>
                      <a:picLocks noChangeAspect="true" noChangeArrowheads="true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378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2"/>
        <w:spacing w:line="360" w:lineRule="auto"/>
        <w:ind w:firstLine="480" w:firstLineChars="200"/>
        <w:rPr>
          <w:rFonts w:hint="eastAsia" w:ascii="仿宋_GB2312" w:hAnsi="仿宋_GB2312" w:eastAsia="仿宋_GB2312" w:cs="仿宋_GB2312"/>
          <w:kern w:val="2"/>
          <w:szCs w:val="28"/>
        </w:rPr>
      </w:pPr>
    </w:p>
    <w:p>
      <w:pPr>
        <w:pStyle w:val="1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  <w:r>
        <w:rPr>
          <w:rFonts w:hint="eastAsia" w:ascii="仿宋_GB2312" w:hAnsi="仿宋_GB2312" w:eastAsia="仿宋_GB2312" w:cs="仿宋_GB2312"/>
          <w:kern w:val="2"/>
          <w:sz w:val="28"/>
          <w:szCs w:val="28"/>
        </w:rPr>
        <w:t>③</w:t>
      </w: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  <w:t>E板件进行定位、焊接。</w:t>
      </w:r>
    </w:p>
    <w:p>
      <w:pPr>
        <w:pStyle w:val="1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  <w:t>把E板件安装在B板上，进行对接焊（连续焊）。注：两端接口不需要整条焊接，只焊接B板平面部位即可。焊接时要求采取横焊姿势，焊接过程中不可翻转（如下图）。</w:t>
      </w:r>
    </w:p>
    <w:p>
      <w:pPr>
        <w:pStyle w:val="12"/>
        <w:ind w:firstLine="560" w:firstLineChars="200"/>
        <w:jc w:val="center"/>
        <w:rPr>
          <w:rFonts w:hint="eastAsia" w:ascii="仿宋_GB2312" w:hAnsi="仿宋_GB2312" w:eastAsia="仿宋_GB2312" w:cs="仿宋_GB2312"/>
          <w:kern w:val="2"/>
          <w:sz w:val="28"/>
          <w:szCs w:val="28"/>
        </w:rPr>
      </w:pPr>
    </w:p>
    <w:p>
      <w:pPr>
        <w:pStyle w:val="12"/>
        <w:spacing w:before="240" w:line="560" w:lineRule="exact"/>
        <w:ind w:firstLine="560" w:firstLineChars="200"/>
        <w:rPr>
          <w:rFonts w:hint="eastAsia" w:ascii="仿宋_GB2312" w:hAnsi="仿宋_GB2312" w:eastAsia="仿宋_GB2312" w:cs="仿宋_GB2312"/>
          <w:color w:val="000000"/>
          <w:kern w:val="2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1361440</wp:posOffset>
            </wp:positionH>
            <wp:positionV relativeFrom="paragraph">
              <wp:posOffset>79375</wp:posOffset>
            </wp:positionV>
            <wp:extent cx="2472055" cy="2191385"/>
            <wp:effectExtent l="0" t="0" r="12065" b="3175"/>
            <wp:wrapNone/>
            <wp:docPr id="14" name="图片 9" descr="C:\Users\pc\AppData\Local\Temp\1547602650(1)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 descr="C:\Users\pc\AppData\Local\Temp\1547602650(1).png"/>
                    <pic:cNvPicPr>
                      <a:picLocks noChangeAspect="true" noChangeArrowheads="true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72055" cy="2191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12"/>
        <w:spacing w:before="240" w:line="560" w:lineRule="exact"/>
        <w:ind w:firstLine="480" w:firstLineChars="200"/>
        <w:rPr>
          <w:rFonts w:hint="eastAsia" w:ascii="仿宋_GB2312" w:hAnsi="仿宋_GB2312" w:eastAsia="仿宋_GB2312" w:cs="仿宋_GB2312"/>
          <w:color w:val="000000"/>
          <w:kern w:val="2"/>
          <w:szCs w:val="28"/>
        </w:rPr>
      </w:pPr>
    </w:p>
    <w:p>
      <w:pPr>
        <w:pStyle w:val="12"/>
        <w:spacing w:before="240" w:line="360" w:lineRule="auto"/>
        <w:rPr>
          <w:rFonts w:hint="eastAsia" w:ascii="仿宋_GB2312" w:hAnsi="仿宋_GB2312" w:eastAsia="仿宋_GB2312" w:cs="仿宋_GB2312"/>
          <w:color w:val="000000"/>
          <w:kern w:val="2"/>
          <w:szCs w:val="28"/>
        </w:rPr>
      </w:pPr>
    </w:p>
    <w:p>
      <w:pPr>
        <w:pStyle w:val="12"/>
        <w:spacing w:before="240" w:line="360" w:lineRule="auto"/>
        <w:ind w:firstLine="480" w:firstLineChars="200"/>
        <w:rPr>
          <w:rFonts w:hint="eastAsia" w:ascii="仿宋_GB2312" w:hAnsi="仿宋_GB2312" w:eastAsia="仿宋_GB2312" w:cs="仿宋_GB2312"/>
          <w:color w:val="000000"/>
          <w:kern w:val="2"/>
          <w:szCs w:val="28"/>
        </w:rPr>
      </w:pPr>
    </w:p>
    <w:p>
      <w:pPr>
        <w:pStyle w:val="12"/>
        <w:spacing w:before="240" w:line="360" w:lineRule="auto"/>
        <w:ind w:firstLine="480" w:firstLineChars="200"/>
        <w:rPr>
          <w:rFonts w:hint="eastAsia" w:ascii="仿宋_GB2312" w:hAnsi="仿宋_GB2312" w:eastAsia="仿宋_GB2312" w:cs="仿宋_GB2312"/>
          <w:color w:val="000000"/>
          <w:kern w:val="2"/>
          <w:szCs w:val="28"/>
        </w:rPr>
      </w:pPr>
    </w:p>
    <w:p>
      <w:pPr>
        <w:pStyle w:val="12"/>
        <w:spacing w:before="240" w:line="360" w:lineRule="auto"/>
        <w:ind w:firstLine="480" w:firstLineChars="200"/>
        <w:rPr>
          <w:rFonts w:hint="eastAsia" w:ascii="仿宋_GB2312" w:hAnsi="仿宋_GB2312" w:eastAsia="仿宋_GB2312" w:cs="仿宋_GB2312"/>
          <w:color w:val="000000"/>
          <w:kern w:val="2"/>
          <w:szCs w:val="28"/>
        </w:rPr>
      </w:pPr>
    </w:p>
    <w:p>
      <w:pPr>
        <w:pStyle w:val="1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</w:p>
    <w:p>
      <w:pPr>
        <w:pStyle w:val="1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  <w:t>④D板件进行定位、焊接。</w:t>
      </w:r>
    </w:p>
    <w:p>
      <w:pPr>
        <w:pStyle w:val="1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  <w:t>把D板件安装在A板上，进行对接焊（连续点焊）和塞孔焊。焊接时要求采取横焊姿势，焊接过程中不可翻转（如下图）。</w:t>
      </w:r>
    </w:p>
    <w:p>
      <w:pPr>
        <w:pStyle w:val="12"/>
        <w:spacing w:before="240"/>
        <w:ind w:firstLine="560" w:firstLineChars="200"/>
        <w:jc w:val="center"/>
        <w:rPr>
          <w:rFonts w:hint="eastAsia" w:ascii="仿宋_GB2312" w:hAnsi="仿宋_GB2312" w:eastAsia="仿宋_GB2312" w:cs="仿宋_GB2312"/>
          <w:color w:val="000000"/>
          <w:szCs w:val="28"/>
        </w:rPr>
      </w:pPr>
      <w:r>
        <w:rPr>
          <w:rFonts w:hint="eastAsia" w:ascii="仿宋_GB2312" w:hAnsi="仿宋_GB2312" w:eastAsia="仿宋_GB2312" w:cs="仿宋_GB2312"/>
          <w:kern w:val="2"/>
          <w:sz w:val="28"/>
          <w:szCs w:val="28"/>
        </w:rPr>
        <w:drawing>
          <wp:inline distT="0" distB="0" distL="0" distR="0">
            <wp:extent cx="1405890" cy="3076575"/>
            <wp:effectExtent l="19050" t="0" r="3587" b="0"/>
            <wp:docPr id="15" name="图片 10" descr="C:\Users\pc\AppData\Local\Temp\1547602725(1)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 descr="C:\Users\pc\AppData\Local\Temp\1547602725(1).png"/>
                    <pic:cNvPicPr>
                      <a:picLocks noChangeAspect="true" noChangeArrowheads="true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6113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240" w:line="540" w:lineRule="exact"/>
        <w:ind w:firstLine="420" w:firstLineChars="15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2.操作程序</w:t>
      </w:r>
    </w:p>
    <w:p>
      <w:pPr>
        <w:pStyle w:val="29"/>
        <w:keepNext w:val="0"/>
        <w:keepLines w:val="0"/>
        <w:pageBreakBefore w:val="0"/>
        <w:numPr>
          <w:ilvl w:val="0"/>
          <w:numId w:val="3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Chars="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选手按照工作人员指示进入比赛场地。</w:t>
      </w:r>
    </w:p>
    <w:p>
      <w:pPr>
        <w:pStyle w:val="29"/>
        <w:keepNext w:val="0"/>
        <w:keepLines w:val="0"/>
        <w:pageBreakBefore w:val="0"/>
        <w:numPr>
          <w:ilvl w:val="0"/>
          <w:numId w:val="3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Chars="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裁判确认选手号码是否与比赛程序相符。</w:t>
      </w:r>
    </w:p>
    <w:p>
      <w:pPr>
        <w:pStyle w:val="29"/>
        <w:keepNext w:val="0"/>
        <w:keepLines w:val="0"/>
        <w:pageBreakBefore w:val="0"/>
        <w:numPr>
          <w:ilvl w:val="0"/>
          <w:numId w:val="3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Chars="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裁判给选手提供A、B、C、D、E板件和试焊片（保护焊和电阻点焊）。</w:t>
      </w:r>
    </w:p>
    <w:p>
      <w:pPr>
        <w:pStyle w:val="29"/>
        <w:keepNext w:val="0"/>
        <w:keepLines w:val="0"/>
        <w:pageBreakBefore w:val="0"/>
        <w:numPr>
          <w:ilvl w:val="0"/>
          <w:numId w:val="3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Chars="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选手1分钟准备，裁判计时，比赛开始。</w:t>
      </w:r>
    </w:p>
    <w:p>
      <w:pPr>
        <w:pStyle w:val="29"/>
        <w:keepNext w:val="0"/>
        <w:keepLines w:val="0"/>
        <w:pageBreakBefore w:val="0"/>
        <w:numPr>
          <w:ilvl w:val="0"/>
          <w:numId w:val="3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Chars="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选手穿戴个人防护用品。选手未穿戴好防护用品便开始操作，裁判要制止并要求选手穿戴好防护用品。</w:t>
      </w:r>
    </w:p>
    <w:p>
      <w:pPr>
        <w:pStyle w:val="29"/>
        <w:keepNext w:val="0"/>
        <w:keepLines w:val="0"/>
        <w:pageBreakBefore w:val="0"/>
        <w:numPr>
          <w:ilvl w:val="0"/>
          <w:numId w:val="3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Chars="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选手将A、B、C板件进行组合、夹持、定位。</w:t>
      </w:r>
    </w:p>
    <w:p>
      <w:pPr>
        <w:pStyle w:val="29"/>
        <w:keepNext w:val="0"/>
        <w:keepLines w:val="0"/>
        <w:pageBreakBefore w:val="0"/>
        <w:numPr>
          <w:ilvl w:val="0"/>
          <w:numId w:val="3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Chars="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选手调整电阻点焊设备，然后把A、B、C板件焊接起来。</w:t>
      </w:r>
    </w:p>
    <w:p>
      <w:pPr>
        <w:pStyle w:val="29"/>
        <w:keepNext w:val="0"/>
        <w:keepLines w:val="0"/>
        <w:pageBreakBefore w:val="0"/>
        <w:numPr>
          <w:ilvl w:val="0"/>
          <w:numId w:val="3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Chars="0"/>
        <w:jc w:val="left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根据D、E板件长度尺寸，分别剥离A板和B板件。</w:t>
      </w:r>
    </w:p>
    <w:p>
      <w:pPr>
        <w:pStyle w:val="29"/>
        <w:keepNext w:val="0"/>
        <w:keepLines w:val="0"/>
        <w:pageBreakBefore w:val="0"/>
        <w:numPr>
          <w:ilvl w:val="0"/>
          <w:numId w:val="0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240" w:leftChars="0"/>
        <w:jc w:val="left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注：板件分离后，选手暂停操作，裁判停表，进行部分项目评分，经裁判示意后选手方可继续操作；去除后的板件要给裁判评分。</w:t>
      </w:r>
    </w:p>
    <w:p>
      <w:pPr>
        <w:pStyle w:val="29"/>
        <w:keepNext w:val="0"/>
        <w:keepLines w:val="0"/>
        <w:pageBreakBefore w:val="0"/>
        <w:numPr>
          <w:ilvl w:val="0"/>
          <w:numId w:val="0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val="en-US" w:eastAsia="zh-CN"/>
        </w:rPr>
        <w:t>9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选手分别将E板、D板安装在组合件上，定位、夹紧，使用气体保护焊按照要求进行焊接。</w:t>
      </w:r>
    </w:p>
    <w:p>
      <w:pPr>
        <w:pStyle w:val="29"/>
        <w:keepNext w:val="0"/>
        <w:keepLines w:val="0"/>
        <w:pageBreakBefore w:val="0"/>
        <w:numPr>
          <w:ilvl w:val="0"/>
          <w:numId w:val="0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val="en-US" w:eastAsia="zh-CN"/>
        </w:rPr>
        <w:t>10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选手把操作完毕的工件交给裁判，裁判在工件上标注选手的号码。</w:t>
      </w:r>
    </w:p>
    <w:p>
      <w:pPr>
        <w:pStyle w:val="29"/>
        <w:keepNext w:val="0"/>
        <w:keepLines w:val="0"/>
        <w:pageBreakBefore w:val="0"/>
        <w:numPr>
          <w:ilvl w:val="0"/>
          <w:numId w:val="0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val="en-US" w:eastAsia="zh-CN"/>
        </w:rPr>
        <w:t>11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比赛时间到，选手未完成操作，裁判要停止选手比赛，收回工件，在工件上标注选手的号码。</w:t>
      </w:r>
    </w:p>
    <w:p>
      <w:pPr>
        <w:pStyle w:val="29"/>
        <w:keepNext w:val="0"/>
        <w:keepLines w:val="0"/>
        <w:pageBreakBefore w:val="0"/>
        <w:numPr>
          <w:ilvl w:val="0"/>
          <w:numId w:val="0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val="en-US" w:eastAsia="zh-CN"/>
        </w:rPr>
        <w:t>12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选手焊接结束后关闭焊接设备，清洁、清理场地，按照裁判指示退场，由工作人员引导选手返回休息区</w:t>
      </w:r>
    </w:p>
    <w:p>
      <w:pPr>
        <w:pStyle w:val="29"/>
        <w:keepNext w:val="0"/>
        <w:keepLines w:val="0"/>
        <w:pageBreakBefore w:val="0"/>
        <w:numPr>
          <w:ilvl w:val="0"/>
          <w:numId w:val="0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val="en-US" w:eastAsia="zh-CN"/>
        </w:rPr>
        <w:t>13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裁判对选手的操作进行评分，重新调整设备、整理场地，等待下一位选手比赛。</w:t>
      </w:r>
    </w:p>
    <w:p>
      <w:pPr>
        <w:pStyle w:val="29"/>
        <w:keepNext w:val="0"/>
        <w:keepLines w:val="0"/>
        <w:pageBreakBefore w:val="0"/>
        <w:numPr>
          <w:ilvl w:val="0"/>
          <w:numId w:val="0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val="en-US" w:eastAsia="zh-CN"/>
        </w:rPr>
        <w:t>14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当日比赛结束后，要进行工件的测量评分。每个选手的工件评判后要单独包装封存，以便复查。</w:t>
      </w:r>
    </w:p>
    <w:p>
      <w:pPr>
        <w:pStyle w:val="29"/>
        <w:keepNext w:val="0"/>
        <w:keepLines w:val="0"/>
        <w:pageBreakBefore w:val="0"/>
        <w:numPr>
          <w:ilvl w:val="0"/>
          <w:numId w:val="0"/>
        </w:numPr>
        <w:tabs>
          <w:tab w:val="left" w:pos="142"/>
          <w:tab w:val="left" w:pos="426"/>
          <w:tab w:val="left" w:pos="709"/>
          <w:tab w:val="left" w:pos="851"/>
          <w:tab w:val="left" w:pos="1134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val="en-US" w:eastAsia="zh-CN"/>
        </w:rPr>
        <w:t>15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比赛中由于设备故障问题导致比赛中断，裁判要停表，待设备调整好后补足剩余比赛时间。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3.考核要点</w:t>
      </w:r>
    </w:p>
    <w:p>
      <w:pPr>
        <w:keepNext w:val="0"/>
        <w:keepLines w:val="0"/>
        <w:pageBreakBefore w:val="0"/>
        <w:tabs>
          <w:tab w:val="left" w:pos="142"/>
          <w:tab w:val="left" w:pos="426"/>
          <w:tab w:val="left" w:pos="709"/>
          <w:tab w:val="left" w:pos="851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5" w:firstLineChars="202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安全防护、设备调整及操作、切割尺寸、定位准确性、焊接缺陷、焊点大小、焊点间距、焊点与边缘距离、焊接质量、5S等。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4.技术要求</w:t>
      </w:r>
    </w:p>
    <w:p>
      <w:pPr>
        <w:keepNext w:val="0"/>
        <w:keepLines w:val="0"/>
        <w:pageBreakBefore w:val="0"/>
        <w:tabs>
          <w:tab w:val="left" w:pos="142"/>
          <w:tab w:val="left" w:pos="426"/>
          <w:tab w:val="left" w:pos="709"/>
          <w:tab w:val="left" w:pos="851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5" w:firstLineChars="202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（1）电阻点焊焊接技术要求</w:t>
      </w:r>
    </w:p>
    <w:p>
      <w:pPr>
        <w:pStyle w:val="1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841" w:leftChars="267" w:hanging="280" w:hangingChars="1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  <w:t>①焊点失圆、外圈不连续、出现熔敷物等缺陷，判定此焊点不合格。</w:t>
      </w:r>
    </w:p>
    <w:p>
      <w:pPr>
        <w:pStyle w:val="1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841" w:leftChars="267" w:hanging="280" w:hangingChars="100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</w:rPr>
        <w:t>②焊点直径：≥4mm。</w:t>
      </w:r>
    </w:p>
    <w:p>
      <w:pPr>
        <w:keepNext w:val="0"/>
        <w:keepLines w:val="0"/>
        <w:pageBreakBefore w:val="0"/>
        <w:tabs>
          <w:tab w:val="left" w:pos="142"/>
          <w:tab w:val="left" w:pos="426"/>
          <w:tab w:val="left" w:pos="709"/>
          <w:tab w:val="left" w:pos="851"/>
          <w:tab w:val="left" w:pos="14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5" w:firstLineChars="202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（2）气体保护焊焊接技术要求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56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①连续对接焊：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56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焊疤宽度：5-8mm；焊疤高度：≤2mm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56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②连续点焊：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56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 xml:space="preserve">焊疤宽度：3-6mm；焊疤高度：≤2mm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56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③塞孔焊（9mm）：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560"/>
        <w:textAlignment w:val="auto"/>
        <w:rPr>
          <w:rFonts w:hint="eastAsia" w:ascii="仿宋_GB2312" w:hAnsi="仿宋_GB2312" w:eastAsia="仿宋_GB2312" w:cs="仿宋_GB2312"/>
          <w:color w:val="000000"/>
          <w:w w:val="9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焊点直径：10-13mm；焊点高度：≤2mm；</w:t>
      </w:r>
      <w:r>
        <w:rPr>
          <w:rFonts w:hint="eastAsia" w:ascii="仿宋_GB2312" w:hAnsi="仿宋_GB2312" w:eastAsia="仿宋_GB2312" w:cs="仿宋_GB2312"/>
          <w:color w:val="000000"/>
          <w:w w:val="90"/>
          <w:sz w:val="28"/>
          <w:szCs w:val="28"/>
        </w:rPr>
        <w:t>背面焊疤最小直径：≥9mm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56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④塞孔焊（6mm）：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56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焊点直径：7-9mm；焊点高度：≤2mm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50" w:firstLineChars="196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color w:val="000000"/>
          <w:sz w:val="28"/>
          <w:szCs w:val="28"/>
        </w:rPr>
        <w:t xml:space="preserve">（二）受损门板修复 </w:t>
      </w:r>
    </w:p>
    <w:p>
      <w:pPr>
        <w:keepNext w:val="0"/>
        <w:keepLines w:val="0"/>
        <w:pageBreakBefore w:val="0"/>
        <w:tabs>
          <w:tab w:val="left" w:pos="88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1.受损门板项目的受损位置、尺寸图片及作业要求：</w:t>
      </w:r>
    </w:p>
    <w:p>
      <w:pPr>
        <w:keepNext w:val="0"/>
        <w:keepLines w:val="0"/>
        <w:pageBreakBefore w:val="0"/>
        <w:tabs>
          <w:tab w:val="left" w:pos="88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5" w:firstLineChars="202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A选手在40分钟内，对门板上的条形凹陷（漆膜已破坏）进行修复，设置</w:t>
      </w:r>
      <w:r>
        <w:rPr>
          <w:rFonts w:hint="eastAsia" w:ascii="仿宋_GB2312" w:hAnsi="仿宋_GB2312" w:eastAsia="仿宋_GB2312" w:cs="仿宋_GB2312"/>
          <w:color w:val="000000"/>
          <w:sz w:val="24"/>
          <w:szCs w:val="28"/>
        </w:rPr>
        <w:t>的条形凹陷损伤位置见下图，位于方框区域内。</w:t>
      </w:r>
    </w:p>
    <w:p>
      <w:pPr>
        <w:pStyle w:val="29"/>
        <w:tabs>
          <w:tab w:val="left" w:pos="885"/>
        </w:tabs>
        <w:spacing w:line="360" w:lineRule="auto"/>
        <w:ind w:left="420" w:firstLine="0" w:firstLineChars="0"/>
        <w:jc w:val="center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drawing>
          <wp:inline distT="0" distB="0" distL="0" distR="0">
            <wp:extent cx="3324225" cy="2128520"/>
            <wp:effectExtent l="19050" t="0" r="9525" b="0"/>
            <wp:docPr id="17" name="图片 4" descr="C:\Users\pc\AppData\Local\Temp\1552922113(1).pn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 descr="C:\Users\pc\AppData\Local\Temp\1552922113(1).png"/>
                    <pic:cNvPicPr>
                      <a:picLocks noChangeAspect="true" noChangeArrowheads="true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24845" cy="2129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885"/>
        </w:tabs>
        <w:spacing w:line="560" w:lineRule="exact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条形凹陷为纵向，损伤长度120mm，损伤宽度为40mm；损伤深度为13mm。</w:t>
      </w:r>
    </w:p>
    <w:p>
      <w:pPr>
        <w:tabs>
          <w:tab w:val="left" w:pos="885"/>
        </w:tabs>
        <w:jc w:val="center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drawing>
          <wp:inline distT="0" distB="0" distL="0" distR="0">
            <wp:extent cx="3000375" cy="1659890"/>
            <wp:effectExtent l="19050" t="0" r="9525" b="0"/>
            <wp:docPr id="4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true" noChangeArrowheads="true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1660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885"/>
        </w:tabs>
        <w:spacing w:line="360" w:lineRule="auto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选手对凹陷部位分析、打磨、合理使用工具及设备，按正确工艺进行损伤修复。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2" w:firstLineChars="200"/>
        <w:textAlignment w:val="auto"/>
        <w:rPr>
          <w:rFonts w:hint="eastAsia"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sz w:val="28"/>
          <w:szCs w:val="28"/>
        </w:rPr>
        <w:t xml:space="preserve">（三）损伤区处理 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709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 xml:space="preserve">项目内容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B选手在60分钟的作业时间内完成喷涂底漆前所需的所有处理工作。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709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作业要求</w:t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0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对损伤位置打磨羽状边；</w:t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0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对损伤区施涂环氧底漆、刮涂原子灰并打磨原子灰至平整；</w:t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0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完成喷涂底漆前所需的打磨及清洁、除油工作。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709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考核要点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个人防护用品穿戴规范，安全操作 ；包括使用耳塞；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打磨工具操作规范；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砂纸选用合理；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羽状边边缘平顺无阶梯；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环氧底漆（赛场已调配好）施涂方法、范围及厚度正确；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原子灰配比正确、调和均匀；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原子灰刮涂区域合理，没有超过砂纸打磨区域；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原子灰打磨平整、恢复损伤前形状：最终结果没有原子灰印、</w:t>
      </w:r>
      <w:r>
        <w:rPr>
          <w:rFonts w:hint="eastAsia" w:ascii="仿宋_GB2312" w:hAnsi="仿宋_GB2312" w:eastAsia="仿宋_GB2312" w:cs="仿宋_GB2312"/>
          <w:kern w:val="0"/>
          <w:sz w:val="28"/>
          <w:szCs w:val="28"/>
        </w:rPr>
        <w:t>原子灰砂眼、咬底、砂纸痕等缺陷；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所有待喷自流平底漆区域都已经经过妥善打磨，无研磨不足（橘皮未磨除）、磨穿情况；第一折边外侧有打磨痕迹即可，磨穿不扣分；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操作完毕后，工具设备清洁、复位、废弃物分类丢弃在规定的废弃物容器内。砂纸、菜瓜布等可继续使用耗材放置于指定回收位置。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50" w:firstLineChars="196"/>
        <w:textAlignment w:val="auto"/>
        <w:rPr>
          <w:rFonts w:hint="eastAsia"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sz w:val="28"/>
          <w:szCs w:val="28"/>
        </w:rPr>
        <w:t>（四）喷自流平底漆、水性银粉底色漆、清漆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709" w:leftChars="0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sz w:val="28"/>
          <w:szCs w:val="28"/>
        </w:rPr>
        <w:t xml:space="preserve">项目内容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 xml:space="preserve">    露金属区域补涂防锈底漆，整板喷涂自流平底漆、水性底色漆、清漆。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709" w:leftChars="0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2.</w:t>
      </w:r>
      <w:r>
        <w:rPr>
          <w:rFonts w:hint="eastAsia" w:ascii="仿宋_GB2312" w:hAnsi="仿宋_GB2312" w:eastAsia="仿宋_GB2312" w:cs="仿宋_GB2312"/>
          <w:sz w:val="28"/>
          <w:szCs w:val="28"/>
        </w:rPr>
        <w:t>作业要求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420" w:leftChars="0"/>
        <w:jc w:val="lef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1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sz w:val="28"/>
          <w:szCs w:val="28"/>
        </w:rPr>
        <w:t>B选手需在50分钟的作业时间内，对露金属的区域喷涂自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jc w:val="lef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喷罐式防锈底漆，整板喷涂双组份自流平底漆，自流平底漆用量（已添加好固化剂、稀释剂的重量）不超过160g。</w:t>
      </w:r>
    </w:p>
    <w:p>
      <w:pPr>
        <w:keepNext w:val="0"/>
        <w:keepLines w:val="0"/>
        <w:pageBreakBefore w:val="0"/>
        <w:widowControl w:val="0"/>
        <w:numPr>
          <w:ilvl w:val="0"/>
          <w:numId w:val="7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420" w:leftChars="0"/>
        <w:jc w:val="lef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需要在施工之前根据面漆颜色选择并喷涂合适灰度的自流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jc w:val="lef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平底漆，即从提供的几种不同灰度的自流平底漆中选择一种,由赛场工作人员添加固化剂和稀释剂后喷涂。</w:t>
      </w:r>
    </w:p>
    <w:p>
      <w:pPr>
        <w:keepNext w:val="0"/>
        <w:keepLines w:val="0"/>
        <w:pageBreakBefore w:val="0"/>
        <w:widowControl w:val="0"/>
        <w:numPr>
          <w:ilvl w:val="0"/>
          <w:numId w:val="7"/>
        </w:numPr>
        <w:tabs>
          <w:tab w:val="left" w:pos="113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420" w:leftChars="0" w:firstLine="0" w:firstLineChars="0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喷涂水性银粉底色漆。选手须将车门板的颜色喷涂至与赛场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13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jc w:val="lef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提供的喷涂目标色板一致。赛场限量提供水性底色漆200g，已添加水性稀释剂；</w:t>
      </w:r>
    </w:p>
    <w:p>
      <w:pPr>
        <w:keepNext w:val="0"/>
        <w:keepLines w:val="0"/>
        <w:pageBreakBefore w:val="0"/>
        <w:widowControl w:val="0"/>
        <w:numPr>
          <w:ilvl w:val="0"/>
          <w:numId w:val="7"/>
        </w:numPr>
        <w:tabs>
          <w:tab w:val="left" w:pos="113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420" w:leftChars="0" w:firstLine="0" w:firstLineChars="0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喷涂清漆。赛场限量提供调配300g清漆的配比（重量比及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13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体积比），已添加固化剂和稀释剂。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709" w:leftChars="0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3.</w:t>
      </w:r>
      <w:r>
        <w:rPr>
          <w:rFonts w:hint="eastAsia" w:ascii="仿宋_GB2312" w:hAnsi="仿宋_GB2312" w:eastAsia="仿宋_GB2312" w:cs="仿宋_GB2312"/>
          <w:sz w:val="28"/>
          <w:szCs w:val="28"/>
        </w:rPr>
        <w:t>考核要点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佩戴合适个人防护用品，安全操作；包括使用耳塞；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正确使用粘尘布（将粘尘布充分展开再折叠后粘尘）；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对露金属区域使用自喷罐侵蚀底漆修补；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合理闪干后喷涂下一层；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firstLine="426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自流平底漆喷涂膜厚均匀，无漏底、流挂；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喷涂操作规范，合理闪干后喷涂下一层；喷涂过程中无打磨、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补喷操作;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最终喷涂结果：底色漆无露底、流挂、起花等缺陷；车门板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颜色与喷涂目标板比较颜色准确；清漆无漏喷、喷涂过薄、流挂缺陷，流平好，纹理均匀，光泽度高。第一折边外侧部位，底色漆没有流挂、露底等导致颜色明显不一致的缺陷，清漆没有漏喷（未成膜）、薄喷、粗糙、哑光、流挂等缺陷；</w:t>
      </w:r>
    </w:p>
    <w:p>
      <w:pPr>
        <w:keepNext w:val="0"/>
        <w:keepLines w:val="0"/>
        <w:pageBreakBefore w:val="0"/>
        <w:widowControl w:val="0"/>
        <w:numPr>
          <w:ilvl w:val="0"/>
          <w:numId w:val="8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操作完毕后，工位清洁，工具设备复位，废弃物分类丢弃于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134"/>
          <w:tab w:val="left" w:pos="1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规定的废弃物容器内。</w:t>
      </w:r>
    </w:p>
    <w:p>
      <w:pPr>
        <w:pStyle w:val="29"/>
        <w:numPr>
          <w:ilvl w:val="0"/>
          <w:numId w:val="0"/>
        </w:numPr>
        <w:spacing w:line="560" w:lineRule="exact"/>
        <w:ind w:firstLine="562" w:firstLineChars="200"/>
        <w:rPr>
          <w:rFonts w:hint="eastAsia"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sz w:val="28"/>
          <w:szCs w:val="28"/>
          <w:lang w:val="en-US" w:eastAsia="zh-CN"/>
        </w:rPr>
        <w:t>五、</w:t>
      </w:r>
      <w:r>
        <w:rPr>
          <w:rFonts w:hint="eastAsia" w:ascii="仿宋_GB2312" w:hAnsi="仿宋_GB2312" w:eastAsia="仿宋_GB2312" w:cs="仿宋_GB2312"/>
          <w:b/>
          <w:sz w:val="28"/>
          <w:szCs w:val="28"/>
        </w:rPr>
        <w:t>实操比赛分值分配及评分标准</w:t>
      </w:r>
    </w:p>
    <w:p>
      <w:pPr>
        <w:tabs>
          <w:tab w:val="left" w:pos="885"/>
        </w:tabs>
        <w:ind w:left="613"/>
        <w:rPr>
          <w:rFonts w:hint="eastAsia" w:ascii="仿宋_GB2312" w:hAnsi="仿宋_GB2312" w:eastAsia="仿宋_GB2312" w:cs="仿宋_GB2312"/>
          <w:b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color w:val="000000"/>
          <w:sz w:val="28"/>
          <w:szCs w:val="28"/>
        </w:rPr>
        <w:t>（一）板件更换项目（占总分值25%）</w:t>
      </w:r>
    </w:p>
    <w:tbl>
      <w:tblPr>
        <w:tblStyle w:val="15"/>
        <w:tblW w:w="8885" w:type="dxa"/>
        <w:tblInd w:w="-10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26"/>
        <w:gridCol w:w="1803"/>
        <w:gridCol w:w="495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6" w:type="dxa"/>
          </w:tcPr>
          <w:p>
            <w:pPr>
              <w:tabs>
                <w:tab w:val="left" w:pos="885"/>
              </w:tabs>
              <w:jc w:val="center"/>
              <w:rPr>
                <w:rFonts w:hint="eastAsia" w:ascii="仿宋_GB2312" w:hAnsi="仿宋_GB2312" w:eastAsia="仿宋_GB2312" w:cs="仿宋_GB2312"/>
                <w:b/>
                <w:color w:val="00000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color w:val="000000"/>
                <w:sz w:val="24"/>
              </w:rPr>
              <w:t>项目</w:t>
            </w:r>
          </w:p>
        </w:tc>
        <w:tc>
          <w:tcPr>
            <w:tcW w:w="1803" w:type="dxa"/>
          </w:tcPr>
          <w:p>
            <w:pPr>
              <w:tabs>
                <w:tab w:val="left" w:pos="885"/>
              </w:tabs>
              <w:jc w:val="center"/>
              <w:rPr>
                <w:rFonts w:hint="eastAsia" w:ascii="仿宋_GB2312" w:hAnsi="仿宋_GB2312" w:eastAsia="仿宋_GB2312" w:cs="仿宋_GB2312"/>
                <w:b/>
                <w:color w:val="00000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color w:val="000000"/>
                <w:sz w:val="24"/>
              </w:rPr>
              <w:t>分值比例</w:t>
            </w:r>
          </w:p>
        </w:tc>
        <w:tc>
          <w:tcPr>
            <w:tcW w:w="4956" w:type="dxa"/>
          </w:tcPr>
          <w:p>
            <w:pPr>
              <w:tabs>
                <w:tab w:val="left" w:pos="885"/>
              </w:tabs>
              <w:jc w:val="center"/>
              <w:rPr>
                <w:rFonts w:hint="eastAsia" w:ascii="仿宋_GB2312" w:hAnsi="仿宋_GB2312" w:eastAsia="仿宋_GB2312" w:cs="仿宋_GB2312"/>
                <w:b/>
                <w:color w:val="00000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color w:val="000000"/>
                <w:sz w:val="24"/>
              </w:rPr>
              <w:t>评分标准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6" w:type="dxa"/>
            <w:vAlign w:val="center"/>
          </w:tcPr>
          <w:p>
            <w:pPr>
              <w:tabs>
                <w:tab w:val="left" w:pos="885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工艺流程及工件质量</w:t>
            </w:r>
          </w:p>
        </w:tc>
        <w:tc>
          <w:tcPr>
            <w:tcW w:w="1803" w:type="dxa"/>
            <w:vAlign w:val="center"/>
          </w:tcPr>
          <w:p>
            <w:pPr>
              <w:tabs>
                <w:tab w:val="left" w:pos="885"/>
              </w:tabs>
              <w:ind w:firstLine="623" w:firstLineChars="297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70%</w:t>
            </w:r>
          </w:p>
        </w:tc>
        <w:tc>
          <w:tcPr>
            <w:tcW w:w="4956" w:type="dxa"/>
            <w:vAlign w:val="center"/>
          </w:tcPr>
          <w:p>
            <w:pPr>
              <w:tabs>
                <w:tab w:val="left" w:pos="885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切割尺寸符合要求，电阻点焊符合尺寸要求，塞焊符合尺寸要求，对接焊符合尺寸要求；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6" w:type="dxa"/>
            <w:vAlign w:val="center"/>
          </w:tcPr>
          <w:p>
            <w:pPr>
              <w:tabs>
                <w:tab w:val="left" w:pos="885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设备操作</w:t>
            </w:r>
          </w:p>
        </w:tc>
        <w:tc>
          <w:tcPr>
            <w:tcW w:w="1803" w:type="dxa"/>
            <w:vAlign w:val="center"/>
          </w:tcPr>
          <w:p>
            <w:pPr>
              <w:tabs>
                <w:tab w:val="left" w:pos="885"/>
              </w:tabs>
              <w:ind w:firstLine="623" w:firstLineChars="297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20%</w:t>
            </w:r>
          </w:p>
        </w:tc>
        <w:tc>
          <w:tcPr>
            <w:tcW w:w="4956" w:type="dxa"/>
            <w:vAlign w:val="center"/>
          </w:tcPr>
          <w:p>
            <w:pPr>
              <w:tabs>
                <w:tab w:val="left" w:pos="885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保护焊及电阻点焊焊接参数符合要求，各种工具使用符合规范；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c>
          <w:tcPr>
            <w:tcW w:w="2126" w:type="dxa"/>
            <w:vAlign w:val="center"/>
          </w:tcPr>
          <w:p>
            <w:pPr>
              <w:tabs>
                <w:tab w:val="left" w:pos="885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5S规范</w:t>
            </w:r>
          </w:p>
        </w:tc>
        <w:tc>
          <w:tcPr>
            <w:tcW w:w="1803" w:type="dxa"/>
            <w:vAlign w:val="center"/>
          </w:tcPr>
          <w:p>
            <w:pPr>
              <w:tabs>
                <w:tab w:val="left" w:pos="885"/>
              </w:tabs>
              <w:ind w:firstLine="623" w:firstLineChars="297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10%</w:t>
            </w:r>
          </w:p>
        </w:tc>
        <w:tc>
          <w:tcPr>
            <w:tcW w:w="4956" w:type="dxa"/>
            <w:vAlign w:val="center"/>
          </w:tcPr>
          <w:p>
            <w:pPr>
              <w:tabs>
                <w:tab w:val="left" w:pos="885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符合安全操作规程；工、量具摆放整齐；遵守赛场纪律，尊重赛场工作人员，爱惜赛场的设备和器材，保持工位的整洁。</w:t>
            </w:r>
          </w:p>
        </w:tc>
      </w:tr>
    </w:tbl>
    <w:p>
      <w:pPr>
        <w:tabs>
          <w:tab w:val="left" w:pos="885"/>
        </w:tabs>
        <w:rPr>
          <w:rFonts w:hint="eastAsia" w:ascii="仿宋_GB2312" w:hAnsi="仿宋_GB2312" w:eastAsia="仿宋_GB2312" w:cs="仿宋_GB2312"/>
          <w:b/>
          <w:color w:val="000000"/>
          <w:sz w:val="24"/>
          <w:szCs w:val="28"/>
        </w:rPr>
      </w:pPr>
      <w:r>
        <w:rPr>
          <w:rFonts w:hint="eastAsia" w:ascii="仿宋_GB2312" w:hAnsi="仿宋_GB2312" w:eastAsia="仿宋_GB2312" w:cs="仿宋_GB2312"/>
          <w:b/>
          <w:color w:val="000000"/>
          <w:sz w:val="24"/>
          <w:szCs w:val="28"/>
        </w:rPr>
        <w:t>（二）受损门板修复项目（占总分值25%）</w:t>
      </w:r>
    </w:p>
    <w:tbl>
      <w:tblPr>
        <w:tblStyle w:val="15"/>
        <w:tblW w:w="8885" w:type="dxa"/>
        <w:tblInd w:w="-10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26"/>
        <w:gridCol w:w="1803"/>
        <w:gridCol w:w="495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6" w:type="dxa"/>
          </w:tcPr>
          <w:p>
            <w:pPr>
              <w:tabs>
                <w:tab w:val="left" w:pos="885"/>
              </w:tabs>
              <w:jc w:val="center"/>
              <w:rPr>
                <w:rFonts w:hint="eastAsia" w:ascii="仿宋_GB2312" w:hAnsi="仿宋_GB2312" w:eastAsia="仿宋_GB2312" w:cs="仿宋_GB2312"/>
                <w:b/>
                <w:color w:val="00000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color w:val="000000"/>
                <w:sz w:val="24"/>
              </w:rPr>
              <w:t>项目</w:t>
            </w:r>
          </w:p>
        </w:tc>
        <w:tc>
          <w:tcPr>
            <w:tcW w:w="1803" w:type="dxa"/>
          </w:tcPr>
          <w:p>
            <w:pPr>
              <w:tabs>
                <w:tab w:val="left" w:pos="885"/>
              </w:tabs>
              <w:jc w:val="center"/>
              <w:rPr>
                <w:rFonts w:hint="eastAsia" w:ascii="仿宋_GB2312" w:hAnsi="仿宋_GB2312" w:eastAsia="仿宋_GB2312" w:cs="仿宋_GB2312"/>
                <w:b/>
                <w:color w:val="00000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color w:val="000000"/>
                <w:sz w:val="24"/>
              </w:rPr>
              <w:t>分值比例</w:t>
            </w:r>
          </w:p>
        </w:tc>
        <w:tc>
          <w:tcPr>
            <w:tcW w:w="4956" w:type="dxa"/>
          </w:tcPr>
          <w:p>
            <w:pPr>
              <w:tabs>
                <w:tab w:val="left" w:pos="885"/>
              </w:tabs>
              <w:jc w:val="center"/>
              <w:rPr>
                <w:rFonts w:hint="eastAsia" w:ascii="仿宋_GB2312" w:hAnsi="仿宋_GB2312" w:eastAsia="仿宋_GB2312" w:cs="仿宋_GB2312"/>
                <w:b/>
                <w:color w:val="00000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color w:val="000000"/>
                <w:sz w:val="24"/>
              </w:rPr>
              <w:t>评分标准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6" w:type="dxa"/>
            <w:vAlign w:val="center"/>
          </w:tcPr>
          <w:p>
            <w:pPr>
              <w:tabs>
                <w:tab w:val="left" w:pos="885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工艺流程及维修质量</w:t>
            </w:r>
          </w:p>
        </w:tc>
        <w:tc>
          <w:tcPr>
            <w:tcW w:w="1803" w:type="dxa"/>
            <w:vAlign w:val="center"/>
          </w:tcPr>
          <w:p>
            <w:pPr>
              <w:tabs>
                <w:tab w:val="left" w:pos="885"/>
              </w:tabs>
              <w:ind w:firstLine="623" w:firstLineChars="297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70%</w:t>
            </w:r>
          </w:p>
        </w:tc>
        <w:tc>
          <w:tcPr>
            <w:tcW w:w="4956" w:type="dxa"/>
            <w:vAlign w:val="center"/>
          </w:tcPr>
          <w:p>
            <w:pPr>
              <w:tabs>
                <w:tab w:val="left" w:pos="885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维修区域板面不能高于原表面，不能低于原表面1mm，板面不能出现孔洞，板面平整度符合规范；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6" w:type="dxa"/>
            <w:vAlign w:val="center"/>
          </w:tcPr>
          <w:p>
            <w:pPr>
              <w:tabs>
                <w:tab w:val="left" w:pos="885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设备操作</w:t>
            </w:r>
          </w:p>
        </w:tc>
        <w:tc>
          <w:tcPr>
            <w:tcW w:w="1803" w:type="dxa"/>
            <w:vAlign w:val="center"/>
          </w:tcPr>
          <w:p>
            <w:pPr>
              <w:tabs>
                <w:tab w:val="left" w:pos="885"/>
              </w:tabs>
              <w:ind w:firstLine="623" w:firstLineChars="297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20%</w:t>
            </w:r>
          </w:p>
        </w:tc>
        <w:tc>
          <w:tcPr>
            <w:tcW w:w="4956" w:type="dxa"/>
            <w:vAlign w:val="center"/>
          </w:tcPr>
          <w:p>
            <w:pPr>
              <w:tabs>
                <w:tab w:val="left" w:pos="885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外形修复机焊接参数符合要求，整形工具及组合工具使用符合规范；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c>
          <w:tcPr>
            <w:tcW w:w="2126" w:type="dxa"/>
            <w:vAlign w:val="center"/>
          </w:tcPr>
          <w:p>
            <w:pPr>
              <w:tabs>
                <w:tab w:val="left" w:pos="885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5S规范</w:t>
            </w:r>
          </w:p>
        </w:tc>
        <w:tc>
          <w:tcPr>
            <w:tcW w:w="1803" w:type="dxa"/>
            <w:vAlign w:val="center"/>
          </w:tcPr>
          <w:p>
            <w:pPr>
              <w:tabs>
                <w:tab w:val="left" w:pos="885"/>
              </w:tabs>
              <w:ind w:firstLine="623" w:firstLineChars="297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10%</w:t>
            </w:r>
          </w:p>
        </w:tc>
        <w:tc>
          <w:tcPr>
            <w:tcW w:w="4956" w:type="dxa"/>
            <w:vAlign w:val="center"/>
          </w:tcPr>
          <w:p>
            <w:pPr>
              <w:tabs>
                <w:tab w:val="left" w:pos="885"/>
              </w:tabs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符合安全操作规程；工、量具摆放整齐；遵守赛场纪律，尊重赛场工作人员，爱惜赛场的设备和器材，保持工位的整洁。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textAlignment w:val="auto"/>
        <w:rPr>
          <w:rFonts w:hint="eastAsia" w:ascii="仿宋_GB2312" w:hAnsi="仿宋_GB2312" w:eastAsia="仿宋_GB2312" w:cs="仿宋_GB2312"/>
          <w:b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sz w:val="24"/>
          <w:szCs w:val="24"/>
        </w:rPr>
        <w:t>（三）损伤区处理（</w:t>
      </w:r>
      <w:r>
        <w:rPr>
          <w:rFonts w:hint="eastAsia" w:ascii="仿宋_GB2312" w:hAnsi="仿宋_GB2312" w:eastAsia="仿宋_GB2312" w:cs="仿宋_GB2312"/>
          <w:b/>
          <w:color w:val="000000"/>
          <w:sz w:val="24"/>
          <w:szCs w:val="24"/>
        </w:rPr>
        <w:t>占总分值25%</w:t>
      </w:r>
      <w:r>
        <w:rPr>
          <w:rFonts w:hint="eastAsia" w:ascii="仿宋_GB2312" w:hAnsi="仿宋_GB2312" w:eastAsia="仿宋_GB2312" w:cs="仿宋_GB2312"/>
          <w:b/>
          <w:sz w:val="24"/>
          <w:szCs w:val="24"/>
        </w:rPr>
        <w:t>）</w:t>
      </w:r>
    </w:p>
    <w:tbl>
      <w:tblPr>
        <w:tblStyle w:val="15"/>
        <w:tblW w:w="9180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26"/>
        <w:gridCol w:w="1701"/>
        <w:gridCol w:w="535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jc w:val="center"/>
              <w:textAlignment w:val="auto"/>
              <w:rPr>
                <w:rFonts w:hint="eastAsia" w:ascii="仿宋_GB2312" w:hAnsi="仿宋_GB2312" w:eastAsia="仿宋_GB2312" w:cs="仿宋_GB2312"/>
                <w:b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</w:rPr>
              <w:t>项目</w:t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ind w:firstLine="240" w:firstLineChars="100"/>
              <w:jc w:val="both"/>
              <w:textAlignment w:val="auto"/>
              <w:rPr>
                <w:rFonts w:hint="eastAsia" w:ascii="仿宋_GB2312" w:hAnsi="仿宋_GB2312" w:eastAsia="仿宋_GB2312" w:cs="仿宋_GB2312"/>
                <w:b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</w:rPr>
              <w:t>分值比例</w:t>
            </w:r>
          </w:p>
        </w:tc>
        <w:tc>
          <w:tcPr>
            <w:tcW w:w="53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jc w:val="center"/>
              <w:textAlignment w:val="auto"/>
              <w:rPr>
                <w:rFonts w:hint="eastAsia" w:ascii="仿宋_GB2312" w:hAnsi="仿宋_GB2312" w:eastAsia="仿宋_GB2312" w:cs="仿宋_GB2312"/>
                <w:b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</w:rPr>
              <w:t>评分标准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4" w:hRule="atLeast"/>
        </w:trPr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安全防护</w:t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5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%</w:t>
            </w:r>
          </w:p>
        </w:tc>
        <w:tc>
          <w:tcPr>
            <w:tcW w:w="53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88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在各个环节佩戴合理的安全防护用品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5" w:hRule="atLeast"/>
        </w:trPr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羽状边打磨</w:t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5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%</w:t>
            </w:r>
          </w:p>
        </w:tc>
        <w:tc>
          <w:tcPr>
            <w:tcW w:w="53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88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使用砂纸型号正确，边缘平滑无台阶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原子灰刮涂,打磨和旧漆层打磨</w:t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30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%</w:t>
            </w:r>
          </w:p>
        </w:tc>
        <w:tc>
          <w:tcPr>
            <w:tcW w:w="53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88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原子灰调配比例正确，混合均匀，刮涂不超过打磨范围；打磨时使用打磨机、砂纸型号正确，能正确使用打磨指示层及采用正确打磨方法打磨。</w:t>
            </w:r>
          </w:p>
          <w:p>
            <w:pPr>
              <w:keepNext w:val="0"/>
              <w:keepLines w:val="0"/>
              <w:pageBreakBefore w:val="0"/>
              <w:widowControl w:val="0"/>
              <w:tabs>
                <w:tab w:val="left" w:pos="88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整板打磨后无橘纹,无磨穿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5S</w:t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1</w:t>
            </w:r>
            <w:r>
              <w:rPr>
                <w:rFonts w:hint="eastAsia" w:ascii="仿宋_GB2312" w:hAnsi="仿宋_GB2312" w:eastAsia="仿宋_GB2312" w:cs="仿宋_GB2312"/>
                <w:sz w:val="24"/>
              </w:rPr>
              <w:t>0</w:t>
            </w:r>
            <w:r>
              <w:rPr>
                <w:rFonts w:hint="eastAsia" w:ascii="仿宋_GB2312" w:hAnsi="仿宋_GB2312" w:eastAsia="仿宋_GB2312" w:cs="仿宋_GB2312"/>
                <w:sz w:val="24"/>
              </w:rPr>
              <w:t>%</w:t>
            </w:r>
          </w:p>
        </w:tc>
        <w:tc>
          <w:tcPr>
            <w:tcW w:w="53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88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  <w:t>工具设备复位、可继续使用耗材放置于指定回收位置；废弃物丢弃至指定垃圾桶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打磨效果</w:t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50%</w:t>
            </w:r>
          </w:p>
        </w:tc>
        <w:tc>
          <w:tcPr>
            <w:tcW w:w="53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885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color w:val="000000"/>
                <w:sz w:val="21"/>
                <w:szCs w:val="21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="420"/>
        <w:textAlignment w:val="auto"/>
        <w:rPr>
          <w:rFonts w:hint="eastAsia" w:ascii="仿宋_GB2312" w:hAnsi="仿宋_GB2312" w:eastAsia="仿宋_GB2312" w:cs="仿宋_GB2312"/>
          <w:b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sz w:val="24"/>
          <w:szCs w:val="24"/>
        </w:rPr>
        <w:t>（四）喷底漆、水性底色漆、清漆（</w:t>
      </w:r>
      <w:r>
        <w:rPr>
          <w:rFonts w:hint="eastAsia" w:ascii="仿宋_GB2312" w:hAnsi="仿宋_GB2312" w:eastAsia="仿宋_GB2312" w:cs="仿宋_GB2312"/>
          <w:b/>
          <w:color w:val="000000"/>
          <w:sz w:val="24"/>
          <w:szCs w:val="24"/>
        </w:rPr>
        <w:t>占总分值5%</w:t>
      </w:r>
      <w:r>
        <w:rPr>
          <w:rFonts w:hint="eastAsia" w:ascii="仿宋_GB2312" w:hAnsi="仿宋_GB2312" w:eastAsia="仿宋_GB2312" w:cs="仿宋_GB2312"/>
          <w:b/>
          <w:sz w:val="24"/>
          <w:szCs w:val="24"/>
        </w:rPr>
        <w:t>）</w:t>
      </w:r>
    </w:p>
    <w:tbl>
      <w:tblPr>
        <w:tblStyle w:val="15"/>
        <w:tblW w:w="9180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26"/>
        <w:gridCol w:w="1803"/>
        <w:gridCol w:w="5251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jc w:val="center"/>
              <w:textAlignment w:val="auto"/>
              <w:rPr>
                <w:rFonts w:hint="eastAsia" w:ascii="仿宋_GB2312" w:hAnsi="仿宋_GB2312" w:eastAsia="仿宋_GB2312" w:cs="仿宋_GB2312"/>
                <w:b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</w:rPr>
              <w:t>项目</w:t>
            </w:r>
          </w:p>
        </w:tc>
        <w:tc>
          <w:tcPr>
            <w:tcW w:w="18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jc w:val="center"/>
              <w:textAlignment w:val="auto"/>
              <w:rPr>
                <w:rFonts w:hint="eastAsia" w:ascii="仿宋_GB2312" w:hAnsi="仿宋_GB2312" w:eastAsia="仿宋_GB2312" w:cs="仿宋_GB2312"/>
                <w:b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</w:rPr>
              <w:t>分值比例</w:t>
            </w:r>
          </w:p>
        </w:tc>
        <w:tc>
          <w:tcPr>
            <w:tcW w:w="52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jc w:val="center"/>
              <w:textAlignment w:val="auto"/>
              <w:rPr>
                <w:rFonts w:hint="eastAsia" w:ascii="仿宋_GB2312" w:hAnsi="仿宋_GB2312" w:eastAsia="仿宋_GB2312" w:cs="仿宋_GB2312"/>
                <w:b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</w:rPr>
              <w:t>评分标准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安全防护</w:t>
            </w:r>
          </w:p>
        </w:tc>
        <w:tc>
          <w:tcPr>
            <w:tcW w:w="18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5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%</w:t>
            </w:r>
          </w:p>
        </w:tc>
        <w:tc>
          <w:tcPr>
            <w:tcW w:w="52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佩戴喷涂时所需要的安全防护用品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喷涂过程</w:t>
            </w:r>
          </w:p>
        </w:tc>
        <w:tc>
          <w:tcPr>
            <w:tcW w:w="18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90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%</w:t>
            </w:r>
          </w:p>
        </w:tc>
        <w:tc>
          <w:tcPr>
            <w:tcW w:w="52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使用粘尘布粘尘；裸露金属部位，单处范围超过10cm喷涂自喷灌侵蚀底漆,小于10cm喷涂自流平底漆；选择正确灰度的自流平底漆，底漆无流挂、漏喷或咬底；道与道之间给予了合理的闪干时间；喷涂过程中没有打磨、补喷；使用规定量完成喷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5S</w:t>
            </w:r>
          </w:p>
        </w:tc>
        <w:tc>
          <w:tcPr>
            <w:tcW w:w="18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5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%</w:t>
            </w:r>
          </w:p>
        </w:tc>
        <w:tc>
          <w:tcPr>
            <w:tcW w:w="52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工具、工位恢复原状；废弃物丢弃至指定垃圾桶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firstLine="120" w:firstLineChars="50"/>
        <w:textAlignment w:val="auto"/>
        <w:rPr>
          <w:rFonts w:hint="eastAsia" w:ascii="仿宋_GB2312" w:hAnsi="仿宋_GB2312" w:eastAsia="仿宋_GB2312" w:cs="仿宋_GB2312"/>
          <w:b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firstLine="120" w:firstLineChars="50"/>
        <w:textAlignment w:val="auto"/>
        <w:rPr>
          <w:rFonts w:hint="eastAsia" w:ascii="仿宋_GB2312" w:hAnsi="仿宋_GB2312" w:eastAsia="仿宋_GB2312" w:cs="仿宋_GB2312"/>
          <w:b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sz w:val="24"/>
          <w:szCs w:val="24"/>
        </w:rPr>
        <w:t>最终效果（占实操分值20%）</w:t>
      </w:r>
    </w:p>
    <w:tbl>
      <w:tblPr>
        <w:tblStyle w:val="15"/>
        <w:tblW w:w="9464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93"/>
        <w:gridCol w:w="1843"/>
        <w:gridCol w:w="5528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noWrap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jc w:val="center"/>
              <w:textAlignment w:val="auto"/>
              <w:rPr>
                <w:rFonts w:hint="eastAsia" w:ascii="仿宋_GB2312" w:hAnsi="仿宋_GB2312" w:eastAsia="仿宋_GB2312" w:cs="仿宋_GB2312"/>
                <w:b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</w:rPr>
              <w:t>项目</w:t>
            </w:r>
          </w:p>
        </w:tc>
        <w:tc>
          <w:tcPr>
            <w:tcW w:w="1843" w:type="dxa"/>
            <w:noWrap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jc w:val="center"/>
              <w:textAlignment w:val="auto"/>
              <w:rPr>
                <w:rFonts w:hint="eastAsia" w:ascii="仿宋_GB2312" w:hAnsi="仿宋_GB2312" w:eastAsia="仿宋_GB2312" w:cs="仿宋_GB2312"/>
                <w:b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</w:rPr>
              <w:t>分值比例</w:t>
            </w:r>
          </w:p>
        </w:tc>
        <w:tc>
          <w:tcPr>
            <w:tcW w:w="5528" w:type="dxa"/>
            <w:noWrap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jc w:val="center"/>
              <w:textAlignment w:val="auto"/>
              <w:rPr>
                <w:rFonts w:hint="eastAsia" w:ascii="仿宋_GB2312" w:hAnsi="仿宋_GB2312" w:eastAsia="仿宋_GB2312" w:cs="仿宋_GB2312"/>
                <w:b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</w:rPr>
              <w:t>评分标准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noWrap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做底效果</w:t>
            </w:r>
          </w:p>
        </w:tc>
        <w:tc>
          <w:tcPr>
            <w:tcW w:w="1843" w:type="dxa"/>
            <w:noWrap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30%</w:t>
            </w:r>
          </w:p>
        </w:tc>
        <w:tc>
          <w:tcPr>
            <w:tcW w:w="5528" w:type="dxa"/>
            <w:noWrap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无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原子灰印、原子灰砂眼、咬底、砂纸痕等缺陷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noWrap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底色漆喷涂效果</w:t>
            </w:r>
          </w:p>
        </w:tc>
        <w:tc>
          <w:tcPr>
            <w:tcW w:w="1843" w:type="dxa"/>
            <w:noWrap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1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0%</w:t>
            </w:r>
          </w:p>
        </w:tc>
        <w:tc>
          <w:tcPr>
            <w:tcW w:w="5528" w:type="dxa"/>
            <w:noWrap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底色漆无露底、流挂、起花等缺陷；车门板颜色与喷涂目标板比较颜色准确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c>
          <w:tcPr>
            <w:tcW w:w="2093" w:type="dxa"/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清漆喷涂效果</w:t>
            </w:r>
          </w:p>
        </w:tc>
        <w:tc>
          <w:tcPr>
            <w:tcW w:w="1843" w:type="dxa"/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30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%</w:t>
            </w:r>
          </w:p>
        </w:tc>
        <w:tc>
          <w:tcPr>
            <w:tcW w:w="5528" w:type="dxa"/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清漆无漏喷、喷涂过薄、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流挂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缺陷，流平好，纹理均匀，光泽度高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 xml:space="preserve">其他漆膜缺陷 </w:t>
            </w:r>
          </w:p>
        </w:tc>
        <w:tc>
          <w:tcPr>
            <w:tcW w:w="1843" w:type="dxa"/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20%</w:t>
            </w:r>
          </w:p>
        </w:tc>
        <w:tc>
          <w:tcPr>
            <w:tcW w:w="5528" w:type="dxa"/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没有鱼眼、起泡、针孔、印痕（含碰伤）、清漆垂流等需要抛光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或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返工重喷清漆的缺陷。第一折边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外侧部位底色漆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、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清漆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没有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漏喷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、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露底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第一折边外侧效果</w:t>
            </w:r>
          </w:p>
        </w:tc>
        <w:tc>
          <w:tcPr>
            <w:tcW w:w="1843" w:type="dxa"/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10%</w:t>
            </w:r>
          </w:p>
        </w:tc>
        <w:tc>
          <w:tcPr>
            <w:tcW w:w="5528" w:type="dxa"/>
            <w:noWrap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40" w:lineRule="exact"/>
              <w:textAlignment w:val="auto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底色漆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没有流挂、露底等导致颜色明显不一致的缺陷，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清漆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没有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漏喷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（未成膜）、薄喷、粗糙、哑光、流挂等缺陷</w:t>
            </w:r>
          </w:p>
        </w:tc>
      </w:tr>
    </w:tbl>
    <w:p>
      <w:pPr>
        <w:spacing w:line="560" w:lineRule="exact"/>
        <w:rPr>
          <w:rFonts w:hint="eastAsia" w:ascii="仿宋_GB2312" w:hAnsi="仿宋_GB2312" w:eastAsia="仿宋_GB2312" w:cs="仿宋_GB2312"/>
          <w:b/>
          <w:sz w:val="28"/>
          <w:szCs w:val="28"/>
        </w:rPr>
      </w:pPr>
    </w:p>
    <w:p>
      <w:pPr>
        <w:spacing w:line="560" w:lineRule="exact"/>
        <w:rPr>
          <w:rFonts w:hint="eastAsia" w:ascii="仿宋_GB2312" w:hAnsi="仿宋_GB2312" w:eastAsia="仿宋_GB2312" w:cs="仿宋_GB2312"/>
          <w:b/>
          <w:sz w:val="28"/>
          <w:szCs w:val="28"/>
        </w:rPr>
      </w:pPr>
      <w:bookmarkStart w:id="0" w:name="_GoBack"/>
      <w:r>
        <w:rPr>
          <w:rFonts w:hint="eastAsia" w:ascii="仿宋_GB2312" w:hAnsi="仿宋_GB2312" w:eastAsia="仿宋_GB2312" w:cs="仿宋_GB2312"/>
          <w:b/>
          <w:sz w:val="28"/>
          <w:szCs w:val="28"/>
        </w:rPr>
        <w:t>六、比赛需自备的工具与设备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textAlignment w:val="auto"/>
        <w:rPr>
          <w:rFonts w:hint="eastAsia"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sz w:val="28"/>
          <w:szCs w:val="28"/>
        </w:rPr>
        <w:t>（一）自备工具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1.参赛选手要自备</w:t>
      </w:r>
      <w:r>
        <w:rPr>
          <w:rFonts w:hint="eastAsia" w:ascii="仿宋_GB2312" w:hAnsi="仿宋_GB2312" w:eastAsia="仿宋_GB2312" w:cs="仿宋_GB2312"/>
          <w:color w:val="000000"/>
          <w:sz w:val="28"/>
          <w:szCs w:val="28"/>
        </w:rPr>
        <w:t>焊接口罩、</w:t>
      </w:r>
      <w:r>
        <w:rPr>
          <w:rFonts w:hint="eastAsia" w:ascii="仿宋_GB2312" w:hAnsi="仿宋_GB2312" w:eastAsia="仿宋_GB2312" w:cs="仿宋_GB2312"/>
          <w:sz w:val="28"/>
          <w:szCs w:val="28"/>
        </w:rPr>
        <w:t>活性炭防护面具、安全工作鞋和耳塞。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2.</w:t>
      </w:r>
      <w:r>
        <w:rPr>
          <w:rFonts w:hint="eastAsia" w:ascii="仿宋_GB2312" w:hAnsi="仿宋_GB2312" w:eastAsia="仿宋_GB2312" w:cs="仿宋_GB2312"/>
          <w:sz w:val="28"/>
          <w:szCs w:val="28"/>
        </w:rPr>
        <w:t>参赛选手自备刮涂原子灰工具。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3.</w:t>
      </w:r>
      <w:r>
        <w:rPr>
          <w:rFonts w:hint="eastAsia" w:ascii="仿宋_GB2312" w:hAnsi="仿宋_GB2312" w:eastAsia="仿宋_GB2312" w:cs="仿宋_GB2312"/>
          <w:sz w:val="28"/>
          <w:szCs w:val="28"/>
        </w:rPr>
        <w:t>选手可自带喷枪。</w:t>
      </w:r>
    </w:p>
    <w:p>
      <w:pPr>
        <w:spacing w:line="360" w:lineRule="auto"/>
        <w:rPr>
          <w:rFonts w:hint="eastAsia"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kern w:val="0"/>
          <w:sz w:val="28"/>
          <w:szCs w:val="28"/>
        </w:rPr>
        <w:t>（二）赛场提供的</w:t>
      </w:r>
      <w:r>
        <w:rPr>
          <w:rFonts w:hint="eastAsia" w:ascii="仿宋_GB2312" w:hAnsi="仿宋_GB2312" w:eastAsia="仿宋_GB2312" w:cs="仿宋_GB2312"/>
          <w:b/>
          <w:sz w:val="28"/>
          <w:szCs w:val="28"/>
        </w:rPr>
        <w:t>工量具、配件辅料和设备见下表所列</w:t>
      </w:r>
    </w:p>
    <w:bookmarkEnd w:id="0"/>
    <w:tbl>
      <w:tblPr>
        <w:tblStyle w:val="15"/>
        <w:tblW w:w="925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4"/>
        <w:gridCol w:w="61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6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146" w:lineRule="atLeast"/>
              <w:ind w:firstLine="240" w:firstLineChars="10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工具名称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146" w:lineRule="atLeast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型号及规格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活性炭防护口罩（裁判用）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喷漆工作服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连体，防静电，喷漆专用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防护眼镜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防尘口罩、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溶剂手套、棉砂手套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9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吹尘枪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原子灰调合板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150" w:lineRule="atLeast"/>
              <w:jc w:val="left"/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开罐器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比例尺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水性漆专用过滤漏斗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3510-0302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2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122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溶剂型油漆过滤漏斗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3510-0301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除油布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3510-0777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打磨机用干磨砂纸（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6"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）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P80,P120,P180,P240,P320,P400, P500, P800,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手刨用干磨砂纸（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70X125mm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）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P80, P120, P180, P240, P320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方形菜瓜布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红色P360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 xml:space="preserve"> 3340-F02037</w:t>
            </w:r>
          </w:p>
          <w:p>
            <w:pPr>
              <w:widowControl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浅灰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 xml:space="preserve">P1500 3340-F02094 </w:t>
            </w:r>
          </w:p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 xml:space="preserve">深灰P2000 </w:t>
            </w: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3340-F02095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圆形菜瓜布（打磨机用）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MF150mm 2000(P2000)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海绵干磨软垫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70" w:lineRule="atLeast"/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3300-3003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打磨保护垫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3300-2002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打磨指示层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3510-0180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粘尘布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6060-1201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免洗枪壶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3510-0117（溶剂型油漆）；3510-0118（水性漆）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中涂底漆喷枪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 xml:space="preserve">SATA jet 100 B F 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 xml:space="preserve">RP 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1.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4、1.6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mm口径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水性底色漆喷枪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SATAjet 5000-110-1.2绿色环保省漆喷枪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水性漆吹风枪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SATADRY JET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清漆喷枪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 xml:space="preserve">SATA jet 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5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0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00-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110(SATAjet 1000B RPIC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1. 1.3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水性漆洗枪水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sz w:val="21"/>
                <w:szCs w:val="21"/>
              </w:rPr>
              <w:t>P980-8212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电子秤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精确到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0.1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除油剂喷壶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耐溶剂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4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打磨场地气管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  <w:p>
            <w:pPr>
              <w:widowControl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带快速接头的管长10m，内径8mm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喷房用气管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带快速接头的管长10m，内径8mm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打磨台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喷涂架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干磨设备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HE901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中央集尘系统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(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配备偏心距3mm和6mm的磨头、软管、手刨）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红外线烤灯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移动式3kW烤灯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喷房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烤房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喷涂专用油水分离器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SATA 0/444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喷枪清洗机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SATA RCS喷枪快速清洗机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  <w:jc w:val="center"/>
        </w:trPr>
        <w:tc>
          <w:tcPr>
            <w:tcW w:w="310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压缩空气气源</w:t>
            </w:r>
          </w:p>
        </w:tc>
        <w:tc>
          <w:tcPr>
            <w:tcW w:w="61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仿宋_GB2312" w:hAnsi="仿宋_GB2312" w:eastAsia="仿宋_GB2312" w:cs="仿宋_GB2312"/>
                <w:sz w:val="21"/>
                <w:szCs w:val="21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压缩空气供气系统</w:t>
            </w:r>
            <w:r>
              <w:rPr>
                <w:rFonts w:hint="eastAsia" w:ascii="仿宋_GB2312" w:hAnsi="仿宋_GB2312" w:eastAsia="仿宋_GB2312" w:cs="仿宋_GB2312"/>
                <w:kern w:val="0"/>
                <w:sz w:val="21"/>
                <w:szCs w:val="21"/>
              </w:rPr>
              <w:t>含：压缩机、油水分离器、冷干机、储气罐</w:t>
            </w:r>
          </w:p>
        </w:tc>
      </w:tr>
    </w:tbl>
    <w:p>
      <w:pPr>
        <w:rPr>
          <w:rFonts w:hint="eastAsia" w:ascii="仿宋_GB2312" w:hAnsi="仿宋_GB2312" w:eastAsia="仿宋_GB2312" w:cs="仿宋_GB2312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altName w:val="黑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Cambria">
    <w:panose1 w:val="02040803050406030204"/>
    <w:charset w:val="00"/>
    <w:family w:val="roman"/>
    <w:pitch w:val="default"/>
    <w:sig w:usb0="E00002FF" w:usb1="4000045F" w:usb2="00000000" w:usb3="00000000" w:csb0="2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center"/>
    </w:pPr>
    <w:r>
      <w:rPr>
        <w:lang w:val="zh-CN"/>
      </w:rPr>
      <w:fldChar w:fldCharType="begin"/>
    </w:r>
    <w:r>
      <w:rPr>
        <w:lang w:val="zh-CN"/>
      </w:rPr>
      <w:instrText xml:space="preserve"> PAGE   \* MERGEFORMAT </w:instrText>
    </w:r>
    <w:r>
      <w:rPr>
        <w:lang w:val="zh-CN"/>
      </w:rPr>
      <w:fldChar w:fldCharType="separate"/>
    </w:r>
    <w:r>
      <w:rPr>
        <w:lang w:val="zh-CN"/>
      </w:rPr>
      <w:t>1</w:t>
    </w:r>
    <w:r>
      <w:rPr>
        <w:lang w:val="zh-CN"/>
      </w:rPr>
      <w:fldChar w:fldCharType="end"/>
    </w:r>
  </w:p>
  <w:p>
    <w:pPr>
      <w:pStyle w:val="10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9DEF8BC"/>
    <w:multiLevelType w:val="singleLevel"/>
    <w:tmpl w:val="B9DEF8BC"/>
    <w:lvl w:ilvl="0" w:tentative="0">
      <w:start w:val="2"/>
      <w:numFmt w:val="decimal"/>
      <w:suff w:val="nothing"/>
      <w:lvlText w:val="（%1）"/>
      <w:lvlJc w:val="left"/>
    </w:lvl>
  </w:abstractNum>
  <w:abstractNum w:abstractNumId="1">
    <w:nsid w:val="00000004"/>
    <w:multiLevelType w:val="multilevel"/>
    <w:tmpl w:val="00000004"/>
    <w:lvl w:ilvl="0" w:tentative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0000008"/>
    <w:multiLevelType w:val="multilevel"/>
    <w:tmpl w:val="00000008"/>
    <w:lvl w:ilvl="0" w:tentative="0">
      <w:start w:val="1"/>
      <w:numFmt w:val="decimal"/>
      <w:lvlText w:val="（%1）"/>
      <w:lvlJc w:val="left"/>
      <w:pPr>
        <w:ind w:left="786" w:hanging="360"/>
      </w:pPr>
      <w:rPr>
        <w:rFonts w:hint="eastAsia"/>
      </w:rPr>
    </w:lvl>
    <w:lvl w:ilvl="1" w:tentative="0">
      <w:start w:val="1"/>
      <w:numFmt w:val="lowerLetter"/>
      <w:lvlText w:val="%2."/>
      <w:lvlJc w:val="left"/>
      <w:pPr>
        <w:ind w:left="1506" w:hanging="360"/>
      </w:pPr>
    </w:lvl>
    <w:lvl w:ilvl="2" w:tentative="0">
      <w:start w:val="1"/>
      <w:numFmt w:val="lowerRoman"/>
      <w:lvlText w:val="%3."/>
      <w:lvlJc w:val="right"/>
      <w:pPr>
        <w:ind w:left="2226" w:hanging="180"/>
      </w:pPr>
    </w:lvl>
    <w:lvl w:ilvl="3" w:tentative="0">
      <w:start w:val="1"/>
      <w:numFmt w:val="decimal"/>
      <w:lvlText w:val="%4."/>
      <w:lvlJc w:val="left"/>
      <w:pPr>
        <w:ind w:left="2946" w:hanging="360"/>
      </w:pPr>
    </w:lvl>
    <w:lvl w:ilvl="4" w:tentative="0">
      <w:start w:val="1"/>
      <w:numFmt w:val="lowerLetter"/>
      <w:lvlText w:val="%5."/>
      <w:lvlJc w:val="left"/>
      <w:pPr>
        <w:ind w:left="3666" w:hanging="360"/>
      </w:pPr>
    </w:lvl>
    <w:lvl w:ilvl="5" w:tentative="0">
      <w:start w:val="1"/>
      <w:numFmt w:val="lowerRoman"/>
      <w:lvlText w:val="%6."/>
      <w:lvlJc w:val="right"/>
      <w:pPr>
        <w:ind w:left="4386" w:hanging="180"/>
      </w:pPr>
    </w:lvl>
    <w:lvl w:ilvl="6" w:tentative="0">
      <w:start w:val="1"/>
      <w:numFmt w:val="decimal"/>
      <w:lvlText w:val="%7."/>
      <w:lvlJc w:val="left"/>
      <w:pPr>
        <w:ind w:left="5106" w:hanging="360"/>
      </w:pPr>
    </w:lvl>
    <w:lvl w:ilvl="7" w:tentative="0">
      <w:start w:val="1"/>
      <w:numFmt w:val="lowerLetter"/>
      <w:lvlText w:val="%8."/>
      <w:lvlJc w:val="left"/>
      <w:pPr>
        <w:ind w:left="5826" w:hanging="360"/>
      </w:pPr>
    </w:lvl>
    <w:lvl w:ilvl="8" w:tentative="0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00000009"/>
    <w:multiLevelType w:val="multilevel"/>
    <w:tmpl w:val="00000009"/>
    <w:lvl w:ilvl="0" w:tentative="0">
      <w:start w:val="1"/>
      <w:numFmt w:val="decimal"/>
      <w:lvlText w:val="（%1）"/>
      <w:lvlJc w:val="left"/>
      <w:pPr>
        <w:ind w:left="786" w:hanging="360"/>
      </w:pPr>
      <w:rPr>
        <w:rFonts w:hint="eastAsia"/>
      </w:rPr>
    </w:lvl>
    <w:lvl w:ilvl="1" w:tentative="0">
      <w:start w:val="1"/>
      <w:numFmt w:val="lowerLetter"/>
      <w:lvlText w:val="%2."/>
      <w:lvlJc w:val="left"/>
      <w:pPr>
        <w:ind w:left="1506" w:hanging="360"/>
      </w:pPr>
    </w:lvl>
    <w:lvl w:ilvl="2" w:tentative="0">
      <w:start w:val="1"/>
      <w:numFmt w:val="lowerRoman"/>
      <w:lvlText w:val="%3."/>
      <w:lvlJc w:val="right"/>
      <w:pPr>
        <w:ind w:left="2226" w:hanging="180"/>
      </w:pPr>
    </w:lvl>
    <w:lvl w:ilvl="3" w:tentative="0">
      <w:start w:val="1"/>
      <w:numFmt w:val="decimal"/>
      <w:lvlText w:val="%4."/>
      <w:lvlJc w:val="left"/>
      <w:pPr>
        <w:ind w:left="2946" w:hanging="360"/>
      </w:pPr>
    </w:lvl>
    <w:lvl w:ilvl="4" w:tentative="0">
      <w:start w:val="1"/>
      <w:numFmt w:val="lowerLetter"/>
      <w:lvlText w:val="%5."/>
      <w:lvlJc w:val="left"/>
      <w:pPr>
        <w:ind w:left="3666" w:hanging="360"/>
      </w:pPr>
    </w:lvl>
    <w:lvl w:ilvl="5" w:tentative="0">
      <w:start w:val="1"/>
      <w:numFmt w:val="lowerRoman"/>
      <w:lvlText w:val="%6."/>
      <w:lvlJc w:val="right"/>
      <w:pPr>
        <w:ind w:left="4386" w:hanging="180"/>
      </w:pPr>
    </w:lvl>
    <w:lvl w:ilvl="6" w:tentative="0">
      <w:start w:val="1"/>
      <w:numFmt w:val="decimal"/>
      <w:lvlText w:val="%7."/>
      <w:lvlJc w:val="left"/>
      <w:pPr>
        <w:ind w:left="5106" w:hanging="360"/>
      </w:pPr>
    </w:lvl>
    <w:lvl w:ilvl="7" w:tentative="0">
      <w:start w:val="1"/>
      <w:numFmt w:val="lowerLetter"/>
      <w:lvlText w:val="%8."/>
      <w:lvlJc w:val="left"/>
      <w:pPr>
        <w:ind w:left="5826" w:hanging="360"/>
      </w:pPr>
    </w:lvl>
    <w:lvl w:ilvl="8" w:tentative="0">
      <w:start w:val="1"/>
      <w:numFmt w:val="lowerRoman"/>
      <w:lvlText w:val="%9."/>
      <w:lvlJc w:val="right"/>
      <w:pPr>
        <w:ind w:left="6546" w:hanging="180"/>
      </w:pPr>
    </w:lvl>
  </w:abstractNum>
  <w:abstractNum w:abstractNumId="4">
    <w:nsid w:val="18A34B49"/>
    <w:multiLevelType w:val="multilevel"/>
    <w:tmpl w:val="18A34B49"/>
    <w:lvl w:ilvl="0" w:tentative="0">
      <w:start w:val="1"/>
      <w:numFmt w:val="decimalEnclosedCircle"/>
      <w:lvlText w:val="%1"/>
      <w:lvlJc w:val="left"/>
      <w:pPr>
        <w:ind w:left="1275" w:hanging="720"/>
      </w:pPr>
      <w:rPr>
        <w:rFonts w:hint="default"/>
        <w:color w:val="000000"/>
      </w:rPr>
    </w:lvl>
    <w:lvl w:ilvl="1" w:tentative="0">
      <w:start w:val="1"/>
      <w:numFmt w:val="lowerLetter"/>
      <w:lvlText w:val="%2)"/>
      <w:lvlJc w:val="left"/>
      <w:pPr>
        <w:ind w:left="1395" w:hanging="420"/>
      </w:pPr>
    </w:lvl>
    <w:lvl w:ilvl="2" w:tentative="0">
      <w:start w:val="1"/>
      <w:numFmt w:val="lowerRoman"/>
      <w:lvlText w:val="%3."/>
      <w:lvlJc w:val="right"/>
      <w:pPr>
        <w:ind w:left="1815" w:hanging="420"/>
      </w:pPr>
    </w:lvl>
    <w:lvl w:ilvl="3" w:tentative="0">
      <w:start w:val="1"/>
      <w:numFmt w:val="decimal"/>
      <w:lvlText w:val="%4."/>
      <w:lvlJc w:val="left"/>
      <w:pPr>
        <w:ind w:left="2235" w:hanging="420"/>
      </w:pPr>
    </w:lvl>
    <w:lvl w:ilvl="4" w:tentative="0">
      <w:start w:val="1"/>
      <w:numFmt w:val="lowerLetter"/>
      <w:lvlText w:val="%5)"/>
      <w:lvlJc w:val="left"/>
      <w:pPr>
        <w:ind w:left="2655" w:hanging="420"/>
      </w:pPr>
    </w:lvl>
    <w:lvl w:ilvl="5" w:tentative="0">
      <w:start w:val="1"/>
      <w:numFmt w:val="lowerRoman"/>
      <w:lvlText w:val="%6."/>
      <w:lvlJc w:val="right"/>
      <w:pPr>
        <w:ind w:left="3075" w:hanging="420"/>
      </w:pPr>
    </w:lvl>
    <w:lvl w:ilvl="6" w:tentative="0">
      <w:start w:val="1"/>
      <w:numFmt w:val="decimal"/>
      <w:lvlText w:val="%7."/>
      <w:lvlJc w:val="left"/>
      <w:pPr>
        <w:ind w:left="3495" w:hanging="420"/>
      </w:pPr>
    </w:lvl>
    <w:lvl w:ilvl="7" w:tentative="0">
      <w:start w:val="1"/>
      <w:numFmt w:val="lowerLetter"/>
      <w:lvlText w:val="%8)"/>
      <w:lvlJc w:val="left"/>
      <w:pPr>
        <w:ind w:left="3915" w:hanging="420"/>
      </w:pPr>
    </w:lvl>
    <w:lvl w:ilvl="8" w:tentative="0">
      <w:start w:val="1"/>
      <w:numFmt w:val="lowerRoman"/>
      <w:lvlText w:val="%9."/>
      <w:lvlJc w:val="right"/>
      <w:pPr>
        <w:ind w:left="4335" w:hanging="420"/>
      </w:pPr>
    </w:lvl>
  </w:abstractNum>
  <w:abstractNum w:abstractNumId="5">
    <w:nsid w:val="20D369A8"/>
    <w:multiLevelType w:val="multilevel"/>
    <w:tmpl w:val="20D369A8"/>
    <w:lvl w:ilvl="0" w:tentative="0">
      <w:start w:val="1"/>
      <w:numFmt w:val="decimal"/>
      <w:lvlText w:val="（%1）"/>
      <w:lvlJc w:val="left"/>
      <w:pPr>
        <w:ind w:left="780" w:hanging="360"/>
      </w:pPr>
      <w:rPr>
        <w:rFonts w:hint="eastAsia"/>
      </w:rPr>
    </w:lvl>
    <w:lvl w:ilvl="1" w:tentative="0">
      <w:start w:val="1"/>
      <w:numFmt w:val="lowerLetter"/>
      <w:lvlText w:val="%2."/>
      <w:lvlJc w:val="left"/>
      <w:pPr>
        <w:ind w:left="1500" w:hanging="360"/>
      </w:pPr>
    </w:lvl>
    <w:lvl w:ilvl="2" w:tentative="0">
      <w:start w:val="1"/>
      <w:numFmt w:val="lowerRoman"/>
      <w:lvlText w:val="%3."/>
      <w:lvlJc w:val="right"/>
      <w:pPr>
        <w:ind w:left="2220" w:hanging="180"/>
      </w:pPr>
    </w:lvl>
    <w:lvl w:ilvl="3" w:tentative="0">
      <w:start w:val="1"/>
      <w:numFmt w:val="decimal"/>
      <w:lvlText w:val="%4."/>
      <w:lvlJc w:val="left"/>
      <w:pPr>
        <w:ind w:left="2940" w:hanging="360"/>
      </w:pPr>
    </w:lvl>
    <w:lvl w:ilvl="4" w:tentative="0">
      <w:start w:val="1"/>
      <w:numFmt w:val="lowerLetter"/>
      <w:lvlText w:val="%5."/>
      <w:lvlJc w:val="left"/>
      <w:pPr>
        <w:ind w:left="3660" w:hanging="360"/>
      </w:pPr>
    </w:lvl>
    <w:lvl w:ilvl="5" w:tentative="0">
      <w:start w:val="1"/>
      <w:numFmt w:val="lowerRoman"/>
      <w:lvlText w:val="%6."/>
      <w:lvlJc w:val="right"/>
      <w:pPr>
        <w:ind w:left="4380" w:hanging="180"/>
      </w:pPr>
    </w:lvl>
    <w:lvl w:ilvl="6" w:tentative="0">
      <w:start w:val="1"/>
      <w:numFmt w:val="decimal"/>
      <w:lvlText w:val="%7."/>
      <w:lvlJc w:val="left"/>
      <w:pPr>
        <w:ind w:left="5100" w:hanging="360"/>
      </w:pPr>
    </w:lvl>
    <w:lvl w:ilvl="7" w:tentative="0">
      <w:start w:val="1"/>
      <w:numFmt w:val="lowerLetter"/>
      <w:lvlText w:val="%8."/>
      <w:lvlJc w:val="left"/>
      <w:pPr>
        <w:ind w:left="5820" w:hanging="360"/>
      </w:pPr>
    </w:lvl>
    <w:lvl w:ilvl="8" w:tentative="0">
      <w:start w:val="1"/>
      <w:numFmt w:val="lowerRoman"/>
      <w:lvlText w:val="%9."/>
      <w:lvlJc w:val="right"/>
      <w:pPr>
        <w:ind w:left="6540" w:hanging="180"/>
      </w:pPr>
    </w:lvl>
  </w:abstractNum>
  <w:abstractNum w:abstractNumId="6">
    <w:nsid w:val="64962678"/>
    <w:multiLevelType w:val="multilevel"/>
    <w:tmpl w:val="64962678"/>
    <w:lvl w:ilvl="0" w:tentative="0">
      <w:start w:val="1"/>
      <w:numFmt w:val="decimal"/>
      <w:lvlText w:val="（%1）"/>
      <w:lvlJc w:val="left"/>
      <w:pPr>
        <w:ind w:left="96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080" w:hanging="420"/>
      </w:pPr>
    </w:lvl>
    <w:lvl w:ilvl="2" w:tentative="0">
      <w:start w:val="1"/>
      <w:numFmt w:val="lowerRoman"/>
      <w:lvlText w:val="%3."/>
      <w:lvlJc w:val="right"/>
      <w:pPr>
        <w:ind w:left="1500" w:hanging="420"/>
      </w:pPr>
    </w:lvl>
    <w:lvl w:ilvl="3" w:tentative="0">
      <w:start w:val="1"/>
      <w:numFmt w:val="decimal"/>
      <w:lvlText w:val="%4."/>
      <w:lvlJc w:val="left"/>
      <w:pPr>
        <w:ind w:left="1920" w:hanging="420"/>
      </w:pPr>
    </w:lvl>
    <w:lvl w:ilvl="4" w:tentative="0">
      <w:start w:val="1"/>
      <w:numFmt w:val="lowerLetter"/>
      <w:lvlText w:val="%5)"/>
      <w:lvlJc w:val="left"/>
      <w:pPr>
        <w:ind w:left="2340" w:hanging="420"/>
      </w:pPr>
    </w:lvl>
    <w:lvl w:ilvl="5" w:tentative="0">
      <w:start w:val="1"/>
      <w:numFmt w:val="lowerRoman"/>
      <w:lvlText w:val="%6."/>
      <w:lvlJc w:val="right"/>
      <w:pPr>
        <w:ind w:left="2760" w:hanging="420"/>
      </w:pPr>
    </w:lvl>
    <w:lvl w:ilvl="6" w:tentative="0">
      <w:start w:val="1"/>
      <w:numFmt w:val="decimal"/>
      <w:lvlText w:val="%7."/>
      <w:lvlJc w:val="left"/>
      <w:pPr>
        <w:ind w:left="3180" w:hanging="420"/>
      </w:pPr>
    </w:lvl>
    <w:lvl w:ilvl="7" w:tentative="0">
      <w:start w:val="1"/>
      <w:numFmt w:val="lowerLetter"/>
      <w:lvlText w:val="%8)"/>
      <w:lvlJc w:val="left"/>
      <w:pPr>
        <w:ind w:left="3600" w:hanging="420"/>
      </w:pPr>
    </w:lvl>
    <w:lvl w:ilvl="8" w:tentative="0">
      <w:start w:val="1"/>
      <w:numFmt w:val="lowerRoman"/>
      <w:lvlText w:val="%9."/>
      <w:lvlJc w:val="right"/>
      <w:pPr>
        <w:ind w:left="4020" w:hanging="420"/>
      </w:pPr>
    </w:lvl>
  </w:abstractNum>
  <w:abstractNum w:abstractNumId="7">
    <w:nsid w:val="7DCB258B"/>
    <w:multiLevelType w:val="multilevel"/>
    <w:tmpl w:val="7DCB258B"/>
    <w:lvl w:ilvl="0" w:tentative="0">
      <w:start w:val="1"/>
      <w:numFmt w:val="decimalEnclosedCircle"/>
      <w:lvlText w:val="%1"/>
      <w:lvlJc w:val="left"/>
      <w:pPr>
        <w:ind w:left="128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00" w:hanging="420"/>
      </w:pPr>
    </w:lvl>
    <w:lvl w:ilvl="2" w:tentative="0">
      <w:start w:val="1"/>
      <w:numFmt w:val="lowerRoman"/>
      <w:lvlText w:val="%3."/>
      <w:lvlJc w:val="right"/>
      <w:pPr>
        <w:ind w:left="1820" w:hanging="420"/>
      </w:pPr>
    </w:lvl>
    <w:lvl w:ilvl="3" w:tentative="0">
      <w:start w:val="1"/>
      <w:numFmt w:val="decimal"/>
      <w:lvlText w:val="%4."/>
      <w:lvlJc w:val="left"/>
      <w:pPr>
        <w:ind w:left="2240" w:hanging="420"/>
      </w:pPr>
    </w:lvl>
    <w:lvl w:ilvl="4" w:tentative="0">
      <w:start w:val="1"/>
      <w:numFmt w:val="lowerLetter"/>
      <w:lvlText w:val="%5)"/>
      <w:lvlJc w:val="left"/>
      <w:pPr>
        <w:ind w:left="2660" w:hanging="420"/>
      </w:pPr>
    </w:lvl>
    <w:lvl w:ilvl="5" w:tentative="0">
      <w:start w:val="1"/>
      <w:numFmt w:val="lowerRoman"/>
      <w:lvlText w:val="%6."/>
      <w:lvlJc w:val="right"/>
      <w:pPr>
        <w:ind w:left="3080" w:hanging="420"/>
      </w:pPr>
    </w:lvl>
    <w:lvl w:ilvl="6" w:tentative="0">
      <w:start w:val="1"/>
      <w:numFmt w:val="decimal"/>
      <w:lvlText w:val="%7."/>
      <w:lvlJc w:val="left"/>
      <w:pPr>
        <w:ind w:left="3500" w:hanging="420"/>
      </w:pPr>
    </w:lvl>
    <w:lvl w:ilvl="7" w:tentative="0">
      <w:start w:val="1"/>
      <w:numFmt w:val="lowerLetter"/>
      <w:lvlText w:val="%8)"/>
      <w:lvlJc w:val="left"/>
      <w:pPr>
        <w:ind w:left="3920" w:hanging="420"/>
      </w:pPr>
    </w:lvl>
    <w:lvl w:ilvl="8" w:tentative="0">
      <w:start w:val="1"/>
      <w:numFmt w:val="lowerRoman"/>
      <w:lvlText w:val="%9."/>
      <w:lvlJc w:val="right"/>
      <w:pPr>
        <w:ind w:left="4340" w:hanging="420"/>
      </w:pPr>
    </w:lvl>
  </w:abstractNum>
  <w:num w:numId="1">
    <w:abstractNumId w:val="4"/>
  </w:num>
  <w:num w:numId="2">
    <w:abstractNumId w:val="7"/>
  </w:num>
  <w:num w:numId="3">
    <w:abstractNumId w:val="6"/>
  </w:num>
  <w:num w:numId="4">
    <w:abstractNumId w:val="1"/>
  </w:num>
  <w:num w:numId="5">
    <w:abstractNumId w:val="5"/>
  </w:num>
  <w:num w:numId="6">
    <w:abstractNumId w:val="3"/>
  </w:num>
  <w:num w:numId="7">
    <w:abstractNumId w:val="0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true"/>
  <w:bordersDoNotSurroundFooter w:val="true"/>
  <w:documentProtection w:enforcement="0"/>
  <w:defaultTabStop w:val="420"/>
  <w:drawingGridHorizontalSpacing w:val="0"/>
  <w:drawingGridVerticalSpacing w:val="156"/>
  <w:noPunctuationKerning w:val="true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FkYTFkOGQ3MjE1MzhkODViZWM0ZDhkMDkzZmViNjcifQ=="/>
  </w:docVars>
  <w:rsids>
    <w:rsidRoot w:val="00F258E4"/>
    <w:rsid w:val="0002459D"/>
    <w:rsid w:val="00036857"/>
    <w:rsid w:val="00072516"/>
    <w:rsid w:val="00087B34"/>
    <w:rsid w:val="000A3E2F"/>
    <w:rsid w:val="000B6580"/>
    <w:rsid w:val="001674BE"/>
    <w:rsid w:val="001763AC"/>
    <w:rsid w:val="001F3028"/>
    <w:rsid w:val="00294BC9"/>
    <w:rsid w:val="00361EF2"/>
    <w:rsid w:val="003C42EA"/>
    <w:rsid w:val="003F0E81"/>
    <w:rsid w:val="00455DF6"/>
    <w:rsid w:val="00491A7F"/>
    <w:rsid w:val="004A65E2"/>
    <w:rsid w:val="004B0BFC"/>
    <w:rsid w:val="00556F90"/>
    <w:rsid w:val="00560872"/>
    <w:rsid w:val="0058119C"/>
    <w:rsid w:val="005A2471"/>
    <w:rsid w:val="005C1CCF"/>
    <w:rsid w:val="005E6537"/>
    <w:rsid w:val="00634000"/>
    <w:rsid w:val="0065229D"/>
    <w:rsid w:val="00690583"/>
    <w:rsid w:val="006B7555"/>
    <w:rsid w:val="00730111"/>
    <w:rsid w:val="007F19B1"/>
    <w:rsid w:val="007F595A"/>
    <w:rsid w:val="007F60E4"/>
    <w:rsid w:val="007F7E64"/>
    <w:rsid w:val="008E317C"/>
    <w:rsid w:val="00941F5A"/>
    <w:rsid w:val="009F036A"/>
    <w:rsid w:val="009F3CA1"/>
    <w:rsid w:val="00A546AE"/>
    <w:rsid w:val="00AC3D5F"/>
    <w:rsid w:val="00AE546D"/>
    <w:rsid w:val="00BB138A"/>
    <w:rsid w:val="00C66376"/>
    <w:rsid w:val="00CA07DE"/>
    <w:rsid w:val="00CC6889"/>
    <w:rsid w:val="00CF0228"/>
    <w:rsid w:val="00D74ACD"/>
    <w:rsid w:val="00DC1E6E"/>
    <w:rsid w:val="00E54443"/>
    <w:rsid w:val="00E628F6"/>
    <w:rsid w:val="00E70168"/>
    <w:rsid w:val="00EA7F4E"/>
    <w:rsid w:val="00F07033"/>
    <w:rsid w:val="00F258E4"/>
    <w:rsid w:val="00F6123C"/>
    <w:rsid w:val="00F925A0"/>
    <w:rsid w:val="04991373"/>
    <w:rsid w:val="04DA1733"/>
    <w:rsid w:val="06C2102F"/>
    <w:rsid w:val="15DC05DE"/>
    <w:rsid w:val="1B203464"/>
    <w:rsid w:val="1F4D3D4E"/>
    <w:rsid w:val="25817046"/>
    <w:rsid w:val="2B9938A7"/>
    <w:rsid w:val="2F1B458E"/>
    <w:rsid w:val="2FBA03A4"/>
    <w:rsid w:val="3267672B"/>
    <w:rsid w:val="32694613"/>
    <w:rsid w:val="370B39C1"/>
    <w:rsid w:val="3B20622B"/>
    <w:rsid w:val="40745E38"/>
    <w:rsid w:val="41C30637"/>
    <w:rsid w:val="420324D5"/>
    <w:rsid w:val="42520BB1"/>
    <w:rsid w:val="456D0A1C"/>
    <w:rsid w:val="483A5750"/>
    <w:rsid w:val="48B672E5"/>
    <w:rsid w:val="4CDE65E0"/>
    <w:rsid w:val="4D132DE4"/>
    <w:rsid w:val="516A11E8"/>
    <w:rsid w:val="55183B6A"/>
    <w:rsid w:val="57F505AB"/>
    <w:rsid w:val="5BFCEEF7"/>
    <w:rsid w:val="5DA36273"/>
    <w:rsid w:val="609355AC"/>
    <w:rsid w:val="641920C5"/>
    <w:rsid w:val="65DD434D"/>
    <w:rsid w:val="6C4C58BD"/>
    <w:rsid w:val="6C9E6782"/>
    <w:rsid w:val="6EE2270E"/>
    <w:rsid w:val="7271216C"/>
    <w:rsid w:val="72B35399"/>
    <w:rsid w:val="73742472"/>
    <w:rsid w:val="7DAA6370"/>
    <w:rsid w:val="D877A3A1"/>
    <w:rsid w:val="DAF72419"/>
    <w:rsid w:val="EC7A221C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1" w:semiHidden="0" w:name="heading 2"/>
    <w:lsdException w:qFormat="1" w:unhideWhenUsed="0" w:uiPriority="0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nhideWhenUsed="0" w:uiPriority="99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spacing w:before="100" w:beforeAutospacing="1" w:after="100" w:afterAutospacing="1"/>
      <w:jc w:val="left"/>
      <w:outlineLvl w:val="0"/>
    </w:pPr>
    <w:rPr>
      <w:rFonts w:hint="eastAsia" w:ascii="宋体" w:hAnsi="宋体"/>
      <w:b/>
      <w:kern w:val="44"/>
      <w:sz w:val="48"/>
      <w:szCs w:val="48"/>
    </w:rPr>
  </w:style>
  <w:style w:type="paragraph" w:styleId="3">
    <w:name w:val="heading 2"/>
    <w:basedOn w:val="1"/>
    <w:next w:val="1"/>
    <w:qFormat/>
    <w:uiPriority w:val="1"/>
    <w:pPr>
      <w:ind w:left="422"/>
      <w:outlineLvl w:val="1"/>
    </w:pPr>
    <w:rPr>
      <w:rFonts w:ascii="仿宋" w:hAnsi="仿宋" w:eastAsia="仿宋" w:cs="仿宋"/>
      <w:b/>
      <w:bCs/>
      <w:sz w:val="30"/>
      <w:szCs w:val="30"/>
      <w:lang w:val="zh-CN" w:bidi="zh-CN"/>
    </w:rPr>
  </w:style>
  <w:style w:type="paragraph" w:styleId="4">
    <w:name w:val="heading 3"/>
    <w:basedOn w:val="1"/>
    <w:next w:val="1"/>
    <w:link w:val="32"/>
    <w:qFormat/>
    <w:uiPriority w:val="0"/>
    <w:pPr>
      <w:keepNext/>
      <w:keepLines/>
      <w:spacing w:before="260" w:after="260" w:line="413" w:lineRule="auto"/>
      <w:outlineLvl w:val="2"/>
    </w:pPr>
    <w:rPr>
      <w:b/>
      <w:bCs/>
      <w:sz w:val="32"/>
      <w:szCs w:val="32"/>
    </w:rPr>
  </w:style>
  <w:style w:type="character" w:default="1" w:styleId="17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link w:val="24"/>
    <w:qFormat/>
    <w:uiPriority w:val="99"/>
    <w:pPr>
      <w:widowControl/>
      <w:adjustRightInd w:val="0"/>
      <w:snapToGrid w:val="0"/>
      <w:spacing w:after="200"/>
      <w:jc w:val="left"/>
    </w:pPr>
    <w:rPr>
      <w:rFonts w:ascii="Tahoma" w:hAnsi="Tahoma" w:eastAsia="微软雅黑"/>
      <w:kern w:val="0"/>
      <w:sz w:val="22"/>
      <w:szCs w:val="20"/>
    </w:rPr>
  </w:style>
  <w:style w:type="paragraph" w:styleId="6">
    <w:name w:val="Body Text"/>
    <w:basedOn w:val="1"/>
    <w:link w:val="40"/>
    <w:qFormat/>
    <w:uiPriority w:val="0"/>
    <w:pPr>
      <w:spacing w:after="120"/>
    </w:pPr>
    <w:rPr>
      <w:szCs w:val="24"/>
    </w:rPr>
  </w:style>
  <w:style w:type="paragraph" w:styleId="7">
    <w:name w:val="Body Text Indent"/>
    <w:basedOn w:val="1"/>
    <w:link w:val="37"/>
    <w:qFormat/>
    <w:uiPriority w:val="0"/>
    <w:pPr>
      <w:ind w:left="640"/>
    </w:pPr>
    <w:rPr>
      <w:rFonts w:ascii="仿宋_GB2312" w:eastAsia="仿宋_GB2312"/>
      <w:sz w:val="32"/>
      <w:szCs w:val="24"/>
    </w:rPr>
  </w:style>
  <w:style w:type="paragraph" w:styleId="8">
    <w:name w:val="Plain Text"/>
    <w:basedOn w:val="1"/>
    <w:link w:val="35"/>
    <w:qFormat/>
    <w:uiPriority w:val="0"/>
    <w:rPr>
      <w:rFonts w:ascii="宋体" w:hAnsi="Courier New"/>
      <w:szCs w:val="20"/>
    </w:rPr>
  </w:style>
  <w:style w:type="paragraph" w:styleId="9">
    <w:name w:val="Balloon Text"/>
    <w:basedOn w:val="1"/>
    <w:link w:val="22"/>
    <w:qFormat/>
    <w:uiPriority w:val="0"/>
    <w:pPr>
      <w:widowControl/>
      <w:adjustRightInd w:val="0"/>
      <w:snapToGrid w:val="0"/>
      <w:jc w:val="left"/>
    </w:pPr>
    <w:rPr>
      <w:rFonts w:ascii="Tahoma" w:hAnsi="Tahoma" w:eastAsia="微软雅黑"/>
      <w:kern w:val="0"/>
      <w:sz w:val="18"/>
      <w:szCs w:val="18"/>
    </w:rPr>
  </w:style>
  <w:style w:type="paragraph" w:styleId="10">
    <w:name w:val="footer"/>
    <w:basedOn w:val="1"/>
    <w:link w:val="25"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11">
    <w:name w:val="header"/>
    <w:basedOn w:val="1"/>
    <w:link w:val="23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12">
    <w:name w:val="HTML Preformatted"/>
    <w:basedOn w:val="1"/>
    <w:link w:val="26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/>
      <w:kern w:val="0"/>
      <w:sz w:val="24"/>
      <w:szCs w:val="24"/>
    </w:rPr>
  </w:style>
  <w:style w:type="paragraph" w:styleId="13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14">
    <w:name w:val="Title"/>
    <w:basedOn w:val="1"/>
    <w:next w:val="1"/>
    <w:link w:val="42"/>
    <w:qFormat/>
    <w:uiPriority w:val="10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table" w:styleId="16">
    <w:name w:val="Table Grid"/>
    <w:basedOn w:val="15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8">
    <w:name w:val="Strong"/>
    <w:qFormat/>
    <w:uiPriority w:val="0"/>
    <w:rPr>
      <w:b/>
      <w:bCs/>
    </w:rPr>
  </w:style>
  <w:style w:type="character" w:styleId="19">
    <w:name w:val="page number"/>
    <w:basedOn w:val="17"/>
    <w:qFormat/>
    <w:uiPriority w:val="0"/>
  </w:style>
  <w:style w:type="character" w:styleId="20">
    <w:name w:val="Hyperlink"/>
    <w:qFormat/>
    <w:uiPriority w:val="99"/>
    <w:rPr>
      <w:color w:val="auto"/>
      <w:u w:val="none"/>
    </w:rPr>
  </w:style>
  <w:style w:type="character" w:customStyle="1" w:styleId="21">
    <w:name w:val="批注文字 Char1"/>
    <w:qFormat/>
    <w:uiPriority w:val="99"/>
    <w:rPr>
      <w:rFonts w:ascii="Calibri" w:hAnsi="Calibri" w:eastAsia="宋体" w:cs="Times New Roman"/>
    </w:rPr>
  </w:style>
  <w:style w:type="character" w:customStyle="1" w:styleId="22">
    <w:name w:val="批注框文本 Char"/>
    <w:link w:val="9"/>
    <w:qFormat/>
    <w:uiPriority w:val="0"/>
    <w:rPr>
      <w:rFonts w:ascii="Tahoma" w:hAnsi="Tahoma" w:eastAsia="微软雅黑" w:cs="Tahoma"/>
      <w:kern w:val="0"/>
      <w:sz w:val="18"/>
      <w:szCs w:val="18"/>
    </w:rPr>
  </w:style>
  <w:style w:type="character" w:customStyle="1" w:styleId="23">
    <w:name w:val="页眉 Char"/>
    <w:link w:val="11"/>
    <w:qFormat/>
    <w:uiPriority w:val="0"/>
    <w:rPr>
      <w:sz w:val="18"/>
      <w:szCs w:val="18"/>
    </w:rPr>
  </w:style>
  <w:style w:type="character" w:customStyle="1" w:styleId="24">
    <w:name w:val="批注文字 Char"/>
    <w:link w:val="5"/>
    <w:qFormat/>
    <w:uiPriority w:val="99"/>
    <w:rPr>
      <w:rFonts w:ascii="Tahoma" w:hAnsi="Tahoma" w:eastAsia="微软雅黑" w:cs="Tahoma"/>
      <w:kern w:val="0"/>
      <w:sz w:val="22"/>
    </w:rPr>
  </w:style>
  <w:style w:type="character" w:customStyle="1" w:styleId="25">
    <w:name w:val="页脚 Char"/>
    <w:link w:val="10"/>
    <w:qFormat/>
    <w:uiPriority w:val="99"/>
    <w:rPr>
      <w:sz w:val="18"/>
      <w:szCs w:val="18"/>
    </w:rPr>
  </w:style>
  <w:style w:type="character" w:customStyle="1" w:styleId="26">
    <w:name w:val="HTML 预设格式 Char"/>
    <w:link w:val="12"/>
    <w:qFormat/>
    <w:uiPriority w:val="99"/>
    <w:rPr>
      <w:rFonts w:ascii="Arial" w:hAnsi="Arial" w:eastAsia="宋体" w:cs="Arial"/>
      <w:kern w:val="0"/>
      <w:sz w:val="24"/>
      <w:szCs w:val="24"/>
    </w:rPr>
  </w:style>
  <w:style w:type="character" w:customStyle="1" w:styleId="27">
    <w:name w:val="批注框文本 Char1"/>
    <w:qFormat/>
    <w:uiPriority w:val="99"/>
    <w:rPr>
      <w:rFonts w:ascii="Calibri" w:hAnsi="Calibri" w:eastAsia="宋体" w:cs="Times New Roman"/>
      <w:sz w:val="18"/>
      <w:szCs w:val="18"/>
    </w:rPr>
  </w:style>
  <w:style w:type="paragraph" w:styleId="28">
    <w:name w:val="No Spacing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9">
    <w:name w:val="List Paragraph"/>
    <w:basedOn w:val="1"/>
    <w:qFormat/>
    <w:uiPriority w:val="99"/>
    <w:pPr>
      <w:ind w:firstLine="420" w:firstLineChars="200"/>
    </w:pPr>
  </w:style>
  <w:style w:type="paragraph" w:customStyle="1" w:styleId="30">
    <w:name w:val="正文2"/>
    <w:basedOn w:val="1"/>
    <w:qFormat/>
    <w:uiPriority w:val="0"/>
    <w:rPr>
      <w:spacing w:val="20"/>
      <w:sz w:val="24"/>
      <w:szCs w:val="20"/>
    </w:rPr>
  </w:style>
  <w:style w:type="paragraph" w:customStyle="1" w:styleId="31">
    <w:name w:val="正文 New New New New New"/>
    <w:qFormat/>
    <w:uiPriority w:val="0"/>
    <w:pPr>
      <w:widowControl w:val="0"/>
      <w:jc w:val="both"/>
    </w:pPr>
    <w:rPr>
      <w:rFonts w:ascii="Times New Roman" w:hAnsi="Times New Roman" w:eastAsia="仿宋_GB2312" w:cs="Times New Roman"/>
      <w:color w:val="000000"/>
      <w:kern w:val="2"/>
      <w:sz w:val="32"/>
      <w:szCs w:val="21"/>
      <w:lang w:val="en-US" w:eastAsia="zh-CN" w:bidi="ar-SA"/>
    </w:rPr>
  </w:style>
  <w:style w:type="character" w:customStyle="1" w:styleId="32">
    <w:name w:val="标题 3 Char"/>
    <w:basedOn w:val="17"/>
    <w:link w:val="4"/>
    <w:qFormat/>
    <w:uiPriority w:val="0"/>
    <w:rPr>
      <w:b/>
      <w:bCs/>
      <w:kern w:val="2"/>
      <w:sz w:val="32"/>
      <w:szCs w:val="32"/>
    </w:rPr>
  </w:style>
  <w:style w:type="character" w:customStyle="1" w:styleId="33">
    <w:name w:val="font81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paragraph" w:customStyle="1" w:styleId="34">
    <w:name w:val="样式1"/>
    <w:basedOn w:val="11"/>
    <w:qFormat/>
    <w:uiPriority w:val="0"/>
    <w:pPr>
      <w:pBdr>
        <w:bottom w:val="none" w:color="auto" w:sz="0" w:space="0"/>
      </w:pBdr>
    </w:pPr>
    <w:rPr>
      <w:kern w:val="2"/>
    </w:rPr>
  </w:style>
  <w:style w:type="character" w:customStyle="1" w:styleId="35">
    <w:name w:val="纯文本 Char"/>
    <w:basedOn w:val="17"/>
    <w:link w:val="8"/>
    <w:qFormat/>
    <w:uiPriority w:val="0"/>
    <w:rPr>
      <w:rFonts w:ascii="宋体" w:hAnsi="Courier New"/>
      <w:kern w:val="2"/>
      <w:sz w:val="21"/>
    </w:rPr>
  </w:style>
  <w:style w:type="paragraph" w:customStyle="1" w:styleId="36">
    <w:name w:val="List Paragraph1"/>
    <w:basedOn w:val="1"/>
    <w:qFormat/>
    <w:uiPriority w:val="0"/>
    <w:pPr>
      <w:ind w:firstLine="420" w:firstLineChars="200"/>
    </w:pPr>
    <w:rPr>
      <w:rFonts w:ascii="Calibri" w:hAnsi="Calibri"/>
    </w:rPr>
  </w:style>
  <w:style w:type="character" w:customStyle="1" w:styleId="37">
    <w:name w:val="正文文本缩进 Char"/>
    <w:basedOn w:val="17"/>
    <w:link w:val="7"/>
    <w:qFormat/>
    <w:uiPriority w:val="0"/>
    <w:rPr>
      <w:rFonts w:ascii="仿宋_GB2312" w:eastAsia="仿宋_GB2312"/>
      <w:kern w:val="2"/>
      <w:sz w:val="32"/>
      <w:szCs w:val="24"/>
    </w:rPr>
  </w:style>
  <w:style w:type="paragraph" w:customStyle="1" w:styleId="38">
    <w:name w:val="Char Char"/>
    <w:basedOn w:val="1"/>
    <w:qFormat/>
    <w:uiPriority w:val="0"/>
    <w:pPr>
      <w:widowControl/>
      <w:spacing w:after="160" w:line="240" w:lineRule="exact"/>
      <w:jc w:val="left"/>
    </w:pPr>
    <w:rPr>
      <w:kern w:val="0"/>
      <w:sz w:val="20"/>
    </w:rPr>
  </w:style>
  <w:style w:type="paragraph" w:customStyle="1" w:styleId="39">
    <w:name w:val="p0"/>
    <w:basedOn w:val="1"/>
    <w:qFormat/>
    <w:uiPriority w:val="0"/>
    <w:pPr>
      <w:widowControl/>
    </w:pPr>
    <w:rPr>
      <w:kern w:val="0"/>
      <w:szCs w:val="21"/>
    </w:rPr>
  </w:style>
  <w:style w:type="character" w:customStyle="1" w:styleId="40">
    <w:name w:val="正文文本 Char"/>
    <w:basedOn w:val="17"/>
    <w:link w:val="6"/>
    <w:qFormat/>
    <w:uiPriority w:val="0"/>
    <w:rPr>
      <w:kern w:val="2"/>
      <w:sz w:val="21"/>
      <w:szCs w:val="24"/>
    </w:rPr>
  </w:style>
  <w:style w:type="paragraph" w:customStyle="1" w:styleId="41">
    <w:name w:val="表文"/>
    <w:basedOn w:val="1"/>
    <w:next w:val="1"/>
    <w:qFormat/>
    <w:uiPriority w:val="0"/>
    <w:pPr>
      <w:tabs>
        <w:tab w:val="left" w:pos="672"/>
      </w:tabs>
      <w:snapToGrid w:val="0"/>
      <w:spacing w:beforeLines="15"/>
    </w:pPr>
    <w:rPr>
      <w:rFonts w:ascii="宋体" w:hAnsi="宋体"/>
      <w:sz w:val="15"/>
      <w:szCs w:val="18"/>
    </w:rPr>
  </w:style>
  <w:style w:type="character" w:customStyle="1" w:styleId="42">
    <w:name w:val="标题 Char"/>
    <w:basedOn w:val="17"/>
    <w:link w:val="14"/>
    <w:qFormat/>
    <w:uiPriority w:val="10"/>
    <w:rPr>
      <w:rFonts w:ascii="Cambria" w:hAnsi="Cambria"/>
      <w:b/>
      <w:bCs/>
      <w:kern w:val="2"/>
      <w:sz w:val="32"/>
      <w:szCs w:val="32"/>
    </w:rPr>
  </w:style>
  <w:style w:type="character" w:customStyle="1" w:styleId="43">
    <w:name w:val="正文文本_"/>
    <w:basedOn w:val="17"/>
    <w:link w:val="44"/>
    <w:qFormat/>
    <w:uiPriority w:val="0"/>
    <w:rPr>
      <w:rFonts w:ascii="宋体" w:hAnsi="宋体" w:cs="宋体"/>
      <w:sz w:val="30"/>
      <w:szCs w:val="30"/>
    </w:rPr>
  </w:style>
  <w:style w:type="paragraph" w:customStyle="1" w:styleId="44">
    <w:name w:val="正文文本1"/>
    <w:basedOn w:val="1"/>
    <w:link w:val="43"/>
    <w:qFormat/>
    <w:uiPriority w:val="0"/>
    <w:pPr>
      <w:spacing w:line="384" w:lineRule="auto"/>
      <w:ind w:firstLine="400"/>
      <w:jc w:val="left"/>
    </w:pPr>
    <w:rPr>
      <w:rFonts w:ascii="宋体" w:hAnsi="宋体" w:cs="宋体"/>
      <w:kern w:val="0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true"/>
        </a:gradFill>
        <a:gradFill rotWithShape="true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false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true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true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12</Pages>
  <Words>4430</Words>
  <Characters>4911</Characters>
  <Lines>37</Lines>
  <Paragraphs>10</Paragraphs>
  <TotalTime>1</TotalTime>
  <ScaleCrop>false</ScaleCrop>
  <LinksUpToDate>false</LinksUpToDate>
  <CharactersWithSpaces>4959</CharactersWithSpaces>
  <Application>WPS Office_11.8.2.10587_F1E327BC-269C-435d-A152-05C5408002CA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2023-07-18T14:26:00Z</dcterms:created>
  <dc:creator>Administrator</dc:creator>
  <cp:lastModifiedBy>jyt</cp:lastModifiedBy>
  <dcterms:modified xsi:type="dcterms:W3CDTF">2025-07-03T19:11:24Z</dcterms:modified>
  <dc:title>2019年海南省家政服务职业技能大赛</dc:title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2052-11.8.2.10587</vt:lpwstr>
  </property>
  <property fmtid="{D5CDD505-2E9C-101B-9397-08002B2CF9AE}" pid="3" name="ICV">
    <vt:lpwstr>F213DB5C44B6497588E9378C6512E5E1_13</vt:lpwstr>
  </property>
  <property fmtid="{D5CDD505-2E9C-101B-9397-08002B2CF9AE}" pid="4" name="KSOTemplateDocerSaveRecord">
    <vt:lpwstr>eyJoZGlkIjoiZWJkZGRjNWJiYjQwNDZlZmIwMzQzYmE5Y2NlNjU0YmMiLCJ1c2VySWQiOiIyNjAyMzYxMDgifQ==</vt:lpwstr>
  </property>
</Properties>
</file>