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left"/>
        <w:rPr>
          <w:rFonts w:hint="eastAsia" w:ascii="黑体" w:hAnsi="黑体" w:eastAsia="黑体" w:cs="黑体"/>
          <w:color w:val="auto"/>
          <w:lang w:val="en-US" w:eastAsia="zh-CN"/>
        </w:rPr>
      </w:pPr>
      <w:r>
        <w:rPr>
          <w:rFonts w:hint="eastAsia" w:ascii="黑体" w:hAnsi="黑体" w:eastAsia="黑体" w:cs="黑体"/>
          <w:color w:val="auto"/>
        </w:rPr>
        <w:t>附件1</w:t>
      </w:r>
    </w:p>
    <w:p>
      <w:pPr>
        <w:adjustRightInd w:val="0"/>
        <w:snapToGrid w:val="0"/>
        <w:jc w:val="left"/>
        <w:rPr>
          <w:rFonts w:hint="eastAsia" w:ascii="黑体" w:hAnsi="黑体" w:eastAsia="黑体"/>
          <w:color w:val="auto"/>
        </w:rPr>
      </w:pPr>
    </w:p>
    <w:p>
      <w:pPr>
        <w:adjustRightInd w:val="0"/>
        <w:snapToGrid w:val="0"/>
        <w:spacing w:line="336" w:lineRule="auto"/>
        <w:jc w:val="center"/>
        <w:rPr>
          <w:rFonts w:hint="default" w:asciiTheme="minorAscii" w:hAnsiTheme="minorAscii"/>
          <w:color w:val="auto"/>
          <w:sz w:val="24"/>
          <w:szCs w:val="24"/>
        </w:rPr>
      </w:pPr>
      <w:r>
        <w:rPr>
          <w:rFonts w:hint="eastAsia" w:ascii="方正小标宋_GBK" w:hAnsi="方正小标宋_GBK" w:eastAsia="方正小标宋_GBK" w:cs="方正小标宋_GBK"/>
          <w:color w:val="auto"/>
          <w:kern w:val="36"/>
          <w:sz w:val="36"/>
          <w:szCs w:val="36"/>
          <w:lang w:val="en-US" w:eastAsia="zh-CN"/>
        </w:rPr>
        <w:t>海南省普通高等学校</w:t>
      </w:r>
      <w:r>
        <w:rPr>
          <w:rFonts w:hint="eastAsia" w:ascii="方正小标宋_GBK" w:hAnsi="方正小标宋_GBK" w:eastAsia="方正小标宋_GBK" w:cs="方正小标宋_GBK"/>
          <w:color w:val="auto"/>
          <w:kern w:val="36"/>
          <w:sz w:val="36"/>
          <w:szCs w:val="36"/>
        </w:rPr>
        <w:t>学士学位授予单位审核标准</w:t>
      </w:r>
    </w:p>
    <w:tbl>
      <w:tblPr>
        <w:tblStyle w:val="4"/>
        <w:tblW w:w="13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5"/>
        <w:gridCol w:w="1996"/>
        <w:gridCol w:w="8310"/>
        <w:gridCol w:w="1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655" w:type="dxa"/>
            <w:vAlign w:val="center"/>
          </w:tcPr>
          <w:p>
            <w:pPr>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一级指标</w:t>
            </w:r>
          </w:p>
        </w:tc>
        <w:tc>
          <w:tcPr>
            <w:tcW w:w="1996" w:type="dxa"/>
            <w:vAlign w:val="center"/>
          </w:tcPr>
          <w:p>
            <w:pPr>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二级指标</w:t>
            </w:r>
          </w:p>
        </w:tc>
        <w:tc>
          <w:tcPr>
            <w:tcW w:w="8310" w:type="dxa"/>
            <w:vAlign w:val="center"/>
          </w:tcPr>
          <w:p>
            <w:pPr>
              <w:jc w:val="center"/>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指标内涵及标准</w:t>
            </w:r>
          </w:p>
        </w:tc>
        <w:tc>
          <w:tcPr>
            <w:tcW w:w="1775" w:type="dxa"/>
            <w:vAlign w:val="center"/>
          </w:tcPr>
          <w:p>
            <w:pPr>
              <w:jc w:val="center"/>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3" w:hRule="atLeast"/>
          <w:jc w:val="center"/>
        </w:trPr>
        <w:tc>
          <w:tcPr>
            <w:tcW w:w="1655" w:type="dxa"/>
            <w:vMerge w:val="restar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办学方向</w:t>
            </w:r>
          </w:p>
        </w:tc>
        <w:tc>
          <w:tcPr>
            <w:tcW w:w="1996" w:type="dxa"/>
            <w:vAlign w:val="center"/>
          </w:tcPr>
          <w:p>
            <w:pPr>
              <w:jc w:val="center"/>
              <w:rPr>
                <w:rFonts w:hint="eastAsia" w:asciiTheme="minorEastAsia" w:hAnsiTheme="minorEastAsia" w:eastAsiaTheme="minorEastAsia" w:cstheme="minorEastAsia"/>
                <w:color w:val="auto"/>
                <w:spacing w:val="-2"/>
                <w:kern w:val="2"/>
                <w:sz w:val="21"/>
                <w:szCs w:val="21"/>
                <w:lang w:val="en-US" w:eastAsia="zh-CN" w:bidi="ar-SA"/>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1.1指导思想</w:t>
            </w:r>
          </w:p>
        </w:tc>
        <w:tc>
          <w:tcPr>
            <w:tcW w:w="8310" w:type="dxa"/>
            <w:vAlign w:val="center"/>
          </w:tcPr>
          <w:p>
            <w:pP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学校坚持党的全面领导，依法治教、依法办学、依法治校，围绕国家重大战略需求培养担当民族复兴大任的时代新人情况</w:t>
            </w:r>
            <w:r>
              <w:rPr>
                <w:rFonts w:hint="eastAsia" w:asciiTheme="minorEastAsia" w:hAnsiTheme="minorEastAsia" w:eastAsiaTheme="minorEastAsia" w:cstheme="minorEastAsia"/>
                <w:color w:val="auto"/>
                <w:sz w:val="21"/>
                <w:szCs w:val="21"/>
                <w:lang w:eastAsia="zh-CN"/>
              </w:rPr>
              <w:t>。</w:t>
            </w:r>
          </w:p>
          <w:p>
            <w:pPr>
              <w:rPr>
                <w:rFonts w:hint="eastAsia" w:asciiTheme="minorEastAsia" w:hAnsiTheme="minorEastAsia" w:eastAsiaTheme="minorEastAsia" w:cstheme="minorEastAsia"/>
                <w:color w:val="auto"/>
                <w:spacing w:val="-2"/>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2.</w:t>
            </w:r>
            <w:r>
              <w:rPr>
                <w:rFonts w:hint="eastAsia" w:asciiTheme="minorEastAsia" w:hAnsiTheme="minorEastAsia" w:eastAsiaTheme="minorEastAsia" w:cstheme="minorEastAsia"/>
                <w:color w:val="auto"/>
                <w:sz w:val="21"/>
                <w:szCs w:val="21"/>
              </w:rPr>
              <w:t>学校坚持社会主义办学方向、贯彻落实立德树人根本任务、</w:t>
            </w:r>
            <w:r>
              <w:rPr>
                <w:rFonts w:hint="eastAsia" w:asciiTheme="minorEastAsia" w:hAnsiTheme="minorEastAsia" w:eastAsiaTheme="minorEastAsia" w:cstheme="minorEastAsia"/>
                <w:color w:val="auto"/>
                <w:sz w:val="21"/>
                <w:szCs w:val="21"/>
                <w:lang w:val="zh-TW"/>
              </w:rPr>
              <w:t>把立德树人成效作为检验学校一切工作的根本标准</w:t>
            </w:r>
            <w:r>
              <w:rPr>
                <w:rFonts w:hint="eastAsia" w:asciiTheme="minorEastAsia" w:hAnsiTheme="minorEastAsia" w:eastAsiaTheme="minorEastAsia" w:cstheme="minorEastAsia"/>
                <w:color w:val="auto"/>
                <w:sz w:val="21"/>
                <w:szCs w:val="21"/>
              </w:rPr>
              <w:t>情况</w:t>
            </w:r>
            <w:r>
              <w:rPr>
                <w:rFonts w:hint="eastAsia" w:asciiTheme="minorEastAsia" w:hAnsiTheme="minorEastAsia" w:eastAsiaTheme="minorEastAsia" w:cstheme="minorEastAsia"/>
                <w:color w:val="auto"/>
                <w:sz w:val="21"/>
                <w:szCs w:val="21"/>
                <w:lang w:eastAsia="zh-CN"/>
              </w:rPr>
              <w:t>。</w:t>
            </w:r>
          </w:p>
        </w:tc>
        <w:tc>
          <w:tcPr>
            <w:tcW w:w="1775" w:type="dxa"/>
            <w:vMerge w:val="restart"/>
            <w:vAlign w:val="center"/>
          </w:tcPr>
          <w:p>
            <w:pPr>
              <w:jc w:val="center"/>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听取汇报</w:t>
            </w:r>
          </w:p>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bCs w:val="0"/>
                <w:color w:val="auto"/>
                <w:sz w:val="21"/>
                <w:szCs w:val="21"/>
                <w:vertAlign w:val="baseline"/>
                <w:lang w:val="en-US" w:eastAsia="zh-CN"/>
              </w:rPr>
              <w:t>查阅文件和材料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lang w:val="en-US" w:eastAsia="zh-CN"/>
              </w:rPr>
            </w:pPr>
          </w:p>
        </w:tc>
        <w:tc>
          <w:tcPr>
            <w:tcW w:w="1996" w:type="dxa"/>
            <w:vAlign w:val="center"/>
          </w:tcPr>
          <w:p>
            <w:pPr>
              <w:jc w:val="center"/>
              <w:rPr>
                <w:rFonts w:hint="eastAsia" w:asciiTheme="minorEastAsia" w:hAnsiTheme="minorEastAsia" w:eastAsiaTheme="minorEastAsia" w:cstheme="minorEastAsia"/>
                <w:color w:val="auto"/>
                <w:spacing w:val="-2"/>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1.2办学</w:t>
            </w:r>
            <w:r>
              <w:rPr>
                <w:rFonts w:hint="eastAsia" w:asciiTheme="minorEastAsia" w:hAnsiTheme="minorEastAsia" w:eastAsiaTheme="minorEastAsia" w:cstheme="minorEastAsia"/>
                <w:color w:val="auto"/>
                <w:sz w:val="21"/>
                <w:szCs w:val="21"/>
              </w:rPr>
              <w:t>定位</w:t>
            </w:r>
          </w:p>
        </w:tc>
        <w:tc>
          <w:tcPr>
            <w:tcW w:w="8310" w:type="dxa"/>
            <w:vAlign w:val="center"/>
          </w:tcPr>
          <w:p>
            <w:pPr>
              <w:rPr>
                <w:rFonts w:hint="eastAsia" w:asciiTheme="minorEastAsia" w:hAnsiTheme="minorEastAsia" w:eastAsiaTheme="minorEastAsia" w:cstheme="minorEastAsia"/>
                <w:color w:val="auto"/>
                <w:spacing w:val="-2"/>
                <w:kern w:val="2"/>
                <w:sz w:val="21"/>
                <w:szCs w:val="21"/>
                <w:lang w:val="en-US" w:eastAsia="zh-CN" w:bidi="ar-SA"/>
              </w:rPr>
            </w:pPr>
            <w:r>
              <w:rPr>
                <w:rFonts w:hint="eastAsia" w:asciiTheme="minorEastAsia" w:hAnsiTheme="minorEastAsia" w:eastAsiaTheme="minorEastAsia" w:cstheme="minorEastAsia"/>
                <w:color w:val="auto"/>
                <w:sz w:val="21"/>
                <w:szCs w:val="21"/>
              </w:rPr>
              <w:t>学校定位准确，发展规划科学、合理，发展方向明晰</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以人才培养为中心，具有先进的教育思想观念，质量意识强</w:t>
            </w:r>
            <w:r>
              <w:rPr>
                <w:rFonts w:hint="eastAsia" w:asciiTheme="minorEastAsia" w:hAnsiTheme="minorEastAsia" w:eastAsiaTheme="minorEastAsia" w:cstheme="minorEastAsia"/>
                <w:color w:val="auto"/>
                <w:sz w:val="21"/>
                <w:szCs w:val="21"/>
                <w:lang w:eastAsia="zh-CN"/>
              </w:rPr>
              <w:t>。</w:t>
            </w:r>
          </w:p>
        </w:tc>
        <w:tc>
          <w:tcPr>
            <w:tcW w:w="1775" w:type="dxa"/>
            <w:vMerge w:val="continue"/>
            <w:vAlign w:val="center"/>
          </w:tcPr>
          <w:p>
            <w:pP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1"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19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1.3</w:t>
            </w:r>
            <w:r>
              <w:rPr>
                <w:rFonts w:hint="eastAsia" w:asciiTheme="minorEastAsia" w:hAnsiTheme="minorEastAsia" w:eastAsiaTheme="minorEastAsia" w:cstheme="minorEastAsia"/>
                <w:color w:val="auto"/>
                <w:sz w:val="21"/>
                <w:szCs w:val="21"/>
              </w:rPr>
              <w:t>办学特色</w:t>
            </w:r>
          </w:p>
        </w:tc>
        <w:tc>
          <w:tcPr>
            <w:tcW w:w="8310" w:type="dxa"/>
            <w:vAlign w:val="center"/>
          </w:tcPr>
          <w:p>
            <w:pPr>
              <w:numPr>
                <w:ilvl w:val="0"/>
                <w:numId w:val="0"/>
              </w:num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办学特色明显，有良好的发展趋势，符合经济社会发展需求</w:t>
            </w:r>
            <w:r>
              <w:rPr>
                <w:rFonts w:hint="eastAsia" w:asciiTheme="minorEastAsia" w:hAnsiTheme="minorEastAsia" w:eastAsiaTheme="minorEastAsia" w:cstheme="minorEastAsia"/>
                <w:color w:val="auto"/>
                <w:sz w:val="21"/>
                <w:szCs w:val="21"/>
                <w:lang w:eastAsia="zh-CN"/>
              </w:rPr>
              <w:t>。</w:t>
            </w:r>
          </w:p>
          <w:p>
            <w:pPr>
              <w:numPr>
                <w:ilvl w:val="0"/>
                <w:numId w:val="0"/>
              </w:num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2.</w:t>
            </w:r>
            <w:r>
              <w:rPr>
                <w:rFonts w:hint="eastAsia" w:asciiTheme="minorEastAsia" w:hAnsiTheme="minorEastAsia" w:eastAsiaTheme="minorEastAsia" w:cstheme="minorEastAsia"/>
                <w:color w:val="auto"/>
                <w:sz w:val="21"/>
                <w:szCs w:val="21"/>
              </w:rPr>
              <w:t>专业总体布局与结构合理；专业设置有良好的学科基础</w:t>
            </w:r>
            <w:r>
              <w:rPr>
                <w:rFonts w:hint="eastAsia" w:asciiTheme="minorEastAsia" w:hAnsiTheme="minorEastAsia" w:eastAsiaTheme="minorEastAsia" w:cstheme="minorEastAsia"/>
                <w:color w:val="auto"/>
                <w:sz w:val="21"/>
                <w:szCs w:val="21"/>
                <w:lang w:val="en-US" w:eastAsia="zh-CN"/>
              </w:rPr>
              <w:t>和地域、行业特色鲜明。</w:t>
            </w:r>
          </w:p>
        </w:tc>
        <w:tc>
          <w:tcPr>
            <w:tcW w:w="1775" w:type="dxa"/>
            <w:vMerge w:val="continue"/>
            <w:vAlign w:val="center"/>
          </w:tcPr>
          <w:p>
            <w:pP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8" w:hRule="atLeast"/>
          <w:jc w:val="center"/>
        </w:trPr>
        <w:tc>
          <w:tcPr>
            <w:tcW w:w="1655" w:type="dxa"/>
            <w:vMerge w:val="restar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2.</w:t>
            </w:r>
            <w:r>
              <w:rPr>
                <w:rFonts w:hint="eastAsia" w:asciiTheme="minorEastAsia" w:hAnsiTheme="minorEastAsia" w:eastAsiaTheme="minorEastAsia" w:cstheme="minorEastAsia"/>
                <w:color w:val="auto"/>
                <w:sz w:val="21"/>
                <w:szCs w:val="21"/>
              </w:rPr>
              <w:t>师资队伍</w:t>
            </w:r>
          </w:p>
        </w:tc>
        <w:tc>
          <w:tcPr>
            <w:tcW w:w="1996" w:type="dxa"/>
            <w:vAlign w:val="center"/>
          </w:tcPr>
          <w:p>
            <w:pPr>
              <w:ind w:firstLine="206" w:firstLineChars="100"/>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2.1师德师风</w:t>
            </w:r>
          </w:p>
        </w:tc>
        <w:tc>
          <w:tcPr>
            <w:tcW w:w="8310" w:type="dxa"/>
            <w:vAlign w:val="center"/>
          </w:tcPr>
          <w:p>
            <w:pP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1.建立</w:t>
            </w:r>
            <w:r>
              <w:rPr>
                <w:rFonts w:hint="eastAsia" w:asciiTheme="minorEastAsia" w:hAnsiTheme="minorEastAsia" w:eastAsiaTheme="minorEastAsia" w:cstheme="minorEastAsia"/>
                <w:color w:val="auto"/>
                <w:sz w:val="21"/>
                <w:szCs w:val="21"/>
              </w:rPr>
              <w:t>师德师风</w:t>
            </w:r>
            <w:r>
              <w:rPr>
                <w:rFonts w:hint="eastAsia" w:asciiTheme="minorEastAsia" w:hAnsiTheme="minorEastAsia" w:eastAsiaTheme="minorEastAsia" w:cstheme="minorEastAsia"/>
                <w:color w:val="auto"/>
                <w:sz w:val="21"/>
                <w:szCs w:val="21"/>
                <w:lang w:val="en-US" w:eastAsia="zh-CN"/>
              </w:rPr>
              <w:t>建设长效机制和师德“一票否决”制度，相关措施有效，落实到位。</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2.师风完善、师德规范，引导广大教师以德立身、以德立学、以德施教、以德育德，争做“四有”好教师，推动教师成为先进思想文化的传播者、党执政的坚定支持者、学生健康成长的指导者。</w:t>
            </w:r>
          </w:p>
        </w:tc>
        <w:tc>
          <w:tcPr>
            <w:tcW w:w="1775" w:type="dxa"/>
            <w:vMerge w:val="restart"/>
            <w:vAlign w:val="center"/>
          </w:tcPr>
          <w:p>
            <w:pPr>
              <w:jc w:val="center"/>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查阅材料</w:t>
            </w:r>
          </w:p>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bCs w:val="0"/>
                <w:color w:val="auto"/>
                <w:sz w:val="21"/>
                <w:szCs w:val="21"/>
                <w:vertAlign w:val="baseline"/>
                <w:lang w:val="en-US" w:eastAsia="zh-CN"/>
              </w:rPr>
              <w:t>教师及学生座谈会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6"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lang w:val="en-US" w:eastAsia="zh-CN"/>
              </w:rPr>
            </w:pPr>
          </w:p>
        </w:tc>
        <w:tc>
          <w:tcPr>
            <w:tcW w:w="1996" w:type="dxa"/>
            <w:vAlign w:val="center"/>
          </w:tcPr>
          <w:p>
            <w:pPr>
              <w:jc w:val="center"/>
              <w:rPr>
                <w:rFonts w:hint="eastAsia" w:asciiTheme="minorEastAsia" w:hAnsiTheme="minorEastAsia" w:eastAsiaTheme="minorEastAsia" w:cstheme="minorEastAsia"/>
                <w:color w:val="auto"/>
                <w:spacing w:val="-2"/>
                <w:kern w:val="2"/>
                <w:sz w:val="21"/>
                <w:szCs w:val="21"/>
                <w:lang w:val="en-US" w:eastAsia="zh-CN" w:bidi="ar-SA"/>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2.2</w:t>
            </w:r>
            <w:r>
              <w:rPr>
                <w:rFonts w:hint="eastAsia" w:asciiTheme="minorEastAsia" w:hAnsiTheme="minorEastAsia" w:eastAsiaTheme="minorEastAsia" w:cstheme="minorEastAsia"/>
                <w:color w:val="auto"/>
                <w:sz w:val="21"/>
                <w:szCs w:val="21"/>
              </w:rPr>
              <w:t>教师规模</w:t>
            </w:r>
          </w:p>
        </w:tc>
        <w:tc>
          <w:tcPr>
            <w:tcW w:w="8310" w:type="dxa"/>
            <w:vAlign w:val="center"/>
          </w:tcPr>
          <w:p>
            <w:pPr>
              <w:rPr>
                <w:rFonts w:hint="eastAsia" w:asciiTheme="minorEastAsia" w:hAnsiTheme="minorEastAsia" w:eastAsiaTheme="minorEastAsia" w:cstheme="minorEastAsia"/>
                <w:color w:val="auto"/>
                <w:spacing w:val="-2"/>
                <w:kern w:val="2"/>
                <w:sz w:val="21"/>
                <w:szCs w:val="21"/>
                <w:lang w:val="en-US" w:eastAsia="zh-CN" w:bidi="ar-SA"/>
              </w:rPr>
            </w:pPr>
            <w:r>
              <w:rPr>
                <w:rFonts w:hint="eastAsia" w:asciiTheme="minorEastAsia" w:hAnsiTheme="minorEastAsia" w:eastAsiaTheme="minorEastAsia" w:cstheme="minorEastAsia"/>
                <w:color w:val="auto"/>
                <w:sz w:val="21"/>
                <w:szCs w:val="21"/>
              </w:rPr>
              <w:t>专任教师数量不低于教育部《普通本科学校设置暂行规定》中有关要求</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生师比不高于18∶1，其中，医学院校不高于16：1，体育、艺术院校不高于11：1，兼任教师人数应当不超过本校专任教师总数的1/4。</w:t>
            </w:r>
          </w:p>
        </w:tc>
        <w:tc>
          <w:tcPr>
            <w:tcW w:w="1775" w:type="dxa"/>
            <w:vMerge w:val="continue"/>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8" w:hRule="atLeast"/>
          <w:jc w:val="center"/>
        </w:trPr>
        <w:tc>
          <w:tcPr>
            <w:tcW w:w="1655" w:type="dxa"/>
            <w:vMerge w:val="continue"/>
            <w:vAlign w:val="center"/>
          </w:tcPr>
          <w:p>
            <w:pPr>
              <w:jc w:val="center"/>
              <w:rPr>
                <w:rFonts w:hint="eastAsia" w:asciiTheme="minorEastAsia" w:hAnsiTheme="minorEastAsia" w:eastAsiaTheme="minorEastAsia" w:cstheme="minorEastAsia"/>
                <w:b/>
                <w:bCs/>
                <w:color w:val="auto"/>
                <w:sz w:val="21"/>
                <w:szCs w:val="21"/>
              </w:rPr>
            </w:pPr>
          </w:p>
        </w:tc>
        <w:tc>
          <w:tcPr>
            <w:tcW w:w="19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2.3</w:t>
            </w:r>
            <w:r>
              <w:rPr>
                <w:rFonts w:hint="eastAsia" w:asciiTheme="minorEastAsia" w:hAnsiTheme="minorEastAsia" w:eastAsiaTheme="minorEastAsia" w:cstheme="minorEastAsia"/>
                <w:color w:val="auto"/>
                <w:sz w:val="21"/>
                <w:szCs w:val="21"/>
              </w:rPr>
              <w:t>教师结构</w:t>
            </w:r>
          </w:p>
        </w:tc>
        <w:tc>
          <w:tcPr>
            <w:tcW w:w="8310" w:type="dxa"/>
            <w:vAlign w:val="center"/>
          </w:tcPr>
          <w:p>
            <w:pPr>
              <w:keepNext w:val="0"/>
              <w:keepLines w:val="0"/>
              <w:widowControl/>
              <w:numPr>
                <w:ilvl w:val="0"/>
                <w:numId w:val="0"/>
              </w:numPr>
              <w:suppressLineNumbers w:val="0"/>
              <w:jc w:val="lef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1.专任教师中具有研究生学历的教师数占专任教师总数的比例应不低于 30%。大学的专任教师中具有研究生学位的人员比例一般应达到50%以上， 其中具有博士学位的专任教师占专任教师总数的比例一般应达到20%以上。</w:t>
            </w:r>
          </w:p>
          <w:p>
            <w:pPr>
              <w:keepNext w:val="0"/>
              <w:keepLines w:val="0"/>
              <w:widowControl/>
              <w:suppressLineNumbers w:val="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2.具有副高级专业技术职务以上的专任教师人数一般应不低于专任教师总数的30%，其中具有正教授职务的专任教师应不少于 10 人。大学具有高级专业技术职务的专任教师数一般应不低于400人，其中具有正教授职务的专任教师一般应不低于100人。</w:t>
            </w:r>
          </w:p>
          <w:p>
            <w:pPr>
              <w:keepNext w:val="0"/>
              <w:keepLines w:val="0"/>
              <w:widowControl/>
              <w:numPr>
                <w:ilvl w:val="0"/>
                <w:numId w:val="0"/>
              </w:numPr>
              <w:suppressLineNumbers w:val="0"/>
              <w:jc w:val="lef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val="en-US" w:eastAsia="zh-CN"/>
              </w:rPr>
              <w:t>3.各门公共必修课程和专业基础必修课程，至少应当分别配备具有副高级专业技术职务以上的专任教师2人；各门专业必修课程，至少应当分别配备具有副高级专业技术职务以上的专任教师1人；每个专业至少配备具有正高级专业技术职务的专任教师1人。</w:t>
            </w:r>
          </w:p>
        </w:tc>
        <w:tc>
          <w:tcPr>
            <w:tcW w:w="1775" w:type="dxa"/>
            <w:vMerge w:val="continue"/>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7"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19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2.4</w:t>
            </w:r>
            <w:r>
              <w:rPr>
                <w:rFonts w:hint="eastAsia" w:asciiTheme="minorEastAsia" w:hAnsiTheme="minorEastAsia" w:eastAsiaTheme="minorEastAsia" w:cstheme="minorEastAsia"/>
                <w:color w:val="auto"/>
                <w:sz w:val="21"/>
                <w:szCs w:val="21"/>
              </w:rPr>
              <w:t>教师发展</w:t>
            </w:r>
          </w:p>
        </w:tc>
        <w:tc>
          <w:tcPr>
            <w:tcW w:w="8310" w:type="dxa"/>
            <w:vAlign w:val="center"/>
          </w:tcPr>
          <w:p>
            <w:pP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有完善的师资培养机构和制度，为教师开展访学及学术交流、提升教学水平等工作提供必要的支持。</w:t>
            </w:r>
            <w:r>
              <w:rPr>
                <w:rFonts w:hint="eastAsia" w:asciiTheme="minorEastAsia" w:hAnsiTheme="minorEastAsia" w:eastAsiaTheme="minorEastAsia" w:cstheme="minorEastAsia"/>
                <w:color w:val="auto"/>
                <w:sz w:val="21"/>
                <w:szCs w:val="21"/>
                <w:lang w:val="en-US" w:eastAsia="zh-CN"/>
              </w:rPr>
              <w:t>专任教师参加专业培训、研修等不低于16学时/人/年。</w:t>
            </w:r>
          </w:p>
        </w:tc>
        <w:tc>
          <w:tcPr>
            <w:tcW w:w="1775" w:type="dxa"/>
            <w:vMerge w:val="continue"/>
            <w:vAlign w:val="center"/>
          </w:tcPr>
          <w:p>
            <w:pP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jc w:val="center"/>
        </w:trPr>
        <w:tc>
          <w:tcPr>
            <w:tcW w:w="1655" w:type="dxa"/>
            <w:vMerge w:val="restar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3.</w:t>
            </w:r>
            <w:r>
              <w:rPr>
                <w:rFonts w:hint="eastAsia" w:asciiTheme="minorEastAsia" w:hAnsiTheme="minorEastAsia" w:eastAsiaTheme="minorEastAsia" w:cstheme="minorEastAsia"/>
                <w:color w:val="auto"/>
                <w:sz w:val="21"/>
                <w:szCs w:val="21"/>
              </w:rPr>
              <w:t>基</w:t>
            </w:r>
            <w:r>
              <w:rPr>
                <w:rFonts w:hint="eastAsia" w:asciiTheme="minorEastAsia" w:hAnsiTheme="minorEastAsia" w:eastAsiaTheme="minorEastAsia" w:cstheme="minorEastAsia"/>
                <w:color w:val="auto"/>
                <w:sz w:val="21"/>
                <w:szCs w:val="21"/>
                <w:lang w:val="en-US" w:eastAsia="zh-CN"/>
              </w:rPr>
              <w:t>本</w:t>
            </w:r>
            <w:r>
              <w:rPr>
                <w:rFonts w:hint="eastAsia" w:asciiTheme="minorEastAsia" w:hAnsiTheme="minorEastAsia" w:eastAsiaTheme="minorEastAsia" w:cstheme="minorEastAsia"/>
                <w:color w:val="auto"/>
                <w:sz w:val="21"/>
                <w:szCs w:val="21"/>
              </w:rPr>
              <w:t>条件</w:t>
            </w:r>
          </w:p>
        </w:tc>
        <w:tc>
          <w:tcPr>
            <w:tcW w:w="19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3.1</w:t>
            </w:r>
            <w:r>
              <w:rPr>
                <w:rFonts w:hint="eastAsia" w:asciiTheme="minorEastAsia" w:hAnsiTheme="minorEastAsia" w:eastAsiaTheme="minorEastAsia" w:cstheme="minorEastAsia"/>
                <w:color w:val="auto"/>
                <w:sz w:val="21"/>
                <w:szCs w:val="21"/>
              </w:rPr>
              <w:t>办学经费</w:t>
            </w:r>
          </w:p>
        </w:tc>
        <w:tc>
          <w:tcPr>
            <w:tcW w:w="8310" w:type="dxa"/>
            <w:vAlign w:val="center"/>
          </w:tcPr>
          <w:p>
            <w:pP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办学</w:t>
            </w:r>
            <w:r>
              <w:rPr>
                <w:rFonts w:hint="eastAsia" w:asciiTheme="minorEastAsia" w:hAnsiTheme="minorEastAsia" w:eastAsiaTheme="minorEastAsia" w:cstheme="minorEastAsia"/>
                <w:color w:val="auto"/>
                <w:sz w:val="21"/>
                <w:szCs w:val="21"/>
                <w:lang w:val="en-US" w:eastAsia="zh-CN"/>
              </w:rPr>
              <w:t>经费需具有稳定、可靠的来源和切实的保证；生均教学经费持续增长，能满足人才培养需要。</w:t>
            </w:r>
            <w:bookmarkStart w:id="0" w:name="_Hlk61602326"/>
            <w:r>
              <w:rPr>
                <w:rFonts w:hint="eastAsia" w:asciiTheme="minorEastAsia" w:hAnsiTheme="minorEastAsia" w:eastAsiaTheme="minorEastAsia" w:cstheme="minorEastAsia"/>
                <w:color w:val="auto"/>
                <w:sz w:val="21"/>
                <w:szCs w:val="21"/>
                <w:lang w:val="en-US" w:eastAsia="zh-CN"/>
              </w:rPr>
              <w:t>生均年教学日常运行支出</w:t>
            </w:r>
            <w:bookmarkEnd w:id="0"/>
            <w:r>
              <w:rPr>
                <w:rFonts w:hint="eastAsia" w:asciiTheme="minorEastAsia" w:hAnsiTheme="minorEastAsia" w:eastAsiaTheme="minorEastAsia" w:cstheme="minorEastAsia"/>
                <w:color w:val="auto"/>
                <w:sz w:val="21"/>
                <w:szCs w:val="21"/>
                <w:lang w:val="en-US" w:eastAsia="zh-CN"/>
              </w:rPr>
              <w:t>≥1200元。</w:t>
            </w:r>
          </w:p>
        </w:tc>
        <w:tc>
          <w:tcPr>
            <w:tcW w:w="1775" w:type="dxa"/>
            <w:vMerge w:val="restart"/>
            <w:vAlign w:val="center"/>
          </w:tcPr>
          <w:p>
            <w:pPr>
              <w:jc w:val="center"/>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查阅材料</w:t>
            </w:r>
          </w:p>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bCs w:val="0"/>
                <w:color w:val="auto"/>
                <w:sz w:val="21"/>
                <w:szCs w:val="21"/>
                <w:vertAlign w:val="baseline"/>
                <w:lang w:val="en-US" w:eastAsia="zh-CN"/>
              </w:rPr>
              <w:t>实地考察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4"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19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3.2</w:t>
            </w:r>
            <w:r>
              <w:rPr>
                <w:rFonts w:hint="eastAsia" w:asciiTheme="minorEastAsia" w:hAnsiTheme="minorEastAsia" w:eastAsiaTheme="minorEastAsia" w:cstheme="minorEastAsia"/>
                <w:color w:val="auto"/>
                <w:sz w:val="21"/>
                <w:szCs w:val="21"/>
              </w:rPr>
              <w:t>科学研究</w:t>
            </w:r>
          </w:p>
        </w:tc>
        <w:tc>
          <w:tcPr>
            <w:tcW w:w="8310" w:type="dxa"/>
            <w:vAlign w:val="center"/>
          </w:tcPr>
          <w:p>
            <w:pPr>
              <w:keepNext w:val="0"/>
              <w:keepLines w:val="0"/>
              <w:widowControl/>
              <w:suppressLineNumbers w:val="0"/>
              <w:jc w:val="lef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具有较高的科学研究水平，能满足人才培养需要，科研经费</w:t>
            </w:r>
            <w:r>
              <w:rPr>
                <w:rFonts w:hint="eastAsia" w:asciiTheme="minorEastAsia" w:hAnsiTheme="minorEastAsia" w:eastAsiaTheme="minorEastAsia" w:cstheme="minorEastAsia"/>
                <w:color w:val="auto"/>
                <w:sz w:val="21"/>
                <w:szCs w:val="21"/>
                <w:lang w:val="en-US" w:eastAsia="zh-CN"/>
              </w:rPr>
              <w:t>能满足研究需求</w:t>
            </w:r>
            <w:r>
              <w:rPr>
                <w:rFonts w:hint="eastAsia" w:asciiTheme="minorEastAsia" w:hAnsiTheme="minorEastAsia" w:eastAsiaTheme="minorEastAsia" w:cstheme="minorEastAsia"/>
                <w:color w:val="auto"/>
                <w:sz w:val="21"/>
                <w:szCs w:val="21"/>
              </w:rPr>
              <w:t>，有一定数量的科研项目</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大学近5年应达到年均科研经费，以人文、社会学科为主的学校至少应达到 500 万元，其他类高校至少应达到3000万元。</w:t>
            </w:r>
          </w:p>
        </w:tc>
        <w:tc>
          <w:tcPr>
            <w:tcW w:w="1775" w:type="dxa"/>
            <w:vMerge w:val="continue"/>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0"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19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3.3</w:t>
            </w:r>
            <w:r>
              <w:rPr>
                <w:rFonts w:hint="eastAsia" w:asciiTheme="minorEastAsia" w:hAnsiTheme="minorEastAsia" w:eastAsiaTheme="minorEastAsia" w:cstheme="minorEastAsia"/>
                <w:color w:val="auto"/>
                <w:sz w:val="21"/>
                <w:szCs w:val="21"/>
              </w:rPr>
              <w:t>办学用房</w:t>
            </w:r>
          </w:p>
        </w:tc>
        <w:tc>
          <w:tcPr>
            <w:tcW w:w="8310" w:type="dxa"/>
            <w:vAlign w:val="center"/>
          </w:tcPr>
          <w:p>
            <w:pP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各类功能的教室齐备，能满足教学需要；其他相关校舍满足人才培养的需要。生均占地面积、生均校舍建筑面积、生均教学行政用房面积等指标不低于教育部《普通本科学校设置暂行规定》中有关要求</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生均教学科研行政用房面积，理、工、农、医类应不低于20平方米，人文、社科、管理类应不低于15平方米，体育、艺术类应不低于30平方米。</w:t>
            </w:r>
          </w:p>
        </w:tc>
        <w:tc>
          <w:tcPr>
            <w:tcW w:w="1775" w:type="dxa"/>
            <w:vMerge w:val="continue"/>
            <w:vAlign w:val="center"/>
          </w:tcPr>
          <w:p>
            <w:pPr>
              <w:jc w:val="center"/>
              <w:rPr>
                <w:rFonts w:hint="eastAsia" w:asciiTheme="minorEastAsia" w:hAnsiTheme="minorEastAsia" w:eastAsiaTheme="minorEastAsia" w:cstheme="minorEastAsia"/>
                <w:b/>
                <w:bCs/>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8"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19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3.4</w:t>
            </w:r>
            <w:r>
              <w:rPr>
                <w:rFonts w:hint="eastAsia" w:asciiTheme="minorEastAsia" w:hAnsiTheme="minorEastAsia" w:eastAsiaTheme="minorEastAsia" w:cstheme="minorEastAsia"/>
                <w:color w:val="auto"/>
                <w:sz w:val="21"/>
                <w:szCs w:val="21"/>
              </w:rPr>
              <w:t>仪器设备</w:t>
            </w:r>
          </w:p>
        </w:tc>
        <w:tc>
          <w:tcPr>
            <w:tcW w:w="8310" w:type="dxa"/>
            <w:vAlign w:val="center"/>
          </w:tcPr>
          <w:p>
            <w:pP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教学科研仪器设备充足、利用率高，在本科人才培养中能发挥较好作用。生均教学科研仪器设备值不低于教育部《普通本科学校设置暂行规定》中有关要求；新增教学科研仪器设备占一定比例</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生均教学科研仪器设备值，理、工、农、医类和师范院校应不低于5000元，人文、社会科学类院校应不低于3000元，体育、艺术类院校应不低于4000元。</w:t>
            </w:r>
          </w:p>
        </w:tc>
        <w:tc>
          <w:tcPr>
            <w:tcW w:w="1775" w:type="dxa"/>
            <w:vMerge w:val="continue"/>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6"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19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3.5信息化与</w:t>
            </w:r>
            <w:r>
              <w:rPr>
                <w:rFonts w:hint="eastAsia" w:asciiTheme="minorEastAsia" w:hAnsiTheme="minorEastAsia" w:eastAsiaTheme="minorEastAsia" w:cstheme="minorEastAsia"/>
                <w:color w:val="auto"/>
                <w:sz w:val="21"/>
                <w:szCs w:val="21"/>
              </w:rPr>
              <w:t>图书资料</w:t>
            </w:r>
          </w:p>
        </w:tc>
        <w:tc>
          <w:tcPr>
            <w:tcW w:w="8310" w:type="dxa"/>
            <w:vAlign w:val="center"/>
          </w:tcPr>
          <w:p>
            <w:pPr>
              <w:keepNext w:val="0"/>
              <w:keepLines w:val="0"/>
              <w:widowControl/>
              <w:suppressLineNumbers w:val="0"/>
              <w:jc w:val="lef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val="en-US" w:eastAsia="zh-CN"/>
              </w:rPr>
              <w:t>信息技术基础设施满足教育教学需要；</w:t>
            </w:r>
            <w:r>
              <w:rPr>
                <w:rFonts w:hint="eastAsia" w:asciiTheme="minorEastAsia" w:hAnsiTheme="minorEastAsia" w:eastAsiaTheme="minorEastAsia" w:cstheme="minorEastAsia"/>
                <w:color w:val="auto"/>
                <w:sz w:val="21"/>
                <w:szCs w:val="21"/>
              </w:rPr>
              <w:t>建有现代电子图书系统和计算机网络服务系统，管理手段先进，生均适用图书不低于教育部《普通本科学校设置暂行规定》中有关要求</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生均适用图书，理、工、农、医类应不低于80册，人文、社会科学类和师范院校应不低于100册，体育、艺术类应不低于80册。生均年进书量（纸质图书）不低于1册。</w:t>
            </w:r>
          </w:p>
        </w:tc>
        <w:tc>
          <w:tcPr>
            <w:tcW w:w="1775" w:type="dxa"/>
            <w:vMerge w:val="continue"/>
            <w:vAlign w:val="center"/>
          </w:tcPr>
          <w:p>
            <w:pPr>
              <w:rPr>
                <w:rFonts w:hint="eastAsia" w:asciiTheme="minorEastAsia" w:hAnsiTheme="minorEastAsia" w:eastAsiaTheme="minorEastAsia" w:cstheme="minorEastAsia"/>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1"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1996" w:type="dxa"/>
            <w:vAlign w:val="center"/>
          </w:tcPr>
          <w:p>
            <w:pPr>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3.6</w:t>
            </w:r>
            <w:r>
              <w:rPr>
                <w:rFonts w:hint="eastAsia" w:asciiTheme="minorEastAsia" w:hAnsiTheme="minorEastAsia" w:eastAsiaTheme="minorEastAsia" w:cstheme="minorEastAsia"/>
                <w:color w:val="auto"/>
                <w:sz w:val="21"/>
                <w:szCs w:val="21"/>
              </w:rPr>
              <w:t>实习实践基地</w:t>
            </w:r>
          </w:p>
        </w:tc>
        <w:tc>
          <w:tcPr>
            <w:tcW w:w="8310" w:type="dxa"/>
            <w:vAlign w:val="center"/>
          </w:tcPr>
          <w:p>
            <w:pP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校内外实习基地完善，以理学、工学、农林等专业为主的学校应当有必需的教学实习工厂和农（林）场和固定的生产实习基地;以师范类专业为主的学校应当有附属的实验学校或固定的实习学校;以医学专业为主的学校至少应当有一所直属附属医院和适用需要的教学医院</w:t>
            </w:r>
            <w:r>
              <w:rPr>
                <w:rFonts w:hint="eastAsia" w:asciiTheme="minorEastAsia" w:hAnsiTheme="minorEastAsia" w:eastAsiaTheme="minorEastAsia" w:cstheme="minorEastAsia"/>
                <w:color w:val="auto"/>
                <w:sz w:val="21"/>
                <w:szCs w:val="21"/>
                <w:lang w:eastAsia="zh-CN"/>
              </w:rPr>
              <w:t>。</w:t>
            </w:r>
          </w:p>
        </w:tc>
        <w:tc>
          <w:tcPr>
            <w:tcW w:w="1775" w:type="dxa"/>
            <w:vMerge w:val="continue"/>
            <w:vAlign w:val="center"/>
          </w:tcPr>
          <w:p>
            <w:pP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8" w:hRule="atLeast"/>
          <w:jc w:val="center"/>
        </w:trPr>
        <w:tc>
          <w:tcPr>
            <w:tcW w:w="1655" w:type="dxa"/>
            <w:vMerge w:val="restar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4.</w:t>
            </w:r>
            <w:r>
              <w:rPr>
                <w:rFonts w:hint="eastAsia" w:asciiTheme="minorEastAsia" w:hAnsiTheme="minorEastAsia" w:eastAsiaTheme="minorEastAsia" w:cstheme="minorEastAsia"/>
                <w:color w:val="auto"/>
                <w:sz w:val="21"/>
                <w:szCs w:val="21"/>
              </w:rPr>
              <w:t>教学质量</w:t>
            </w:r>
          </w:p>
        </w:tc>
        <w:tc>
          <w:tcPr>
            <w:tcW w:w="1996" w:type="dxa"/>
            <w:vAlign w:val="center"/>
          </w:tcPr>
          <w:p>
            <w:pPr>
              <w:spacing w:line="0" w:lineRule="atLeast"/>
              <w:ind w:left="-63" w:leftChars="-20" w:right="-158" w:rightChars="-5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4.1</w:t>
            </w:r>
            <w:r>
              <w:rPr>
                <w:rFonts w:hint="eastAsia" w:asciiTheme="minorEastAsia" w:hAnsiTheme="minorEastAsia" w:eastAsiaTheme="minorEastAsia" w:cstheme="minorEastAsia"/>
                <w:color w:val="auto"/>
                <w:sz w:val="21"/>
                <w:szCs w:val="21"/>
              </w:rPr>
              <w:t>教学计划与执行</w:t>
            </w:r>
          </w:p>
        </w:tc>
        <w:tc>
          <w:tcPr>
            <w:tcW w:w="8310" w:type="dxa"/>
            <w:vAlign w:val="center"/>
          </w:tcPr>
          <w:p>
            <w:pPr>
              <w:spacing w:beforeLines="20" w:afterLines="30" w:line="0" w:lineRule="atLeas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8"/>
                <w:sz w:val="21"/>
                <w:szCs w:val="21"/>
              </w:rPr>
              <w:t>教学计划与配套措施执行情况好，成效显著</w:t>
            </w:r>
            <w:r>
              <w:rPr>
                <w:rFonts w:hint="eastAsia" w:asciiTheme="minorEastAsia" w:hAnsiTheme="minorEastAsia" w:eastAsiaTheme="minorEastAsia" w:cstheme="minorEastAsia"/>
                <w:color w:val="auto"/>
                <w:spacing w:val="-8"/>
                <w:sz w:val="21"/>
                <w:szCs w:val="21"/>
                <w:lang w:eastAsia="zh-CN"/>
              </w:rPr>
              <w:t>。</w:t>
            </w:r>
          </w:p>
        </w:tc>
        <w:tc>
          <w:tcPr>
            <w:tcW w:w="1775" w:type="dxa"/>
            <w:vMerge w:val="restart"/>
            <w:vAlign w:val="center"/>
          </w:tcPr>
          <w:p>
            <w:pPr>
              <w:spacing w:beforeLines="20" w:afterLines="30" w:line="0" w:lineRule="atLeast"/>
              <w:jc w:val="center"/>
              <w:rPr>
                <w:rFonts w:hint="eastAsia" w:asciiTheme="minorEastAsia" w:hAnsiTheme="minorEastAsia" w:eastAsiaTheme="minorEastAsia" w:cstheme="minorEastAsia"/>
                <w:b w:val="0"/>
                <w:bCs w:val="0"/>
                <w:color w:val="auto"/>
                <w:sz w:val="21"/>
                <w:szCs w:val="21"/>
                <w:vertAlign w:val="baseline"/>
                <w:lang w:val="en-US" w:eastAsia="zh-CN"/>
              </w:rPr>
            </w:pPr>
          </w:p>
          <w:p>
            <w:pPr>
              <w:spacing w:beforeLines="20" w:afterLines="30" w:line="0" w:lineRule="atLeast"/>
              <w:jc w:val="both"/>
              <w:rPr>
                <w:rFonts w:hint="eastAsia" w:asciiTheme="minorEastAsia" w:hAnsiTheme="minorEastAsia" w:eastAsiaTheme="minorEastAsia" w:cstheme="minorEastAsia"/>
                <w:b w:val="0"/>
                <w:bCs w:val="0"/>
                <w:color w:val="auto"/>
                <w:sz w:val="21"/>
                <w:szCs w:val="21"/>
                <w:vertAlign w:val="baseline"/>
                <w:lang w:val="en-US" w:eastAsia="zh-CN"/>
              </w:rPr>
            </w:pPr>
          </w:p>
          <w:p>
            <w:pPr>
              <w:jc w:val="center"/>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查阅材料</w:t>
            </w:r>
          </w:p>
          <w:p>
            <w:pPr>
              <w:spacing w:beforeLines="20" w:afterLines="30" w:line="0" w:lineRule="atLeast"/>
              <w:jc w:val="center"/>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实地考察</w:t>
            </w:r>
          </w:p>
          <w:p>
            <w:pPr>
              <w:spacing w:beforeLines="20" w:afterLines="30" w:line="0" w:lineRule="atLeast"/>
              <w:jc w:val="center"/>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随机听课</w:t>
            </w:r>
          </w:p>
          <w:p>
            <w:pPr>
              <w:spacing w:beforeLines="20" w:afterLines="30" w:line="0" w:lineRule="atLeast"/>
              <w:jc w:val="center"/>
              <w:rPr>
                <w:rFonts w:hint="eastAsia" w:asciiTheme="minorEastAsia" w:hAnsiTheme="minorEastAsia" w:eastAsiaTheme="minorEastAsia" w:cstheme="minorEastAsia"/>
                <w:b w:val="0"/>
                <w:bCs w:val="0"/>
                <w:color w:val="auto"/>
                <w:sz w:val="21"/>
                <w:szCs w:val="21"/>
                <w:vertAlign w:val="baseline"/>
                <w:lang w:val="en-US" w:eastAsia="zh-CN"/>
              </w:rPr>
            </w:pPr>
          </w:p>
          <w:p>
            <w:pPr>
              <w:spacing w:beforeLines="20" w:afterLines="30" w:line="0" w:lineRule="atLeast"/>
              <w:jc w:val="center"/>
              <w:rPr>
                <w:rFonts w:hint="eastAsia" w:asciiTheme="minorEastAsia" w:hAnsiTheme="minorEastAsia" w:eastAsiaTheme="minorEastAsia" w:cstheme="minorEastAsia"/>
                <w:b w:val="0"/>
                <w:bCs w:val="0"/>
                <w:color w:val="auto"/>
                <w:sz w:val="21"/>
                <w:szCs w:val="21"/>
                <w:vertAlign w:val="baseline"/>
                <w:lang w:val="en-US" w:eastAsia="zh-CN"/>
              </w:rPr>
            </w:pPr>
          </w:p>
          <w:p>
            <w:pPr>
              <w:spacing w:beforeLines="20" w:afterLines="30" w:line="0" w:lineRule="atLeast"/>
              <w:jc w:val="center"/>
              <w:rPr>
                <w:rFonts w:hint="eastAsia" w:asciiTheme="minorEastAsia" w:hAnsiTheme="minorEastAsia" w:eastAsiaTheme="minorEastAsia" w:cstheme="minorEastAsia"/>
                <w:b w:val="0"/>
                <w:bCs w:val="0"/>
                <w:color w:val="auto"/>
                <w:sz w:val="21"/>
                <w:szCs w:val="21"/>
                <w:vertAlign w:val="baseline"/>
                <w:lang w:val="en-US" w:eastAsia="zh-CN"/>
              </w:rPr>
            </w:pPr>
          </w:p>
          <w:p>
            <w:pPr>
              <w:jc w:val="center"/>
              <w:rPr>
                <w:rFonts w:hint="eastAsia" w:asciiTheme="minorEastAsia" w:hAnsiTheme="minorEastAsia" w:eastAsiaTheme="minorEastAsia" w:cstheme="minorEastAsia"/>
                <w:b w:val="0"/>
                <w:bCs w:val="0"/>
                <w:color w:val="auto"/>
                <w:sz w:val="21"/>
                <w:szCs w:val="21"/>
                <w:vertAlign w:val="baseline"/>
                <w:lang w:val="en-US" w:eastAsia="zh-CN"/>
              </w:rPr>
            </w:pPr>
          </w:p>
          <w:p>
            <w:pPr>
              <w:jc w:val="center"/>
              <w:rPr>
                <w:rFonts w:hint="eastAsia" w:asciiTheme="minorEastAsia" w:hAnsiTheme="minorEastAsia" w:eastAsiaTheme="minorEastAsia" w:cstheme="minorEastAsia"/>
                <w:b w:val="0"/>
                <w:bCs w:val="0"/>
                <w:color w:val="auto"/>
                <w:sz w:val="21"/>
                <w:szCs w:val="21"/>
                <w:vertAlign w:val="baseline"/>
                <w:lang w:val="en-US" w:eastAsia="zh-CN"/>
              </w:rPr>
            </w:pPr>
          </w:p>
          <w:p>
            <w:pPr>
              <w:spacing w:beforeLines="20" w:afterLines="30" w:line="0" w:lineRule="atLeast"/>
              <w:jc w:val="center"/>
              <w:rPr>
                <w:rFonts w:hint="eastAsia" w:asciiTheme="minorEastAsia" w:hAnsiTheme="minorEastAsia" w:eastAsiaTheme="minorEastAsia" w:cstheme="minorEastAsia"/>
                <w:b/>
                <w:bCs/>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1996" w:type="dxa"/>
            <w:vAlign w:val="center"/>
          </w:tcPr>
          <w:p>
            <w:pPr>
              <w:spacing w:line="0" w:lineRule="atLeas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4.2</w:t>
            </w:r>
            <w:r>
              <w:rPr>
                <w:rFonts w:hint="eastAsia" w:asciiTheme="minorEastAsia" w:hAnsiTheme="minorEastAsia" w:eastAsiaTheme="minorEastAsia" w:cstheme="minorEastAsia"/>
                <w:color w:val="auto"/>
                <w:sz w:val="21"/>
                <w:szCs w:val="21"/>
              </w:rPr>
              <w:t>教学改革</w:t>
            </w:r>
          </w:p>
        </w:tc>
        <w:tc>
          <w:tcPr>
            <w:tcW w:w="8310" w:type="dxa"/>
            <w:vAlign w:val="center"/>
          </w:tcPr>
          <w:p>
            <w:pPr>
              <w:spacing w:line="0" w:lineRule="atLeast"/>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改革</w:t>
            </w:r>
            <w:r>
              <w:rPr>
                <w:rFonts w:hint="eastAsia" w:asciiTheme="minorEastAsia" w:hAnsiTheme="minorEastAsia" w:eastAsiaTheme="minorEastAsia" w:cstheme="minorEastAsia"/>
                <w:color w:val="auto"/>
                <w:sz w:val="21"/>
                <w:szCs w:val="21"/>
              </w:rPr>
              <w:t>思路清晰、计划</w:t>
            </w:r>
            <w:r>
              <w:rPr>
                <w:rFonts w:hint="eastAsia" w:asciiTheme="minorEastAsia" w:hAnsiTheme="minorEastAsia" w:eastAsiaTheme="minorEastAsia" w:cstheme="minorEastAsia"/>
                <w:color w:val="auto"/>
                <w:sz w:val="21"/>
                <w:szCs w:val="21"/>
                <w:lang w:val="en-US" w:eastAsia="zh-CN"/>
              </w:rPr>
              <w:t>具体</w:t>
            </w:r>
            <w:r>
              <w:rPr>
                <w:rFonts w:hint="eastAsia" w:asciiTheme="minorEastAsia" w:hAnsiTheme="minorEastAsia" w:eastAsiaTheme="minorEastAsia" w:cstheme="minorEastAsia"/>
                <w:color w:val="auto"/>
                <w:sz w:val="21"/>
                <w:szCs w:val="21"/>
              </w:rPr>
              <w:t>，配套措施</w:t>
            </w:r>
            <w:r>
              <w:rPr>
                <w:rFonts w:hint="eastAsia" w:asciiTheme="minorEastAsia" w:hAnsiTheme="minorEastAsia" w:eastAsiaTheme="minorEastAsia" w:cstheme="minorEastAsia"/>
                <w:color w:val="auto"/>
                <w:sz w:val="21"/>
                <w:szCs w:val="21"/>
                <w:lang w:val="en-US" w:eastAsia="zh-CN"/>
              </w:rPr>
              <w:t>完善</w:t>
            </w:r>
            <w:r>
              <w:rPr>
                <w:rFonts w:hint="eastAsia" w:asciiTheme="minorEastAsia" w:hAnsiTheme="minorEastAsia" w:eastAsiaTheme="minorEastAsia" w:cstheme="minorEastAsia"/>
                <w:color w:val="auto"/>
                <w:sz w:val="21"/>
                <w:szCs w:val="21"/>
              </w:rPr>
              <w:t>，执行良好，成效显著。</w:t>
            </w:r>
          </w:p>
        </w:tc>
        <w:tc>
          <w:tcPr>
            <w:tcW w:w="1775" w:type="dxa"/>
            <w:vMerge w:val="continue"/>
            <w:vAlign w:val="center"/>
          </w:tcPr>
          <w:p>
            <w:pPr>
              <w:spacing w:line="0" w:lineRule="atLeast"/>
              <w:jc w:val="left"/>
              <w:rPr>
                <w:rFonts w:hint="eastAsia" w:asciiTheme="minorEastAsia" w:hAnsiTheme="minorEastAsia" w:eastAsiaTheme="minorEastAsia" w:cstheme="minorEastAsia"/>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7"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1996" w:type="dxa"/>
            <w:vAlign w:val="center"/>
          </w:tcPr>
          <w:p>
            <w:pPr>
              <w:spacing w:line="0" w:lineRule="atLeas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4.3</w:t>
            </w:r>
            <w:r>
              <w:rPr>
                <w:rFonts w:hint="eastAsia" w:asciiTheme="minorEastAsia" w:hAnsiTheme="minorEastAsia" w:eastAsiaTheme="minorEastAsia" w:cstheme="minorEastAsia"/>
                <w:color w:val="auto"/>
                <w:sz w:val="21"/>
                <w:szCs w:val="21"/>
              </w:rPr>
              <w:t>教材建设</w:t>
            </w:r>
          </w:p>
        </w:tc>
        <w:tc>
          <w:tcPr>
            <w:tcW w:w="8310" w:type="dxa"/>
            <w:vAlign w:val="center"/>
          </w:tcPr>
          <w:p>
            <w:pPr>
              <w:spacing w:beforeLines="20" w:afterLines="30" w:line="0" w:lineRule="atLeas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教材建设有规划、有保障，</w:t>
            </w:r>
            <w:r>
              <w:rPr>
                <w:rFonts w:hint="eastAsia" w:asciiTheme="minorEastAsia" w:hAnsiTheme="minorEastAsia" w:eastAsiaTheme="minorEastAsia" w:cstheme="minorEastAsia"/>
                <w:color w:val="auto"/>
                <w:sz w:val="21"/>
                <w:szCs w:val="21"/>
                <w:lang w:val="en-US" w:eastAsia="zh-CN"/>
              </w:rPr>
              <w:t>选用规范，</w:t>
            </w:r>
            <w:r>
              <w:rPr>
                <w:rFonts w:hint="eastAsia" w:asciiTheme="minorEastAsia" w:hAnsiTheme="minorEastAsia" w:eastAsiaTheme="minorEastAsia" w:cstheme="minorEastAsia"/>
                <w:color w:val="auto"/>
                <w:sz w:val="21"/>
                <w:szCs w:val="21"/>
              </w:rPr>
              <w:t>积极引进先进、适用的教材</w:t>
            </w:r>
            <w:r>
              <w:rPr>
                <w:rFonts w:hint="eastAsia" w:asciiTheme="minorEastAsia" w:hAnsiTheme="minorEastAsia" w:eastAsiaTheme="minorEastAsia" w:cstheme="minorEastAsia"/>
                <w:color w:val="auto"/>
                <w:sz w:val="21"/>
                <w:szCs w:val="21"/>
                <w:lang w:eastAsia="zh-CN"/>
              </w:rPr>
              <w:t>。</w:t>
            </w:r>
          </w:p>
        </w:tc>
        <w:tc>
          <w:tcPr>
            <w:tcW w:w="1775" w:type="dxa"/>
            <w:vMerge w:val="continue"/>
            <w:vAlign w:val="center"/>
          </w:tcPr>
          <w:p>
            <w:pPr>
              <w:spacing w:beforeLines="20" w:afterLines="30" w:line="0" w:lineRule="atLeast"/>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1996" w:type="dxa"/>
            <w:vAlign w:val="center"/>
          </w:tcPr>
          <w:p>
            <w:pPr>
              <w:spacing w:line="0" w:lineRule="atLeas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4.4实践</w:t>
            </w:r>
            <w:r>
              <w:rPr>
                <w:rFonts w:hint="eastAsia" w:asciiTheme="minorEastAsia" w:hAnsiTheme="minorEastAsia" w:eastAsiaTheme="minorEastAsia" w:cstheme="minorEastAsia"/>
                <w:color w:val="auto"/>
                <w:sz w:val="21"/>
                <w:szCs w:val="21"/>
              </w:rPr>
              <w:t>教学</w:t>
            </w:r>
          </w:p>
        </w:tc>
        <w:tc>
          <w:tcPr>
            <w:tcW w:w="8310" w:type="dxa"/>
            <w:vAlign w:val="center"/>
          </w:tcPr>
          <w:p>
            <w:pPr>
              <w:spacing w:beforeLines="20" w:afterLines="30" w:line="0" w:lineRule="atLeas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各类教学实验室配备完善，设备先进，利用率高，在本科人才培养中能发挥较好作用</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实验室开放时间长，开放范围及覆盖面广</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效果好。教学大纲要求的实验开出率高。</w:t>
            </w:r>
            <w:r>
              <w:rPr>
                <w:rFonts w:hint="eastAsia" w:asciiTheme="minorEastAsia" w:hAnsiTheme="minorEastAsia" w:eastAsiaTheme="minorEastAsia" w:cstheme="minorEastAsia"/>
                <w:color w:val="auto"/>
                <w:sz w:val="21"/>
                <w:szCs w:val="21"/>
                <w:lang w:val="en-US" w:eastAsia="zh-CN"/>
              </w:rPr>
              <w:t>实践教学</w:t>
            </w:r>
            <w:r>
              <w:rPr>
                <w:rFonts w:hint="eastAsia" w:asciiTheme="minorEastAsia" w:hAnsiTheme="minorEastAsia" w:eastAsiaTheme="minorEastAsia" w:cstheme="minorEastAsia"/>
                <w:color w:val="auto"/>
                <w:sz w:val="21"/>
                <w:szCs w:val="21"/>
              </w:rPr>
              <w:t>体系设计科学合理，符合培养目标要求，</w:t>
            </w:r>
            <w:r>
              <w:rPr>
                <w:rFonts w:hint="eastAsia" w:asciiTheme="minorEastAsia" w:hAnsiTheme="minorEastAsia" w:eastAsiaTheme="minorEastAsia" w:cstheme="minorEastAsia"/>
                <w:color w:val="auto"/>
                <w:sz w:val="21"/>
                <w:szCs w:val="21"/>
                <w:lang w:val="en-US" w:eastAsia="zh-CN"/>
              </w:rPr>
              <w:t>能够支撑</w:t>
            </w:r>
            <w:r>
              <w:rPr>
                <w:rFonts w:hint="eastAsia" w:asciiTheme="minorEastAsia" w:hAnsiTheme="minorEastAsia" w:eastAsiaTheme="minorEastAsia" w:cstheme="minorEastAsia"/>
                <w:color w:val="auto"/>
                <w:sz w:val="21"/>
                <w:szCs w:val="21"/>
              </w:rPr>
              <w:t>学生参加科研</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创新活动</w:t>
            </w:r>
            <w:r>
              <w:rPr>
                <w:rFonts w:hint="eastAsia" w:asciiTheme="minorEastAsia" w:hAnsiTheme="minorEastAsia" w:eastAsiaTheme="minorEastAsia" w:cstheme="minorEastAsia"/>
                <w:color w:val="auto"/>
                <w:sz w:val="21"/>
                <w:szCs w:val="21"/>
                <w:lang w:eastAsia="zh-CN"/>
              </w:rPr>
              <w:t>。</w:t>
            </w:r>
          </w:p>
        </w:tc>
        <w:tc>
          <w:tcPr>
            <w:tcW w:w="1775" w:type="dxa"/>
            <w:vMerge w:val="continue"/>
            <w:vAlign w:val="center"/>
          </w:tcPr>
          <w:p>
            <w:pPr>
              <w:spacing w:beforeLines="20" w:afterLines="30" w:line="0" w:lineRule="atLeast"/>
              <w:rPr>
                <w:rFonts w:hint="eastAsia" w:asciiTheme="minorEastAsia" w:hAnsiTheme="minorEastAsia" w:eastAsiaTheme="minorEastAsia" w:cstheme="minorEastAsia"/>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1996" w:type="dxa"/>
            <w:vAlign w:val="center"/>
          </w:tcPr>
          <w:p>
            <w:pPr>
              <w:spacing w:line="0" w:lineRule="atLeast"/>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4.5 体育、美育和劳动教育</w:t>
            </w:r>
          </w:p>
        </w:tc>
        <w:tc>
          <w:tcPr>
            <w:tcW w:w="8310" w:type="dxa"/>
            <w:vAlign w:val="center"/>
          </w:tcPr>
          <w:p>
            <w:pPr>
              <w:spacing w:beforeLines="20" w:afterLines="30" w:line="0" w:lineRule="atLeas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1.全面加强和改进新时代学校体育工作，将体育纳入人才培养方案，体育课程开设、学生军训学时数、学生体质健康达标率等符合国家规定，学生体质健康达标，修满体育学分方可毕业。</w:t>
            </w:r>
          </w:p>
          <w:p>
            <w:pPr>
              <w:spacing w:beforeLines="20" w:afterLines="30" w:line="0" w:lineRule="atLeas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2.全面加强和改进新时代学校美育工作，开展了丰富多彩的文体活动，注重培养学生良好的审美情趣和人文素养。公共艺术课程与艺术实践纳入人才培养方案，实行学分制管理，学生修满规定学分（公共艺术课程学分数≥2）方能毕业。</w:t>
            </w:r>
          </w:p>
          <w:p>
            <w:pPr>
              <w:spacing w:beforeLines="20" w:afterLines="30" w:line="0" w:lineRule="atLeas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3.强化劳动教育，引导学生崇尚劳动、尊重劳动。注重开展劳动实践，志愿服务及其他社会公益活动。探索建立劳动清单制度，加强过程性评价，将参与劳动教育课程学习和实践情况纳入学生综合素质档案。</w:t>
            </w:r>
          </w:p>
        </w:tc>
        <w:tc>
          <w:tcPr>
            <w:tcW w:w="1775" w:type="dxa"/>
            <w:vMerge w:val="continue"/>
            <w:vAlign w:val="center"/>
          </w:tcPr>
          <w:p>
            <w:pPr>
              <w:spacing w:beforeLines="20" w:afterLines="30" w:line="0" w:lineRule="atLeast"/>
              <w:rPr>
                <w:rFonts w:hint="eastAsia" w:asciiTheme="minorEastAsia" w:hAnsiTheme="minorEastAsia" w:eastAsiaTheme="minorEastAsia" w:cstheme="minorEastAsia"/>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jc w:val="center"/>
        </w:trPr>
        <w:tc>
          <w:tcPr>
            <w:tcW w:w="1655" w:type="dxa"/>
            <w:vMerge w:val="restar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5.</w:t>
            </w:r>
            <w:r>
              <w:rPr>
                <w:rFonts w:hint="eastAsia" w:asciiTheme="minorEastAsia" w:hAnsiTheme="minorEastAsia" w:eastAsiaTheme="minorEastAsia" w:cstheme="minorEastAsia"/>
                <w:color w:val="auto"/>
                <w:sz w:val="21"/>
                <w:szCs w:val="21"/>
              </w:rPr>
              <w:t>管理体系</w:t>
            </w:r>
          </w:p>
        </w:tc>
        <w:tc>
          <w:tcPr>
            <w:tcW w:w="19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5.1</w:t>
            </w:r>
            <w:r>
              <w:rPr>
                <w:rFonts w:hint="eastAsia" w:asciiTheme="minorEastAsia" w:hAnsiTheme="minorEastAsia" w:eastAsiaTheme="minorEastAsia" w:cstheme="minorEastAsia"/>
                <w:color w:val="auto"/>
                <w:sz w:val="21"/>
                <w:szCs w:val="21"/>
              </w:rPr>
              <w:t>管理队伍</w:t>
            </w:r>
          </w:p>
        </w:tc>
        <w:tc>
          <w:tcPr>
            <w:tcW w:w="8310" w:type="dxa"/>
            <w:vAlign w:val="center"/>
          </w:tcPr>
          <w:p>
            <w:pP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管理机构设置合理</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管理人员齐全</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职责明确，队伍稳定</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工作协调</w:t>
            </w:r>
            <w:r>
              <w:rPr>
                <w:rFonts w:hint="eastAsia" w:asciiTheme="minorEastAsia" w:hAnsiTheme="minorEastAsia" w:eastAsiaTheme="minorEastAsia" w:cstheme="minorEastAsia"/>
                <w:color w:val="auto"/>
                <w:sz w:val="21"/>
                <w:szCs w:val="21"/>
                <w:lang w:val="en-US" w:eastAsia="zh-CN"/>
              </w:rPr>
              <w:t>及</w:t>
            </w:r>
            <w:r>
              <w:rPr>
                <w:rFonts w:hint="eastAsia" w:asciiTheme="minorEastAsia" w:hAnsiTheme="minorEastAsia" w:eastAsiaTheme="minorEastAsia" w:cstheme="minorEastAsia"/>
                <w:color w:val="auto"/>
                <w:sz w:val="21"/>
                <w:szCs w:val="21"/>
              </w:rPr>
              <w:t>服务意识强</w:t>
            </w:r>
            <w:r>
              <w:rPr>
                <w:rFonts w:hint="eastAsia" w:asciiTheme="minorEastAsia" w:hAnsiTheme="minorEastAsia" w:eastAsiaTheme="minorEastAsia" w:cstheme="minorEastAsia"/>
                <w:color w:val="auto"/>
                <w:sz w:val="21"/>
                <w:szCs w:val="21"/>
                <w:lang w:eastAsia="zh-CN"/>
              </w:rPr>
              <w:t>。</w:t>
            </w:r>
          </w:p>
        </w:tc>
        <w:tc>
          <w:tcPr>
            <w:tcW w:w="1775" w:type="dxa"/>
            <w:vMerge w:val="restart"/>
            <w:vAlign w:val="center"/>
          </w:tcPr>
          <w:p>
            <w:pPr>
              <w:jc w:val="center"/>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查阅材料</w:t>
            </w:r>
          </w:p>
          <w:p>
            <w:pPr>
              <w:spacing w:beforeLines="20" w:afterLines="30" w:line="0" w:lineRule="atLeast"/>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师生座谈会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8"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19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5.2</w:t>
            </w:r>
            <w:r>
              <w:rPr>
                <w:rFonts w:hint="eastAsia" w:asciiTheme="minorEastAsia" w:hAnsiTheme="minorEastAsia" w:eastAsiaTheme="minorEastAsia" w:cstheme="minorEastAsia"/>
                <w:color w:val="auto"/>
                <w:sz w:val="21"/>
                <w:szCs w:val="21"/>
              </w:rPr>
              <w:t>规章制度</w:t>
            </w:r>
          </w:p>
        </w:tc>
        <w:tc>
          <w:tcPr>
            <w:tcW w:w="8310" w:type="dxa"/>
            <w:vAlign w:val="center"/>
          </w:tcPr>
          <w:p>
            <w:pP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已制定学士学位授予相关规章制度，</w:t>
            </w:r>
            <w:r>
              <w:rPr>
                <w:rFonts w:hint="eastAsia" w:asciiTheme="minorEastAsia" w:hAnsiTheme="minorEastAsia" w:eastAsiaTheme="minorEastAsia" w:cstheme="minorEastAsia"/>
                <w:color w:val="auto"/>
                <w:sz w:val="21"/>
                <w:szCs w:val="21"/>
                <w:lang w:val="en-US" w:eastAsia="zh-CN"/>
              </w:rPr>
              <w:t>教学管理制度健全</w:t>
            </w:r>
            <w:r>
              <w:rPr>
                <w:rFonts w:hint="eastAsia" w:asciiTheme="minorEastAsia" w:hAnsiTheme="minorEastAsia" w:eastAsiaTheme="minorEastAsia" w:cstheme="minorEastAsia"/>
                <w:color w:val="auto"/>
                <w:sz w:val="21"/>
                <w:szCs w:val="21"/>
              </w:rPr>
              <w:t>、规范，能保障学生培养质量</w:t>
            </w:r>
            <w:r>
              <w:rPr>
                <w:rFonts w:hint="eastAsia" w:asciiTheme="minorEastAsia" w:hAnsiTheme="minorEastAsia" w:eastAsiaTheme="minorEastAsia" w:cstheme="minorEastAsia"/>
                <w:color w:val="auto"/>
                <w:sz w:val="21"/>
                <w:szCs w:val="21"/>
                <w:lang w:eastAsia="zh-CN"/>
              </w:rPr>
              <w:t>。</w:t>
            </w:r>
          </w:p>
        </w:tc>
        <w:tc>
          <w:tcPr>
            <w:tcW w:w="1775" w:type="dxa"/>
            <w:vMerge w:val="continue"/>
            <w:vAlign w:val="center"/>
          </w:tcPr>
          <w:p>
            <w:pP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8" w:hRule="atLeast"/>
          <w:jc w:val="center"/>
        </w:trPr>
        <w:tc>
          <w:tcPr>
            <w:tcW w:w="1655"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1996" w:type="dxa"/>
            <w:vAlign w:val="center"/>
          </w:tcPr>
          <w:p>
            <w:pPr>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5.3保障机制</w:t>
            </w:r>
          </w:p>
        </w:tc>
        <w:tc>
          <w:tcPr>
            <w:tcW w:w="8310" w:type="dxa"/>
            <w:vAlign w:val="center"/>
          </w:tcPr>
          <w:p>
            <w:pP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建立专业建设保障机制。学位授予质量保障体系完善。</w:t>
            </w:r>
          </w:p>
        </w:tc>
        <w:tc>
          <w:tcPr>
            <w:tcW w:w="1775" w:type="dxa"/>
            <w:vMerge w:val="continue"/>
            <w:vAlign w:val="center"/>
          </w:tcPr>
          <w:p>
            <w:pPr>
              <w:rPr>
                <w:rFonts w:hint="eastAsia" w:asciiTheme="minorEastAsia" w:hAnsiTheme="minorEastAsia" w:eastAsiaTheme="minorEastAsia" w:cstheme="minorEastAsia"/>
                <w:color w:val="auto"/>
                <w:sz w:val="21"/>
                <w:szCs w:val="21"/>
                <w:lang w:val="en-US" w:eastAsia="zh-CN"/>
              </w:rPr>
            </w:pPr>
          </w:p>
        </w:tc>
      </w:tr>
    </w:tbl>
    <w:p>
      <w:pPr>
        <w:spacing w:line="300" w:lineRule="exact"/>
        <w:rPr>
          <w:rFonts w:hint="eastAsia" w:asciiTheme="minorEastAsia" w:hAnsiTheme="minorEastAsia" w:eastAsiaTheme="minorEastAsia" w:cstheme="minorEastAsia"/>
          <w:color w:val="auto"/>
          <w:sz w:val="21"/>
          <w:szCs w:val="21"/>
          <w:lang w:val="en-US" w:eastAsia="zh-CN"/>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备注：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color w:val="auto"/>
          <w:kern w:val="0"/>
          <w:sz w:val="21"/>
          <w:szCs w:val="21"/>
          <w:lang w:val="en-US" w:eastAsia="zh-CN"/>
        </w:rPr>
      </w:pPr>
      <w:r>
        <w:rPr>
          <w:rFonts w:hint="eastAsia" w:asciiTheme="minorEastAsia" w:hAnsiTheme="minorEastAsia" w:eastAsiaTheme="minorEastAsia" w:cstheme="minorEastAsia"/>
          <w:b/>
          <w:bCs/>
          <w:color w:val="auto"/>
          <w:sz w:val="21"/>
          <w:szCs w:val="21"/>
          <w:lang w:val="en-US" w:eastAsia="zh-CN"/>
        </w:rPr>
        <w:t>一、</w:t>
      </w:r>
      <w:r>
        <w:rPr>
          <w:rFonts w:hint="eastAsia" w:asciiTheme="minorEastAsia" w:hAnsiTheme="minorEastAsia" w:eastAsiaTheme="minorEastAsia" w:cstheme="minorEastAsia"/>
          <w:b/>
          <w:bCs/>
          <w:color w:val="auto"/>
          <w:sz w:val="21"/>
          <w:szCs w:val="21"/>
        </w:rPr>
        <w:t>教育部《普通本科学校设置暂行规定》</w:t>
      </w:r>
      <w:r>
        <w:rPr>
          <w:rFonts w:hint="eastAsia" w:asciiTheme="minorEastAsia" w:hAnsiTheme="minorEastAsia" w:eastAsiaTheme="minorEastAsia" w:cstheme="minorEastAsia"/>
          <w:b/>
          <w:bCs/>
          <w:color w:val="auto"/>
          <w:sz w:val="21"/>
          <w:szCs w:val="21"/>
          <w:lang w:val="en-US" w:eastAsia="zh-CN"/>
        </w:rPr>
        <w:t>相关规定</w:t>
      </w:r>
    </w:p>
    <w:p>
      <w:pPr>
        <w:keepNext w:val="0"/>
        <w:keepLines w:val="0"/>
        <w:pageBreakBefore w:val="0"/>
        <w:kinsoku/>
        <w:wordWrap/>
        <w:overflowPunct/>
        <w:topLinePunct w:val="0"/>
        <w:autoSpaceDE/>
        <w:autoSpaceDN/>
        <w:bidi w:val="0"/>
        <w:adjustRightInd/>
        <w:snapToGrid/>
        <w:spacing w:line="360" w:lineRule="auto"/>
        <w:ind w:firstLine="412" w:firstLineChars="200"/>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1</w:t>
      </w:r>
      <w:r>
        <w:rPr>
          <w:rFonts w:hint="eastAsia" w:asciiTheme="minorEastAsia" w:hAnsiTheme="minorEastAsia" w:eastAsiaTheme="minorEastAsia" w:cstheme="minorEastAsia"/>
          <w:color w:val="auto"/>
          <w:kern w:val="0"/>
          <w:sz w:val="21"/>
          <w:szCs w:val="21"/>
        </w:rPr>
        <w:t>. 生师比=折合在校生数/专任教师总数（参照教育部教发〔2004〕2号文件），综合、师范、民族院校，工科、农、林院校和语文、财经、政法院校≤18:1；医学院校≤16:1；体育、艺术院校≤11:1。</w:t>
      </w:r>
    </w:p>
    <w:p>
      <w:pPr>
        <w:keepNext w:val="0"/>
        <w:keepLines w:val="0"/>
        <w:pageBreakBefore w:val="0"/>
        <w:kinsoku/>
        <w:wordWrap/>
        <w:overflowPunct/>
        <w:topLinePunct w:val="0"/>
        <w:autoSpaceDE/>
        <w:autoSpaceDN/>
        <w:bidi w:val="0"/>
        <w:adjustRightInd/>
        <w:snapToGrid/>
        <w:spacing w:line="360" w:lineRule="auto"/>
        <w:ind w:firstLine="412" w:firstLineChars="200"/>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折合在校生数=普通本专科在校生数+硕士研究生在校生数*1.5+博士研究生在校生数*2+普通本专科留学生在校生数+硕士留学生在校生数*1.5+博士留学生在校生数*2+普通预科生注册生数+成人业余本专科在校生数*0.3+成人函授本专科在校生数*0.1+网络本专科在校生*0.1+本校中职在校生数+其他（占用教学资源的学历教育学生数，例如成人脱产本专科在校生数）。</w:t>
      </w:r>
    </w:p>
    <w:p>
      <w:pPr>
        <w:keepNext w:val="0"/>
        <w:keepLines w:val="0"/>
        <w:pageBreakBefore w:val="0"/>
        <w:kinsoku/>
        <w:wordWrap/>
        <w:overflowPunct/>
        <w:topLinePunct w:val="0"/>
        <w:autoSpaceDE/>
        <w:autoSpaceDN/>
        <w:bidi w:val="0"/>
        <w:adjustRightInd/>
        <w:snapToGrid/>
        <w:spacing w:line="360" w:lineRule="auto"/>
        <w:ind w:firstLine="412" w:firstLineChars="200"/>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专任教师总数=本校专任教师数+本学年聘请校外教师数*0.5+临床教师数*0.5；其中：本校专任教师须承担教学任务且人事关系在本校（原则上须连续6个月缴纳人员养老险等社保或人员档案在本校）；校外教师须承担本校教学任务、有聘用合同和劳务费发放记录，聘请校外教师折算数（本学年聘请校外教师数*0.5）不超过专任教师总数的四分之一；临床教师须承担教学任务且人事关系在本校或直属附属医院。</w:t>
      </w:r>
    </w:p>
    <w:p>
      <w:pPr>
        <w:keepNext w:val="0"/>
        <w:keepLines w:val="0"/>
        <w:pageBreakBefore w:val="0"/>
        <w:kinsoku/>
        <w:wordWrap/>
        <w:overflowPunct/>
        <w:topLinePunct w:val="0"/>
        <w:autoSpaceDE/>
        <w:autoSpaceDN/>
        <w:bidi w:val="0"/>
        <w:adjustRightInd/>
        <w:snapToGrid/>
        <w:spacing w:line="360" w:lineRule="auto"/>
        <w:ind w:firstLine="412" w:firstLineChars="200"/>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2</w:t>
      </w:r>
      <w:r>
        <w:rPr>
          <w:rFonts w:hint="eastAsia" w:asciiTheme="minorEastAsia" w:hAnsiTheme="minorEastAsia" w:eastAsiaTheme="minorEastAsia" w:cstheme="minorEastAsia"/>
          <w:color w:val="auto"/>
          <w:kern w:val="0"/>
          <w:sz w:val="21"/>
          <w:szCs w:val="21"/>
        </w:rPr>
        <w:t>. 生均年教学日常运行支出=教学日常运行支出/折合在校生数。教学日常运行支出：指学校开展普通本专科教学活动及其辅助活动发生的支出，仅指教学基本支出中的商品和服务支出（302类）（不含教学专项拨款支出），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p>
    <w:p>
      <w:pPr>
        <w:keepNext w:val="0"/>
        <w:keepLines w:val="0"/>
        <w:pageBreakBefore w:val="0"/>
        <w:kinsoku/>
        <w:wordWrap/>
        <w:overflowPunct/>
        <w:topLinePunct w:val="0"/>
        <w:autoSpaceDE/>
        <w:autoSpaceDN/>
        <w:bidi w:val="0"/>
        <w:adjustRightInd/>
        <w:snapToGrid/>
        <w:spacing w:line="360" w:lineRule="auto"/>
        <w:ind w:firstLine="412" w:firstLineChars="200"/>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3</w:t>
      </w:r>
      <w:r>
        <w:rPr>
          <w:rFonts w:hint="eastAsia" w:asciiTheme="minorEastAsia" w:hAnsiTheme="minorEastAsia" w:eastAsiaTheme="minorEastAsia" w:cstheme="minorEastAsia"/>
          <w:color w:val="auto"/>
          <w:kern w:val="0"/>
          <w:sz w:val="21"/>
          <w:szCs w:val="21"/>
        </w:rPr>
        <w:t>. 年新增教学科研仪器设备所占比例（参照教育部教发〔2004〕2号文件）：年新增教学科研仪器设备所占比例≥10%。凡教学仪器设备总值超过1亿元的高校，当年新增教学仪器设备值超过1000万元，该项指标即为合格。</w:t>
      </w:r>
    </w:p>
    <w:p>
      <w:pPr>
        <w:keepNext w:val="0"/>
        <w:keepLines w:val="0"/>
        <w:pageBreakBefore w:val="0"/>
        <w:kinsoku/>
        <w:wordWrap/>
        <w:overflowPunct/>
        <w:topLinePunct w:val="0"/>
        <w:autoSpaceDE/>
        <w:autoSpaceDN/>
        <w:bidi w:val="0"/>
        <w:adjustRightInd/>
        <w:snapToGrid/>
        <w:spacing w:line="360" w:lineRule="auto"/>
        <w:ind w:firstLine="412" w:firstLineChars="200"/>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4</w:t>
      </w:r>
      <w:r>
        <w:rPr>
          <w:rFonts w:hint="eastAsia" w:asciiTheme="minorEastAsia" w:hAnsiTheme="minorEastAsia" w:eastAsiaTheme="minorEastAsia" w:cstheme="minorEastAsia"/>
          <w:color w:val="auto"/>
          <w:kern w:val="0"/>
          <w:sz w:val="21"/>
          <w:szCs w:val="21"/>
        </w:rPr>
        <w:t>. 生均教学科研仪器设备值=普通高校教学与科研仪器设备总资产值/折合在校生数（参照教育部教发〔2004〕2号文件），综合、师范、民族院校，工科、农、林院校和医学院校≥5000元/生，体育、艺术院校≥4000元/生，语文、财经、政法院校≥3000元/生。</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color w:val="auto"/>
          <w:kern w:val="0"/>
          <w:sz w:val="21"/>
          <w:szCs w:val="21"/>
          <w:lang w:val="en-US" w:eastAsia="zh-CN"/>
        </w:rPr>
      </w:pPr>
      <w:r>
        <w:rPr>
          <w:rFonts w:hint="eastAsia" w:asciiTheme="minorEastAsia" w:hAnsiTheme="minorEastAsia" w:eastAsiaTheme="minorEastAsia" w:cstheme="minorEastAsia"/>
          <w:b/>
          <w:bCs/>
          <w:color w:val="auto"/>
          <w:kern w:val="0"/>
          <w:sz w:val="21"/>
          <w:szCs w:val="21"/>
          <w:lang w:val="en-US" w:eastAsia="zh-CN"/>
        </w:rPr>
        <w:t>二、评价说明</w:t>
      </w:r>
    </w:p>
    <w:p>
      <w:pPr>
        <w:keepNext w:val="0"/>
        <w:keepLines w:val="0"/>
        <w:pageBreakBefore w:val="0"/>
        <w:kinsoku/>
        <w:wordWrap/>
        <w:overflowPunct/>
        <w:topLinePunct w:val="0"/>
        <w:autoSpaceDE/>
        <w:autoSpaceDN/>
        <w:bidi w:val="0"/>
        <w:adjustRightInd/>
        <w:snapToGrid/>
        <w:spacing w:line="360" w:lineRule="auto"/>
        <w:ind w:firstLine="412" w:firstLineChars="200"/>
        <w:textAlignment w:val="auto"/>
        <w:rPr>
          <w:rFonts w:hint="default" w:asciiTheme="minorEastAsia" w:hAnsiTheme="minorEastAsia" w:eastAsiaTheme="minorEastAsia" w:cstheme="minorEastAsia"/>
          <w:color w:val="auto"/>
          <w:kern w:val="0"/>
          <w:sz w:val="21"/>
          <w:szCs w:val="21"/>
          <w:lang w:val="en" w:eastAsia="zh-CN"/>
        </w:rPr>
      </w:pPr>
      <w:r>
        <w:rPr>
          <w:rFonts w:hint="eastAsia" w:asciiTheme="minorEastAsia" w:hAnsiTheme="minorEastAsia" w:eastAsiaTheme="minorEastAsia" w:cstheme="minorEastAsia"/>
          <w:color w:val="auto"/>
          <w:sz w:val="21"/>
          <w:szCs w:val="21"/>
          <w:lang w:val="en-US" w:eastAsia="zh-CN"/>
        </w:rPr>
        <w:t>1. 本指标体系共有5项一级</w:t>
      </w:r>
      <w:r>
        <w:rPr>
          <w:rFonts w:hint="eastAsia" w:asciiTheme="minorEastAsia" w:hAnsiTheme="minorEastAsia" w:eastAsiaTheme="minorEastAsia" w:cstheme="minorEastAsia"/>
          <w:color w:val="auto"/>
          <w:kern w:val="0"/>
          <w:sz w:val="21"/>
          <w:szCs w:val="21"/>
          <w:lang w:val="en-US" w:eastAsia="zh-CN"/>
        </w:rPr>
        <w:t>指标，21项二级指标，其中加“</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kern w:val="0"/>
          <w:sz w:val="21"/>
          <w:szCs w:val="21"/>
          <w:lang w:val="en-US" w:eastAsia="zh-CN"/>
        </w:rPr>
        <w:t>”的指标为重点指标，共8项；每项指标评价结果为“合格（P）”“不合格（F）”两个等级；21项指标中，合格（P）指标达到16项（其中重点指标达到6项），总体评价为合格</w:t>
      </w:r>
      <w:r>
        <w:rPr>
          <w:rFonts w:hint="eastAsia" w:asciiTheme="minorEastAsia" w:hAnsiTheme="minorEastAsia" w:eastAsiaTheme="minorEastAsia" w:cstheme="minorEastAsia"/>
          <w:color w:val="auto"/>
          <w:kern w:val="0"/>
          <w:sz w:val="21"/>
          <w:szCs w:val="21"/>
          <w:lang w:val="en" w:eastAsia="zh-CN"/>
        </w:rPr>
        <w:t>；</w:t>
      </w:r>
    </w:p>
    <w:p>
      <w:pPr>
        <w:keepNext w:val="0"/>
        <w:keepLines w:val="0"/>
        <w:pageBreakBefore w:val="0"/>
        <w:kinsoku/>
        <w:wordWrap/>
        <w:overflowPunct/>
        <w:topLinePunct w:val="0"/>
        <w:autoSpaceDE/>
        <w:autoSpaceDN/>
        <w:bidi w:val="0"/>
        <w:adjustRightInd/>
        <w:snapToGrid/>
        <w:spacing w:line="360" w:lineRule="auto"/>
        <w:ind w:firstLine="412" w:firstLineChars="200"/>
        <w:textAlignment w:val="auto"/>
        <w:rPr>
          <w:rFonts w:hint="default" w:asciiTheme="minorAscii" w:hAnsiTheme="minorAscii" w:eastAsiaTheme="minorEastAsia" w:cstheme="minorEastAsia"/>
          <w:color w:val="auto"/>
          <w:sz w:val="21"/>
          <w:szCs w:val="21"/>
        </w:rPr>
      </w:pPr>
      <w:r>
        <w:rPr>
          <w:rFonts w:hint="default" w:asciiTheme="minorEastAsia" w:hAnsiTheme="minorEastAsia" w:eastAsiaTheme="minorEastAsia" w:cstheme="minorEastAsia"/>
          <w:color w:val="auto"/>
          <w:kern w:val="0"/>
          <w:sz w:val="21"/>
          <w:szCs w:val="21"/>
          <w:lang w:val="en" w:eastAsia="zh-CN"/>
        </w:rPr>
        <w:t>2.</w:t>
      </w:r>
      <w:r>
        <w:rPr>
          <w:rFonts w:hint="eastAsia" w:asciiTheme="minorEastAsia" w:hAnsiTheme="minorEastAsia" w:eastAsiaTheme="minorEastAsia" w:cstheme="minorEastAsia"/>
          <w:color w:val="auto"/>
          <w:sz w:val="21"/>
          <w:szCs w:val="21"/>
          <w:lang w:val="en-US" w:eastAsia="zh-CN"/>
        </w:rPr>
        <w:t>每项指标评价结果由专家组集中评议确定。</w:t>
      </w:r>
      <w:bookmarkStart w:id="1" w:name="_GoBack"/>
      <w:bookmarkEnd w:id="1"/>
    </w:p>
    <w:sectPr>
      <w:footerReference r:id="rId3"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Tahoma">
    <w:altName w:val="Droid Sans"/>
    <w:panose1 w:val="020B0604030504040204"/>
    <w:charset w:val="00"/>
    <w:family w:val="swiss"/>
    <w:pitch w:val="default"/>
    <w:sig w:usb0="00000000" w:usb1="00000000" w:usb2="00000029" w:usb3="00000000" w:csb0="200101FF" w:csb1="2028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Droid Sans">
    <w:panose1 w:val="020B0606030804020204"/>
    <w:charset w:val="00"/>
    <w:family w:val="auto"/>
    <w:pitch w:val="default"/>
    <w:sig w:usb0="E00002EF" w:usb1="4000205B" w:usb2="00000028"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46B"/>
    <w:rsid w:val="00125857"/>
    <w:rsid w:val="001C046B"/>
    <w:rsid w:val="006B2BA5"/>
    <w:rsid w:val="009D4DF1"/>
    <w:rsid w:val="0DC51784"/>
    <w:rsid w:val="1A1685E4"/>
    <w:rsid w:val="1C8019A0"/>
    <w:rsid w:val="26CB5781"/>
    <w:rsid w:val="27672245"/>
    <w:rsid w:val="37BC6D40"/>
    <w:rsid w:val="3A9322DA"/>
    <w:rsid w:val="3BBE91DC"/>
    <w:rsid w:val="3DBB3893"/>
    <w:rsid w:val="3E5A4D9B"/>
    <w:rsid w:val="3F7ADCBE"/>
    <w:rsid w:val="4FD735E8"/>
    <w:rsid w:val="54D902DA"/>
    <w:rsid w:val="57B90135"/>
    <w:rsid w:val="5AC917E4"/>
    <w:rsid w:val="6107418D"/>
    <w:rsid w:val="692A0589"/>
    <w:rsid w:val="6DDE44A5"/>
    <w:rsid w:val="6EFDBFCB"/>
    <w:rsid w:val="73D15E2A"/>
    <w:rsid w:val="79438DB3"/>
    <w:rsid w:val="797C511A"/>
    <w:rsid w:val="7D8B2AFB"/>
    <w:rsid w:val="7DFBA89C"/>
    <w:rsid w:val="7F7E6C38"/>
    <w:rsid w:val="7FA7C284"/>
    <w:rsid w:val="7FBEE0E9"/>
    <w:rsid w:val="7FBF11C1"/>
    <w:rsid w:val="7FDE6912"/>
    <w:rsid w:val="7FFB395E"/>
    <w:rsid w:val="7FFBF0C6"/>
    <w:rsid w:val="AB6F7643"/>
    <w:rsid w:val="B4FF4284"/>
    <w:rsid w:val="BBB04305"/>
    <w:rsid w:val="BF7F65C4"/>
    <w:rsid w:val="CAABD92B"/>
    <w:rsid w:val="D3F9BA6C"/>
    <w:rsid w:val="D7FF362F"/>
    <w:rsid w:val="DAD599A3"/>
    <w:rsid w:val="DCBE6673"/>
    <w:rsid w:val="DE7E9C8C"/>
    <w:rsid w:val="DEBB0177"/>
    <w:rsid w:val="EB7F3772"/>
    <w:rsid w:val="EDDDD893"/>
    <w:rsid w:val="F7FA5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宋体" w:cs="Times New Roman"/>
      <w:spacing w:val="-2"/>
      <w:kern w:val="2"/>
      <w:sz w:val="32"/>
      <w:szCs w:val="3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Char"/>
    <w:basedOn w:val="1"/>
    <w:next w:val="1"/>
    <w:qFormat/>
    <w:uiPriority w:val="0"/>
    <w:rPr>
      <w:rFonts w:ascii="Tahoma" w:hAnsi="Tahoma"/>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3393</Words>
  <Characters>3571</Characters>
  <Lines>9</Lines>
  <Paragraphs>2</Paragraphs>
  <TotalTime>2</TotalTime>
  <ScaleCrop>false</ScaleCrop>
  <LinksUpToDate>false</LinksUpToDate>
  <CharactersWithSpaces>3583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2021-03-08T17:57:00Z</dcterms:created>
  <dc:creator>微软中国</dc:creator>
  <cp:lastModifiedBy>炒鸡蛋</cp:lastModifiedBy>
  <dcterms:modified xsi:type="dcterms:W3CDTF">2022-04-28T11:20:12Z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95CFDCBEB5D44A258BC313BBCA1C8B8D</vt:lpwstr>
  </property>
</Properties>
</file>