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E356A">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海南省仁德学校2024年度部门决算公开报告</w:t>
      </w:r>
    </w:p>
    <w:p w14:paraId="6C2B2D3A">
      <w:pPr>
        <w:spacing w:line="578" w:lineRule="exact"/>
        <w:jc w:val="center"/>
        <w:rPr>
          <w:rFonts w:hint="eastAsia" w:ascii="黑体" w:hAnsi="ˎ̥" w:eastAsia="黑体"/>
          <w:b/>
          <w:sz w:val="32"/>
          <w:szCs w:val="32"/>
        </w:rPr>
      </w:pPr>
    </w:p>
    <w:p w14:paraId="6A8F1018">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6A2F743B">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rPr>
        <w:t>2</w:t>
      </w:r>
    </w:p>
    <w:p w14:paraId="29CBFE79">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一、部门（单位）职责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09089809">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3B013F23">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rPr>
        <w:t>2</w:t>
      </w:r>
    </w:p>
    <w:p w14:paraId="6E57563D">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14:paraId="65C40179">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3</w:t>
      </w:r>
    </w:p>
    <w:p w14:paraId="4BD7D57F">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0C54764D">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51FC70A3">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7A0C8420">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5</w:t>
      </w:r>
    </w:p>
    <w:p w14:paraId="0F3513AE">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rPr>
        <w:t>6</w:t>
      </w:r>
    </w:p>
    <w:p w14:paraId="14C271AC">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7</w:t>
      </w:r>
    </w:p>
    <w:p w14:paraId="341B0484">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8</w:t>
      </w:r>
    </w:p>
    <w:p w14:paraId="4A5010BD">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9</w:t>
      </w:r>
    </w:p>
    <w:p w14:paraId="23F091F4">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11</w:t>
      </w:r>
    </w:p>
    <w:p w14:paraId="11226842">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13</w:t>
      </w:r>
    </w:p>
    <w:p w14:paraId="1704E608">
      <w:pPr>
        <w:pStyle w:val="15"/>
        <w:tabs>
          <w:tab w:val="right" w:leader="dot" w:pos="8306"/>
        </w:tabs>
        <w:spacing w:line="578" w:lineRule="exact"/>
        <w:rPr>
          <w:rFonts w:hint="eastAsia" w:ascii="黑体" w:hAnsi="ˎ̥"/>
          <w:b/>
          <w:color w:val="auto"/>
          <w:sz w:val="32"/>
          <w:szCs w:val="32"/>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rPr>
        <w:t>5</w:t>
      </w:r>
    </w:p>
    <w:p w14:paraId="4EC8D6DA">
      <w:pPr>
        <w:spacing w:line="578" w:lineRule="exact"/>
        <w:jc w:val="both"/>
        <w:rPr>
          <w:rFonts w:hint="eastAsia" w:ascii="黑体" w:hAnsi="ˎ̥" w:eastAsia="黑体"/>
          <w:color w:val="auto"/>
          <w:sz w:val="32"/>
          <w:szCs w:val="32"/>
        </w:rPr>
      </w:pPr>
      <w:bookmarkStart w:id="2" w:name="_Toc32433_WPSOffice_Level1"/>
      <w:bookmarkStart w:id="3" w:name="_Toc10720_WPSOffice_Level1"/>
      <w:bookmarkStart w:id="4" w:name="_Toc10049_WPSOffice_Level1"/>
      <w:bookmarkStart w:id="5" w:name="_Toc23465_WPSOffice_Level1"/>
      <w:bookmarkStart w:id="6" w:name="_Toc1704_WPSOffice_Level1"/>
      <w:bookmarkStart w:id="7" w:name="_Toc22941_WPSOffice_Level1"/>
      <w:bookmarkStart w:id="8" w:name="_Toc24238_WPSOffice_Level2"/>
      <w:bookmarkStart w:id="9" w:name="_Toc32622_WPSOffice_Level2"/>
      <w:bookmarkStart w:id="10" w:name="_Toc26580_WPSOffice_Level2"/>
      <w:bookmarkStart w:id="11" w:name="_Toc20205_WPSOffice_Level2"/>
      <w:bookmarkStart w:id="12" w:name="_Toc14159_WPSOffice_Level2"/>
      <w:bookmarkStart w:id="13" w:name="_Toc20274_WPSOffice_Level2"/>
    </w:p>
    <w:p w14:paraId="4C7BD391">
      <w:pPr>
        <w:spacing w:line="578" w:lineRule="exact"/>
        <w:jc w:val="center"/>
        <w:rPr>
          <w:rFonts w:hint="eastAsia" w:ascii="黑体" w:hAnsi="ˎ̥" w:eastAsia="黑体"/>
          <w:color w:val="auto"/>
          <w:sz w:val="32"/>
          <w:szCs w:val="32"/>
        </w:rPr>
      </w:pPr>
    </w:p>
    <w:p w14:paraId="13495E08">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14:paraId="59DE4DDD">
      <w:pPr>
        <w:spacing w:line="578" w:lineRule="exact"/>
        <w:ind w:firstLine="640" w:firstLineChars="200"/>
        <w:rPr>
          <w:rFonts w:hint="eastAsia" w:ascii="楷体" w:hAnsi="楷体" w:eastAsia="楷体" w:cs="楷体"/>
          <w:color w:val="auto"/>
          <w:sz w:val="32"/>
          <w:szCs w:val="32"/>
        </w:rPr>
      </w:pPr>
    </w:p>
    <w:p w14:paraId="4A3D8885">
      <w:pPr>
        <w:numPr>
          <w:ilvl w:val="0"/>
          <w:numId w:val="0"/>
        </w:num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kern w:val="2"/>
          <w:sz w:val="32"/>
          <w:szCs w:val="32"/>
          <w:lang w:val="en-US" w:eastAsia="zh-CN" w:bidi="ar-SA"/>
        </w:rPr>
        <w:t>一、</w:t>
      </w:r>
      <w:r>
        <w:rPr>
          <w:rFonts w:hint="eastAsia" w:ascii="黑体" w:hAnsi="黑体" w:eastAsia="黑体" w:cs="黑体"/>
          <w:color w:val="auto"/>
          <w:sz w:val="32"/>
          <w:szCs w:val="32"/>
        </w:rPr>
        <w:t>部门</w:t>
      </w:r>
      <w:bookmarkEnd w:id="8"/>
      <w:r>
        <w:rPr>
          <w:rFonts w:hint="eastAsia" w:ascii="黑体" w:hAnsi="黑体" w:eastAsia="黑体" w:cs="黑体"/>
          <w:color w:val="auto"/>
          <w:sz w:val="32"/>
          <w:szCs w:val="32"/>
        </w:rPr>
        <w:t>（单位）职责</w:t>
      </w:r>
      <w:bookmarkEnd w:id="9"/>
      <w:bookmarkEnd w:id="10"/>
      <w:bookmarkEnd w:id="11"/>
      <w:bookmarkEnd w:id="12"/>
      <w:bookmarkEnd w:id="13"/>
    </w:p>
    <w:p w14:paraId="39AA1142">
      <w:pPr>
        <w:numPr>
          <w:ilvl w:val="0"/>
          <w:numId w:val="0"/>
        </w:numPr>
        <w:spacing w:line="578" w:lineRule="exact"/>
        <w:ind w:firstLine="640" w:firstLineChars="200"/>
        <w:rPr>
          <w:rFonts w:hint="eastAsia" w:ascii="黑体" w:hAnsi="黑体" w:eastAsia="黑体" w:cs="黑体"/>
          <w:color w:val="auto"/>
          <w:sz w:val="32"/>
          <w:szCs w:val="32"/>
        </w:rPr>
      </w:pPr>
      <w:r>
        <w:rPr>
          <w:rFonts w:hint="eastAsia" w:ascii="仿宋_GB2312" w:hAnsi="ˎ̥" w:eastAsia="仿宋_GB2312"/>
          <w:color w:val="auto"/>
          <w:sz w:val="32"/>
          <w:szCs w:val="32"/>
          <w:lang w:val="en-US" w:eastAsia="zh-CN"/>
        </w:rPr>
        <w:t>海南</w:t>
      </w:r>
      <w:r>
        <w:rPr>
          <w:rFonts w:hint="eastAsia" w:ascii="仿宋_GB2312" w:hAnsi="ˎ̥" w:eastAsia="仿宋_GB2312"/>
          <w:color w:val="auto"/>
          <w:sz w:val="32"/>
          <w:szCs w:val="32"/>
        </w:rPr>
        <w:t>省仁德学校为海南省教育厅管理的公益一类事业单位</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位于海南省澄迈县仁兴镇西达居井坡队，是一所专门学校，主要职责是教育和矫治有严重不良行为的未成年人</w:t>
      </w:r>
      <w:r>
        <w:rPr>
          <w:rFonts w:hint="eastAsia" w:ascii="仿宋_GB2312" w:hAnsi="ˎ̥" w:eastAsia="仿宋_GB2312"/>
          <w:color w:val="auto"/>
          <w:sz w:val="32"/>
          <w:szCs w:val="32"/>
          <w:lang w:eastAsia="zh-CN"/>
        </w:rPr>
        <w:t>。</w:t>
      </w:r>
    </w:p>
    <w:p w14:paraId="0680DACE">
      <w:pPr>
        <w:spacing w:line="578" w:lineRule="exact"/>
        <w:ind w:firstLine="640" w:firstLineChars="200"/>
        <w:rPr>
          <w:rFonts w:hint="eastAsia" w:ascii="黑体" w:hAnsi="黑体" w:eastAsia="黑体" w:cs="黑体"/>
          <w:color w:val="auto"/>
          <w:sz w:val="32"/>
          <w:szCs w:val="32"/>
        </w:rPr>
      </w:pPr>
      <w:bookmarkStart w:id="14" w:name="_Toc4833_WPSOffice_Level2"/>
      <w:bookmarkStart w:id="15" w:name="_Toc24474_WPSOffice_Level2"/>
      <w:bookmarkStart w:id="16" w:name="_Toc17796_WPSOffice_Level2"/>
      <w:bookmarkStart w:id="17" w:name="_Toc24059_WPSOffice_Level2"/>
      <w:bookmarkStart w:id="18" w:name="_Toc6572_WPSOffice_Level2"/>
      <w:r>
        <w:rPr>
          <w:rFonts w:hint="eastAsia" w:ascii="黑体" w:hAnsi="黑体" w:eastAsia="黑体" w:cs="黑体"/>
          <w:color w:val="auto"/>
          <w:sz w:val="32"/>
          <w:szCs w:val="32"/>
        </w:rPr>
        <w:t>二、机构设置</w:t>
      </w:r>
      <w:bookmarkEnd w:id="14"/>
      <w:bookmarkEnd w:id="15"/>
      <w:bookmarkEnd w:id="16"/>
      <w:bookmarkEnd w:id="17"/>
      <w:bookmarkEnd w:id="18"/>
    </w:p>
    <w:p w14:paraId="4A95DA43">
      <w:pPr>
        <w:keepNext w:val="0"/>
        <w:keepLines w:val="0"/>
        <w:widowControl/>
        <w:suppressLineNumbers w:val="0"/>
        <w:ind w:firstLine="620" w:firstLineChars="200"/>
        <w:jc w:val="left"/>
        <w:rPr>
          <w:color w:val="auto"/>
        </w:rPr>
      </w:pPr>
      <w:bookmarkStart w:id="19" w:name="_Toc8164_WPSOffice_Level1"/>
      <w:bookmarkStart w:id="20" w:name="_Toc28253_WPSOffice_Level1"/>
      <w:bookmarkStart w:id="21" w:name="_Toc15521_WPSOffice_Level1"/>
      <w:bookmarkStart w:id="22" w:name="_Toc30451_WPSOffice_Level1"/>
      <w:bookmarkStart w:id="23" w:name="_Toc30690_WPSOffice_Level1"/>
      <w:bookmarkStart w:id="24" w:name="_Toc6234_WPSOffice_Level1"/>
      <w:bookmarkStart w:id="25" w:name="_Toc4029_WPSOffice_Level2"/>
      <w:bookmarkStart w:id="26" w:name="_Toc6211_WPSOffice_Level2"/>
      <w:bookmarkStart w:id="27" w:name="_Toc32695_WPSOffice_Level2"/>
      <w:bookmarkStart w:id="28" w:name="_Toc11518_WPSOffice_Level2"/>
      <w:bookmarkStart w:id="29" w:name="_Toc8867_WPSOffice_Level2"/>
      <w:bookmarkStart w:id="30" w:name="_Toc32472_WPSOffice_Level2"/>
      <w:r>
        <w:rPr>
          <w:rFonts w:ascii="仿宋" w:hAnsi="仿宋" w:eastAsia="仿宋" w:cs="仿宋"/>
          <w:color w:val="auto"/>
          <w:kern w:val="0"/>
          <w:sz w:val="31"/>
          <w:szCs w:val="31"/>
          <w:lang w:val="en-US" w:eastAsia="zh-CN" w:bidi="ar"/>
        </w:rPr>
        <w:t>学校内设</w:t>
      </w:r>
      <w:r>
        <w:rPr>
          <w:rFonts w:hint="eastAsia" w:ascii="仿宋" w:hAnsi="仿宋" w:eastAsia="仿宋" w:cs="仿宋"/>
          <w:color w:val="auto"/>
          <w:kern w:val="0"/>
          <w:sz w:val="31"/>
          <w:szCs w:val="31"/>
          <w:lang w:val="en-US" w:eastAsia="zh-CN" w:bidi="ar"/>
        </w:rPr>
        <w:t>机构</w:t>
      </w:r>
      <w:r>
        <w:rPr>
          <w:rFonts w:ascii="仿宋" w:hAnsi="仿宋" w:eastAsia="仿宋" w:cs="仿宋"/>
          <w:color w:val="auto"/>
          <w:kern w:val="0"/>
          <w:sz w:val="31"/>
          <w:szCs w:val="31"/>
          <w:lang w:val="en-US" w:eastAsia="zh-CN" w:bidi="ar"/>
        </w:rPr>
        <w:t>：党</w:t>
      </w:r>
      <w:r>
        <w:rPr>
          <w:rFonts w:hint="eastAsia" w:ascii="仿宋" w:hAnsi="仿宋" w:eastAsia="仿宋" w:cs="仿宋"/>
          <w:color w:val="auto"/>
          <w:kern w:val="0"/>
          <w:sz w:val="31"/>
          <w:szCs w:val="31"/>
          <w:lang w:val="en-US" w:eastAsia="zh-CN" w:bidi="ar"/>
        </w:rPr>
        <w:t>政</w:t>
      </w:r>
      <w:r>
        <w:rPr>
          <w:rFonts w:ascii="仿宋" w:hAnsi="仿宋" w:eastAsia="仿宋" w:cs="仿宋"/>
          <w:color w:val="auto"/>
          <w:kern w:val="0"/>
          <w:sz w:val="31"/>
          <w:szCs w:val="31"/>
          <w:lang w:val="en-US" w:eastAsia="zh-CN" w:bidi="ar"/>
        </w:rPr>
        <w:t>办、</w:t>
      </w:r>
      <w:r>
        <w:rPr>
          <w:rFonts w:hint="eastAsia" w:ascii="仿宋" w:hAnsi="仿宋" w:eastAsia="仿宋" w:cs="仿宋"/>
          <w:color w:val="auto"/>
          <w:kern w:val="0"/>
          <w:sz w:val="31"/>
          <w:szCs w:val="31"/>
          <w:lang w:val="en-US" w:eastAsia="zh-CN" w:bidi="ar"/>
        </w:rPr>
        <w:t>总务科</w:t>
      </w:r>
      <w:r>
        <w:rPr>
          <w:rFonts w:ascii="仿宋" w:hAnsi="仿宋" w:eastAsia="仿宋" w:cs="仿宋"/>
          <w:color w:val="auto"/>
          <w:kern w:val="0"/>
          <w:sz w:val="31"/>
          <w:szCs w:val="31"/>
          <w:lang w:val="en-US" w:eastAsia="zh-CN" w:bidi="ar"/>
        </w:rPr>
        <w:t>、教务</w:t>
      </w:r>
      <w:r>
        <w:rPr>
          <w:rFonts w:hint="eastAsia" w:ascii="仿宋" w:hAnsi="仿宋" w:eastAsia="仿宋" w:cs="仿宋"/>
          <w:color w:val="auto"/>
          <w:kern w:val="0"/>
          <w:sz w:val="31"/>
          <w:szCs w:val="31"/>
          <w:lang w:val="en-US" w:eastAsia="zh-CN" w:bidi="ar"/>
        </w:rPr>
        <w:t>科</w:t>
      </w:r>
      <w:r>
        <w:rPr>
          <w:rFonts w:ascii="仿宋" w:hAnsi="仿宋" w:eastAsia="仿宋" w:cs="仿宋"/>
          <w:color w:val="auto"/>
          <w:kern w:val="0"/>
          <w:sz w:val="31"/>
          <w:szCs w:val="31"/>
          <w:lang w:val="en-US" w:eastAsia="zh-CN" w:bidi="ar"/>
        </w:rPr>
        <w:t>、</w:t>
      </w:r>
      <w:r>
        <w:rPr>
          <w:rFonts w:hint="eastAsia" w:ascii="仿宋" w:hAnsi="仿宋" w:eastAsia="仿宋" w:cs="仿宋"/>
          <w:color w:val="auto"/>
          <w:kern w:val="0"/>
          <w:sz w:val="31"/>
          <w:szCs w:val="31"/>
          <w:lang w:val="en-US" w:eastAsia="zh-CN" w:bidi="ar"/>
        </w:rPr>
        <w:t>学生科</w:t>
      </w:r>
      <w:r>
        <w:rPr>
          <w:rFonts w:ascii="仿宋" w:hAnsi="仿宋" w:eastAsia="仿宋" w:cs="仿宋"/>
          <w:color w:val="auto"/>
          <w:kern w:val="0"/>
          <w:sz w:val="31"/>
          <w:szCs w:val="31"/>
          <w:lang w:val="en-US" w:eastAsia="zh-CN" w:bidi="ar"/>
        </w:rPr>
        <w:t>、</w:t>
      </w:r>
      <w:r>
        <w:rPr>
          <w:rFonts w:hint="eastAsia" w:ascii="仿宋" w:hAnsi="仿宋" w:eastAsia="仿宋" w:cs="仿宋"/>
          <w:color w:val="auto"/>
          <w:kern w:val="0"/>
          <w:sz w:val="31"/>
          <w:szCs w:val="31"/>
          <w:lang w:val="en-US" w:eastAsia="zh-CN" w:bidi="ar"/>
        </w:rPr>
        <w:t>安全科、矫治教育科、工会。</w:t>
      </w:r>
    </w:p>
    <w:p w14:paraId="3374CB2C">
      <w:pPr>
        <w:spacing w:line="578" w:lineRule="exact"/>
        <w:jc w:val="center"/>
        <w:rPr>
          <w:rFonts w:hint="eastAsia" w:ascii="黑体" w:hAnsi="ˎ̥" w:eastAsia="黑体"/>
          <w:color w:val="auto"/>
          <w:sz w:val="32"/>
          <w:szCs w:val="32"/>
        </w:rPr>
      </w:pPr>
    </w:p>
    <w:p w14:paraId="5ABA64D5">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19"/>
      <w:bookmarkEnd w:id="20"/>
      <w:bookmarkEnd w:id="21"/>
      <w:bookmarkEnd w:id="22"/>
      <w:bookmarkEnd w:id="23"/>
      <w:bookmarkEnd w:id="24"/>
    </w:p>
    <w:p w14:paraId="1A7D1292">
      <w:pPr>
        <w:spacing w:line="578" w:lineRule="exact"/>
        <w:ind w:firstLine="645"/>
        <w:rPr>
          <w:rFonts w:hint="eastAsia" w:ascii="黑体" w:hAnsi="黑体" w:eastAsia="黑体" w:cs="黑体"/>
          <w:color w:val="auto"/>
          <w:sz w:val="32"/>
          <w:szCs w:val="32"/>
        </w:rPr>
      </w:pPr>
    </w:p>
    <w:p w14:paraId="4609FEC3">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5"/>
      <w:bookmarkEnd w:id="26"/>
      <w:bookmarkEnd w:id="27"/>
      <w:bookmarkEnd w:id="28"/>
      <w:bookmarkEnd w:id="29"/>
      <w:bookmarkEnd w:id="30"/>
    </w:p>
    <w:p w14:paraId="646AEC68">
      <w:pPr>
        <w:spacing w:line="578" w:lineRule="exact"/>
        <w:ind w:firstLine="645"/>
        <w:rPr>
          <w:rFonts w:hint="eastAsia" w:ascii="黑体" w:hAnsi="黑体" w:eastAsia="黑体" w:cs="黑体"/>
          <w:color w:val="auto"/>
          <w:sz w:val="32"/>
          <w:szCs w:val="32"/>
        </w:rPr>
      </w:pPr>
      <w:bookmarkStart w:id="31" w:name="_Toc23139_WPSOffice_Level2"/>
      <w:bookmarkStart w:id="32" w:name="_Toc14349_WPSOffice_Level2"/>
      <w:bookmarkStart w:id="33" w:name="_Toc28622_WPSOffice_Level2"/>
      <w:bookmarkStart w:id="34" w:name="_Toc26621_WPSOffice_Level2"/>
      <w:bookmarkStart w:id="35" w:name="_Toc30334_WPSOffice_Level2"/>
      <w:bookmarkStart w:id="36" w:name="_Toc25608_WPSOffice_Level2"/>
      <w:r>
        <w:rPr>
          <w:rFonts w:hint="eastAsia" w:ascii="黑体" w:hAnsi="黑体" w:eastAsia="黑体" w:cs="黑体"/>
          <w:color w:val="auto"/>
          <w:sz w:val="32"/>
          <w:szCs w:val="32"/>
        </w:rPr>
        <w:t>二、收入决算公开表</w:t>
      </w:r>
      <w:bookmarkEnd w:id="31"/>
      <w:bookmarkEnd w:id="32"/>
      <w:bookmarkEnd w:id="33"/>
      <w:bookmarkEnd w:id="34"/>
      <w:bookmarkEnd w:id="35"/>
      <w:bookmarkEnd w:id="36"/>
      <w:bookmarkStart w:id="37" w:name="_Toc14658_WPSOffice_Level2"/>
      <w:bookmarkStart w:id="38" w:name="_Toc13854_WPSOffice_Level2"/>
      <w:bookmarkStart w:id="39" w:name="_Toc17626_WPSOffice_Level2"/>
      <w:bookmarkStart w:id="40" w:name="_Toc5489_WPSOffice_Level2"/>
      <w:bookmarkStart w:id="41" w:name="_Toc17858_WPSOffice_Level2"/>
      <w:bookmarkStart w:id="42" w:name="_Toc3262_WPSOffice_Level2"/>
    </w:p>
    <w:p w14:paraId="2D43FEAF">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7"/>
      <w:bookmarkEnd w:id="38"/>
      <w:bookmarkEnd w:id="39"/>
      <w:bookmarkEnd w:id="40"/>
      <w:bookmarkEnd w:id="41"/>
      <w:bookmarkEnd w:id="42"/>
      <w:bookmarkStart w:id="43" w:name="_Toc13701_WPSOffice_Level2"/>
      <w:bookmarkStart w:id="44" w:name="_Toc4265_WPSOffice_Level2"/>
      <w:bookmarkStart w:id="45" w:name="_Toc23493_WPSOffice_Level2"/>
      <w:bookmarkStart w:id="46" w:name="_Toc7988_WPSOffice_Level2"/>
      <w:bookmarkStart w:id="47" w:name="_Toc23591_WPSOffice_Level2"/>
      <w:bookmarkStart w:id="48" w:name="_Toc21415_WPSOffice_Level2"/>
    </w:p>
    <w:p w14:paraId="466CE0B2">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3"/>
      <w:bookmarkEnd w:id="44"/>
      <w:bookmarkEnd w:id="45"/>
      <w:bookmarkEnd w:id="46"/>
      <w:bookmarkEnd w:id="47"/>
      <w:bookmarkEnd w:id="48"/>
    </w:p>
    <w:p w14:paraId="1CA1AAB7">
      <w:pPr>
        <w:spacing w:line="578" w:lineRule="exact"/>
        <w:ind w:firstLine="645"/>
        <w:rPr>
          <w:rFonts w:hint="eastAsia" w:ascii="黑体" w:hAnsi="黑体" w:eastAsia="黑体" w:cs="黑体"/>
          <w:color w:val="auto"/>
          <w:sz w:val="32"/>
          <w:szCs w:val="32"/>
        </w:rPr>
      </w:pPr>
      <w:bookmarkStart w:id="49" w:name="_Toc25166_WPSOffice_Level2"/>
      <w:bookmarkStart w:id="50" w:name="_Toc7879_WPSOffice_Level2"/>
      <w:bookmarkStart w:id="51" w:name="_Toc23829_WPSOffice_Level2"/>
      <w:bookmarkStart w:id="52" w:name="_Toc22783_WPSOffice_Level2"/>
      <w:bookmarkStart w:id="53" w:name="_Toc13516_WPSOffice_Level2"/>
      <w:bookmarkStart w:id="54" w:name="_Toc2158_WPSOffice_Level2"/>
      <w:r>
        <w:rPr>
          <w:rFonts w:hint="eastAsia" w:ascii="黑体" w:hAnsi="黑体" w:eastAsia="黑体" w:cs="黑体"/>
          <w:color w:val="auto"/>
          <w:sz w:val="32"/>
          <w:szCs w:val="32"/>
        </w:rPr>
        <w:t>五、一般公共预算财政拨款收入支出决算</w:t>
      </w:r>
      <w:bookmarkEnd w:id="49"/>
      <w:bookmarkEnd w:id="50"/>
      <w:bookmarkEnd w:id="51"/>
      <w:bookmarkEnd w:id="52"/>
      <w:r>
        <w:rPr>
          <w:rFonts w:hint="eastAsia" w:ascii="黑体" w:hAnsi="黑体" w:eastAsia="黑体" w:cs="黑体"/>
          <w:color w:val="auto"/>
          <w:sz w:val="32"/>
          <w:szCs w:val="32"/>
        </w:rPr>
        <w:t>公开表</w:t>
      </w:r>
      <w:bookmarkEnd w:id="53"/>
      <w:bookmarkEnd w:id="54"/>
      <w:bookmarkStart w:id="55" w:name="_Toc17833_WPSOffice_Level2"/>
      <w:bookmarkStart w:id="56" w:name="_Toc25362_WPSOffice_Level2"/>
      <w:bookmarkStart w:id="57" w:name="_Toc2632_WPSOffice_Level2"/>
      <w:bookmarkStart w:id="58" w:name="_Toc5343_WPSOffice_Level2"/>
      <w:bookmarkStart w:id="59" w:name="_Toc8373_WPSOffice_Level2"/>
      <w:bookmarkStart w:id="60" w:name="_Toc17283_WPSOffice_Level2"/>
    </w:p>
    <w:p w14:paraId="163493D2">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color w:val="auto"/>
          <w:sz w:val="32"/>
          <w:szCs w:val="32"/>
        </w:rPr>
        <w:t>公开表</w:t>
      </w:r>
    </w:p>
    <w:p w14:paraId="11250B0D">
      <w:pPr>
        <w:spacing w:line="578" w:lineRule="exact"/>
        <w:ind w:left="1118" w:leftChars="304" w:hanging="480" w:hangingChars="150"/>
        <w:rPr>
          <w:rFonts w:hint="eastAsia" w:ascii="黑体" w:hAnsi="黑体" w:eastAsia="黑体" w:cs="黑体"/>
          <w:color w:val="auto"/>
          <w:sz w:val="32"/>
          <w:szCs w:val="32"/>
        </w:rPr>
      </w:pPr>
      <w:bookmarkStart w:id="61" w:name="_Toc1533_WPSOffice_Level2"/>
      <w:bookmarkStart w:id="62" w:name="_Toc21310_WPSOffice_Level2"/>
      <w:bookmarkStart w:id="63" w:name="_Toc11799_WPSOffice_Level2"/>
      <w:bookmarkStart w:id="64" w:name="_Toc13345_WPSOffice_Level2"/>
      <w:bookmarkStart w:id="65" w:name="_Toc5594_WPSOffice_Level2"/>
      <w:bookmarkStart w:id="66" w:name="_Toc6020_WPSOffice_Level2"/>
      <w:r>
        <w:rPr>
          <w:rFonts w:hint="eastAsia" w:ascii="黑体" w:hAnsi="黑体" w:eastAsia="黑体" w:cs="黑体"/>
          <w:color w:val="auto"/>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color w:val="auto"/>
          <w:sz w:val="32"/>
          <w:szCs w:val="32"/>
        </w:rPr>
        <w:t>公开表</w:t>
      </w:r>
    </w:p>
    <w:p w14:paraId="33B6C1DC">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14:paraId="6225979D">
      <w:pPr>
        <w:spacing w:line="578" w:lineRule="exact"/>
        <w:ind w:firstLine="640"/>
        <w:rPr>
          <w:rFonts w:hint="eastAsia" w:ascii="黑体" w:hAnsi="黑体" w:eastAsia="黑体" w:cs="黑体"/>
          <w:color w:val="auto"/>
          <w:sz w:val="32"/>
          <w:szCs w:val="32"/>
        </w:rPr>
      </w:pPr>
      <w:bookmarkStart w:id="67" w:name="_Toc29886_WPSOffice_Level2"/>
      <w:bookmarkStart w:id="68" w:name="_Toc19961_WPSOffice_Level2"/>
      <w:bookmarkStart w:id="69" w:name="_Toc1820_WPSOffice_Level2"/>
      <w:bookmarkStart w:id="70" w:name="_Toc9377_WPSOffice_Level2"/>
      <w:r>
        <w:rPr>
          <w:rFonts w:hint="eastAsia" w:ascii="黑体" w:hAnsi="黑体" w:eastAsia="黑体" w:cs="黑体"/>
          <w:color w:val="auto"/>
          <w:sz w:val="32"/>
          <w:szCs w:val="32"/>
        </w:rPr>
        <w:t>九、财政拨款“三公”经费支出决算</w:t>
      </w:r>
      <w:bookmarkEnd w:id="67"/>
      <w:bookmarkEnd w:id="68"/>
      <w:bookmarkEnd w:id="69"/>
      <w:bookmarkEnd w:id="70"/>
      <w:r>
        <w:rPr>
          <w:rFonts w:hint="eastAsia" w:ascii="黑体" w:hAnsi="黑体" w:eastAsia="黑体" w:cs="黑体"/>
          <w:color w:val="auto"/>
          <w:sz w:val="32"/>
          <w:szCs w:val="32"/>
        </w:rPr>
        <w:t>公开表</w:t>
      </w:r>
    </w:p>
    <w:p w14:paraId="752E8721">
      <w:pPr>
        <w:spacing w:line="578" w:lineRule="exact"/>
        <w:ind w:firstLine="640"/>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以上报表见附件1。   </w:t>
      </w:r>
    </w:p>
    <w:p w14:paraId="5B482E07">
      <w:pPr>
        <w:spacing w:line="578" w:lineRule="exact"/>
        <w:rPr>
          <w:rFonts w:hint="eastAsia" w:ascii="黑体" w:hAnsi="黑体" w:eastAsia="黑体" w:cs="黑体"/>
          <w:color w:val="auto"/>
          <w:sz w:val="32"/>
          <w:szCs w:val="32"/>
        </w:rPr>
      </w:pPr>
    </w:p>
    <w:p w14:paraId="31BF6332">
      <w:pPr>
        <w:spacing w:line="578" w:lineRule="exact"/>
        <w:jc w:val="center"/>
        <w:rPr>
          <w:rFonts w:hint="eastAsia" w:ascii="黑体" w:hAnsi="ˎ̥" w:eastAsia="黑体"/>
          <w:color w:val="auto"/>
          <w:sz w:val="32"/>
          <w:szCs w:val="32"/>
        </w:rPr>
      </w:pPr>
      <w:bookmarkStart w:id="71" w:name="_Toc16686_WPSOffice_Level1"/>
      <w:bookmarkStart w:id="72" w:name="_Toc29683_WPSOffice_Level1"/>
      <w:bookmarkStart w:id="73" w:name="_Toc31264_WPSOffice_Level1"/>
      <w:bookmarkStart w:id="74" w:name="_Toc4402_WPSOffice_Level1"/>
      <w:bookmarkStart w:id="75" w:name="_Toc27590_WPSOffice_Level1"/>
      <w:bookmarkStart w:id="76" w:name="_Toc28629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1"/>
      <w:bookmarkEnd w:id="72"/>
      <w:bookmarkEnd w:id="73"/>
      <w:bookmarkEnd w:id="74"/>
      <w:bookmarkEnd w:id="75"/>
      <w:bookmarkEnd w:id="76"/>
    </w:p>
    <w:p w14:paraId="0108672B">
      <w:pPr>
        <w:spacing w:line="578" w:lineRule="exact"/>
        <w:jc w:val="center"/>
        <w:rPr>
          <w:rFonts w:hint="eastAsia" w:ascii="黑体" w:hAnsi="ˎ̥" w:eastAsia="黑体"/>
          <w:color w:val="auto"/>
          <w:sz w:val="32"/>
          <w:szCs w:val="32"/>
        </w:rPr>
      </w:pPr>
    </w:p>
    <w:p w14:paraId="1051B5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年度相比，收入、支出总计各增加</w:t>
      </w:r>
      <w:r>
        <w:rPr>
          <w:rFonts w:hint="eastAsia" w:ascii="仿宋_GB2312" w:hAnsi="ˎ̥" w:eastAsia="仿宋_GB2312"/>
          <w:color w:val="auto"/>
          <w:sz w:val="32"/>
          <w:szCs w:val="32"/>
          <w:lang w:val="en-US" w:eastAsia="zh-CN"/>
        </w:rPr>
        <w:t>224.46</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val="en-US" w:eastAsia="zh-CN"/>
        </w:rPr>
        <w:t>因我校系新设立单位（成立于2024年7月），2023年度决算收入及支出均为零。2024年度所有收支均为首次发生，故与2023年度的同比变动幅度为100%。该变化源于单位成立初期的刚性支出需求，</w:t>
      </w:r>
      <w:r>
        <w:rPr>
          <w:rFonts w:hint="eastAsia" w:ascii="仿宋_GB2312" w:hAnsi="ˎ̥" w:eastAsia="仿宋_GB2312"/>
          <w:color w:val="auto"/>
          <w:sz w:val="30"/>
          <w:szCs w:val="30"/>
          <w:lang w:val="en-US" w:eastAsia="zh-CN"/>
        </w:rPr>
        <w:t>包括机构开办、人员经费、资产购置及日常运维等</w:t>
      </w:r>
      <w:r>
        <w:rPr>
          <w:rFonts w:hint="eastAsia" w:ascii="仿宋_GB2312" w:hAnsi="ˎ̥" w:eastAsia="仿宋_GB2312"/>
          <w:color w:val="auto"/>
          <w:sz w:val="32"/>
          <w:szCs w:val="32"/>
          <w:lang w:val="en-US" w:eastAsia="zh-CN"/>
        </w:rPr>
        <w:t>，收支符合新设单位预算安排及事业发展规律</w:t>
      </w:r>
      <w:r>
        <w:rPr>
          <w:rFonts w:hint="eastAsia" w:ascii="仿宋_GB2312" w:hAnsi="ˎ̥" w:eastAsia="仿宋_GB2312"/>
          <w:color w:val="auto"/>
          <w:sz w:val="32"/>
          <w:szCs w:val="32"/>
        </w:rPr>
        <w:t>。</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w:t>
      </w:r>
    </w:p>
    <w:p w14:paraId="3AB6C1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年度决算数增加（减少）</w:t>
      </w:r>
      <w:r>
        <w:rPr>
          <w:rFonts w:hint="eastAsia" w:ascii="仿宋_GB2312" w:hAnsi="ˎ̥" w:eastAsia="仿宋_GB2312"/>
          <w:color w:val="auto"/>
          <w:sz w:val="32"/>
          <w:szCs w:val="32"/>
          <w:lang w:val="en-US" w:eastAsia="zh-CN"/>
        </w:rPr>
        <w:t>224.46</w:t>
      </w:r>
      <w:r>
        <w:rPr>
          <w:rFonts w:hint="eastAsia" w:ascii="仿宋_GB2312" w:hAnsi="ˎ̥" w:eastAsia="仿宋_GB2312"/>
          <w:color w:val="auto"/>
          <w:sz w:val="32"/>
          <w:szCs w:val="32"/>
        </w:rPr>
        <w:t>万元，主要原因是因我校系新设立单位（成立于2024年</w:t>
      </w: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月），2023年度决算收入为零。2024年度所有收支均为首次发生，故与2023年度的同比变动幅度为100%。该变化源于单位成立初期的刚性支出需求，包括机构开办、人员经费、资产购置及日常运维等，收支符合新设单位预算安排及事业发展规律。</w:t>
      </w:r>
    </w:p>
    <w:p w14:paraId="5B2819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val="en-US" w:eastAsia="zh-CN"/>
        </w:rPr>
        <w:t>因</w:t>
      </w:r>
      <w:r>
        <w:rPr>
          <w:rFonts w:hint="eastAsia" w:ascii="仿宋_GB2312" w:hAnsi="ˎ̥" w:eastAsia="仿宋_GB2312"/>
          <w:color w:val="auto"/>
          <w:sz w:val="32"/>
          <w:szCs w:val="32"/>
        </w:rPr>
        <w:t>本单位为2024年</w:t>
      </w: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月新设立单位，2023年度无任何收支活动，较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%，主要原因是本单位为2024年</w:t>
      </w: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月新设立单位，2023年度无任何收支活动。</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w:t>
      </w:r>
    </w:p>
    <w:p w14:paraId="382684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万元，主要是本年收入用于保障学校筹建初期的基本运行，</w:t>
      </w:r>
      <w:r>
        <w:rPr>
          <w:rFonts w:hint="eastAsia" w:ascii="仿宋_GB2312" w:hAnsi="ˎ̥" w:eastAsia="仿宋_GB2312"/>
          <w:color w:val="auto"/>
          <w:sz w:val="32"/>
          <w:szCs w:val="32"/>
          <w:lang w:val="en-US" w:eastAsia="zh-CN"/>
        </w:rPr>
        <w:t>包括机构开办、人员经费、资产购置及日常运维等用途，</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%，主要原因是2024年</w:t>
      </w: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月新设立单位，2023年度无任何收支活动。</w:t>
      </w:r>
    </w:p>
    <w:p w14:paraId="33C8A05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万元，主要是用于保障学校筹建初期的基本运行，</w:t>
      </w:r>
      <w:r>
        <w:rPr>
          <w:rFonts w:hint="eastAsia" w:ascii="仿宋_GB2312" w:hAnsi="ˎ̥" w:eastAsia="仿宋_GB2312"/>
          <w:color w:val="auto"/>
          <w:sz w:val="32"/>
          <w:szCs w:val="32"/>
          <w:lang w:val="en-US" w:eastAsia="zh-CN"/>
        </w:rPr>
        <w:t>包括机构开办、人员经费、资产购置及日常运维等用途</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%，主要原因是2024年</w:t>
      </w: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月新设立单位，2023年度无任何收支活动。</w:t>
      </w:r>
    </w:p>
    <w:p w14:paraId="5ABFB0D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（注</w:t>
      </w:r>
      <w:r>
        <w:rPr>
          <w:rFonts w:ascii="仿宋_GB2312" w:hAnsi="ˎ̥" w:eastAsia="仿宋_GB2312"/>
          <w:color w:val="auto"/>
          <w:sz w:val="32"/>
          <w:szCs w:val="32"/>
        </w:rPr>
        <w:t>：</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年度相关决算数据可取自附件财决公开01、02</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03</w:t>
      </w:r>
      <w:r>
        <w:rPr>
          <w:rFonts w:hint="eastAsia" w:ascii="仿宋_GB2312" w:hAnsi="ˎ̥" w:eastAsia="仿宋_GB2312"/>
          <w:color w:val="auto"/>
          <w:sz w:val="32"/>
          <w:szCs w:val="32"/>
        </w:rPr>
        <w:t>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0F317C3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%；上级补助收入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%；事业收入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%；附属单位上缴收入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%；其他收入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3B02073F">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（注</w:t>
      </w:r>
      <w:r>
        <w:rPr>
          <w:rFonts w:ascii="仿宋_GB2312" w:hAnsi="ˎ̥" w:eastAsia="仿宋_GB2312"/>
          <w:color w:val="auto"/>
          <w:sz w:val="32"/>
          <w:szCs w:val="32"/>
        </w:rPr>
        <w:t>：</w:t>
      </w:r>
      <w:r>
        <w:rPr>
          <w:rFonts w:hint="eastAsia" w:ascii="仿宋_GB2312" w:hAnsi="ˎ̥" w:eastAsia="仿宋_GB2312"/>
          <w:color w:val="auto"/>
          <w:sz w:val="32"/>
          <w:szCs w:val="32"/>
        </w:rPr>
        <w:t>上述各项收入数可取自财决公开02表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%；上缴上级支出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%；经营支出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%；对附属单位补助支出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w:t>
      </w:r>
    </w:p>
    <w:p w14:paraId="38872C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上述各项支出数可取自财决公开03表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14:paraId="3CD7D4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年度相比，财政拨款收入增加</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%，主要原因：因我校系新设立单位（成立于2024年</w:t>
      </w: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月），2023年度决算收入为零。2024年度所有收支均为首次发生，故与2023年度的同比变动幅度为100%。该变化源于单位成立初期的刚性支出需求，包括机构开办、人员经费、资产购置及日常运维等，收支符合新设单位预算安排及事业发展规律。支出增加</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%，主要原因：因我校系新设立单位（成立于2024年</w:t>
      </w: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月），2023年度决算收入为零。2024年度所有收支均为首次发生，故与2023年度的同比变动幅度为100%。该变化源于单位成立初期的刚性支出需求，包括机构开办、人员经费、资产购置及日常运维等，收支符合新设单位预算安排及事业发展规律。</w:t>
      </w:r>
    </w:p>
    <w:p w14:paraId="2F2814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万元，主要是本单位为2024年</w:t>
      </w: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月新设立单位，2023年度无任何收支活动，因此本年度所有收支均为新增，较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%，主要原因是本单位为2024年</w:t>
      </w: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月新设立单位，2023年度无任何收支活动，因此本年度所有收支均为新增。</w:t>
      </w:r>
    </w:p>
    <w:p w14:paraId="604B14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万元，主要是本单位为2024年</w:t>
      </w: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月新设立单位，2023年度无任何收支活动，因此本年度所有收支均为新增，较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%，主要原因是本单位为2024年</w:t>
      </w: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月新设立单位，2023年度无任何收支活动，因此本年度所有收支均为新增。</w:t>
      </w:r>
    </w:p>
    <w:p w14:paraId="49F4BE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年度决算相关数据可取自财决公开04表。）</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77" w:name="_Toc21737_WPSOffice_Level2"/>
      <w:bookmarkStart w:id="78" w:name="_Toc19665_WPSOffice_Level2"/>
      <w:bookmarkStart w:id="79" w:name="_Toc23005_WPSOffice_Level2"/>
      <w:bookmarkStart w:id="80" w:name="_Toc13694_WPSOffice_Level2"/>
      <w:bookmarkStart w:id="81" w:name="_Toc17398_WPSOffice_Level2"/>
      <w:bookmarkStart w:id="82" w:name="_Toc9989_WPSOffice_Level2"/>
      <w:r>
        <w:rPr>
          <w:rFonts w:hint="eastAsia" w:ascii="楷体" w:hAnsi="楷体" w:eastAsia="楷体" w:cs="楷体"/>
          <w:color w:val="auto"/>
          <w:sz w:val="32"/>
          <w:szCs w:val="32"/>
        </w:rPr>
        <w:t>（一）一般公共预算财政拨款支出决算总体情况</w:t>
      </w:r>
      <w:bookmarkEnd w:id="77"/>
      <w:bookmarkEnd w:id="78"/>
      <w:bookmarkEnd w:id="79"/>
      <w:bookmarkEnd w:id="80"/>
      <w:bookmarkEnd w:id="81"/>
      <w:bookmarkEnd w:id="82"/>
    </w:p>
    <w:p w14:paraId="0B0CF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年度相比，一般公共预算财政拨款支出增加</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%，主要原因是本单位为2024年9月新设立单位，2023年度无任何收支活动，因此本年度所有收支均为新增。</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3" w:name="_Toc19535_WPSOffice_Level2"/>
      <w:bookmarkStart w:id="84" w:name="_Toc23864_WPSOffice_Level2"/>
      <w:bookmarkStart w:id="85" w:name="_Toc18793_WPSOffice_Level2"/>
      <w:bookmarkStart w:id="86" w:name="_Toc19075_WPSOffice_Level2"/>
      <w:bookmarkStart w:id="87" w:name="_Toc27767_WPSOffice_Level2"/>
      <w:bookmarkStart w:id="88" w:name="_Toc2711_WPSOffice_Level2"/>
      <w:r>
        <w:rPr>
          <w:rFonts w:hint="eastAsia" w:ascii="楷体" w:hAnsi="楷体" w:eastAsia="楷体" w:cs="楷体"/>
          <w:color w:val="auto"/>
          <w:sz w:val="32"/>
          <w:szCs w:val="32"/>
        </w:rPr>
        <w:t>（二）一般公共预算财政拨款支出决算结构情况</w:t>
      </w:r>
      <w:bookmarkEnd w:id="83"/>
      <w:bookmarkEnd w:id="84"/>
      <w:bookmarkEnd w:id="85"/>
      <w:bookmarkEnd w:id="86"/>
      <w:bookmarkEnd w:id="87"/>
      <w:bookmarkEnd w:id="88"/>
    </w:p>
    <w:p w14:paraId="1BE464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rPr>
        <w:t>教育支出</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210E169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根据各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单位实际支出涉及的支出功能分类类级科目填列</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9" w:name="_Toc15415_WPSOffice_Level2"/>
      <w:bookmarkStart w:id="90" w:name="_Toc21701_WPSOffice_Level2"/>
      <w:bookmarkStart w:id="91" w:name="_Toc22318_WPSOffice_Level2"/>
      <w:bookmarkStart w:id="92" w:name="_Toc25136_WPSOffice_Level2"/>
      <w:bookmarkStart w:id="93" w:name="_Toc9502_WPSOffice_Level2"/>
      <w:bookmarkStart w:id="94" w:name="_Toc29364_WPSOffice_Level2"/>
      <w:r>
        <w:rPr>
          <w:rFonts w:hint="eastAsia" w:ascii="楷体" w:hAnsi="楷体" w:eastAsia="楷体" w:cs="楷体"/>
          <w:color w:val="auto"/>
          <w:sz w:val="32"/>
          <w:szCs w:val="32"/>
        </w:rPr>
        <w:t>（三）一般公共预算财政拨款支出决算具体情况</w:t>
      </w:r>
      <w:bookmarkEnd w:id="89"/>
      <w:bookmarkEnd w:id="90"/>
      <w:bookmarkEnd w:id="91"/>
      <w:bookmarkEnd w:id="92"/>
      <w:bookmarkEnd w:id="93"/>
      <w:bookmarkEnd w:id="94"/>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224.46</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%。其中：</w:t>
      </w:r>
    </w:p>
    <w:p w14:paraId="417CBB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1.</w:t>
      </w:r>
      <w:r>
        <w:rPr>
          <w:rFonts w:hint="eastAsia" w:ascii="仿宋_GB2312" w:hAnsi="ˎ̥" w:eastAsia="仿宋_GB2312"/>
          <w:b/>
          <w:color w:val="auto"/>
          <w:sz w:val="32"/>
          <w:szCs w:val="32"/>
        </w:rPr>
        <w:t>一般公共服务（类）人大事务（款）行政运行（项）。</w:t>
      </w:r>
    </w:p>
    <w:p w14:paraId="6C2E261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元，支出决算为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w:t>
      </w:r>
    </w:p>
    <w:p w14:paraId="3CA8F8D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本部分支出决算数可取自财决公开05表，年初预算数可取自各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单位年初预算大本，根据实际支出涉及的支出功能分类项级科目填列</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588683DF">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rPr>
        <w:t>0.00</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0.00</w:t>
      </w:r>
      <w:r>
        <w:rPr>
          <w:rFonts w:hint="eastAsia" w:ascii="仿宋_GB2312" w:hAnsi="ˎ̥" w:eastAsia="仿宋_GB2312"/>
          <w:color w:val="auto"/>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auto"/>
          <w:sz w:val="32"/>
          <w:szCs w:val="32"/>
          <w:lang w:val="en-US"/>
        </w:rPr>
        <w:t>0.00</w:t>
      </w:r>
      <w:r>
        <w:rPr>
          <w:rFonts w:hint="eastAsia" w:ascii="仿宋_GB2312" w:hAnsi="ˎ̥" w:eastAsia="仿宋_GB2312"/>
          <w:color w:val="auto"/>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color w:val="auto"/>
          <w:sz w:val="32"/>
          <w:szCs w:val="32"/>
          <w:lang w:val="en-US" w:eastAsia="zh-CN"/>
        </w:rPr>
        <w:t>购</w:t>
      </w:r>
      <w:r>
        <w:rPr>
          <w:rFonts w:hint="eastAsia" w:ascii="仿宋_GB2312" w:hAnsi="ˎ̥" w:eastAsia="仿宋_GB2312"/>
          <w:color w:val="auto"/>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6C24DF02">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上述</w:t>
      </w:r>
      <w:r>
        <w:rPr>
          <w:rFonts w:hint="eastAsia" w:ascii="仿宋_GB2312" w:hAnsi="ˎ̥" w:eastAsia="仿宋_GB2312"/>
          <w:color w:val="auto"/>
          <w:sz w:val="32"/>
          <w:szCs w:val="32"/>
          <w:lang w:val="en-US" w:eastAsia="zh-CN"/>
        </w:rPr>
        <w:t>数据</w:t>
      </w:r>
      <w:r>
        <w:rPr>
          <w:rFonts w:hint="eastAsia" w:ascii="仿宋_GB2312" w:hAnsi="ˎ̥" w:eastAsia="仿宋_GB2312"/>
          <w:color w:val="auto"/>
          <w:sz w:val="32"/>
          <w:szCs w:val="32"/>
        </w:rPr>
        <w:t>可取自财决公开06表，各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单位根据实际支出情况，选列相应支出经济分类。）</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14:paraId="0E502A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年度相比，政府性基金预算财政拨款支出增加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本单位</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及</w:t>
      </w:r>
      <w:r>
        <w:rPr>
          <w:rFonts w:hint="default" w:ascii="仿宋_GB2312" w:hAnsi="ˎ̥" w:eastAsia="仿宋_GB2312"/>
          <w:color w:val="auto"/>
          <w:sz w:val="32"/>
          <w:szCs w:val="32"/>
          <w:lang w:val="en-US"/>
        </w:rPr>
        <w:t>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无政府性基金预算财政拨款支出</w:t>
      </w:r>
      <w:r>
        <w:rPr>
          <w:rFonts w:hint="eastAsia" w:ascii="仿宋_GB2312" w:hAnsi="ˎ̥" w:eastAsia="仿宋_GB2312"/>
          <w:color w:val="auto"/>
          <w:sz w:val="32"/>
          <w:szCs w:val="32"/>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7B5BDB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5BAB19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根据各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单位实际支出涉及的支出功能分类类级科目填列</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14:paraId="71CEE7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w:t>
      </w:r>
    </w:p>
    <w:p w14:paraId="5E2A6D6E">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根据各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单位实际支出涉及的支出功能分类项级科目填列，本部分</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w:t>
      </w:r>
      <w:r>
        <w:rPr>
          <w:rFonts w:hint="eastAsia" w:ascii="仿宋_GB2312" w:hAnsi="ˎ̥" w:eastAsia="仿宋_GB2312"/>
          <w:color w:val="auto"/>
          <w:sz w:val="32"/>
          <w:szCs w:val="32"/>
          <w:lang w:val="en-US" w:eastAsia="zh-CN"/>
        </w:rPr>
        <w:t>度</w:t>
      </w:r>
      <w:r>
        <w:rPr>
          <w:rFonts w:hint="eastAsia" w:ascii="仿宋_GB2312" w:hAnsi="ˎ̥" w:eastAsia="仿宋_GB2312"/>
          <w:color w:val="auto"/>
          <w:sz w:val="32"/>
          <w:szCs w:val="32"/>
        </w:rPr>
        <w:t>决算相关数据取自财决公开07表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14:paraId="5E6A22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年度相比，国有资本经营预算财政拨款支出增加</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万元，增长</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本单位</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及</w:t>
      </w:r>
      <w:r>
        <w:rPr>
          <w:rFonts w:hint="default" w:ascii="仿宋_GB2312" w:hAnsi="ˎ̥" w:eastAsia="仿宋_GB2312"/>
          <w:color w:val="auto"/>
          <w:sz w:val="32"/>
          <w:szCs w:val="32"/>
          <w:lang w:val="en-US"/>
        </w:rPr>
        <w:t>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无国有资本经营预算财政拨款支出</w:t>
      </w:r>
      <w:r>
        <w:rPr>
          <w:rFonts w:hint="eastAsia" w:ascii="仿宋_GB2312" w:hAnsi="ˎ̥" w:eastAsia="仿宋_GB2312"/>
          <w:color w:val="auto"/>
          <w:sz w:val="32"/>
          <w:szCs w:val="32"/>
        </w:rPr>
        <w:t>。</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14:paraId="2CDBB1C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52F867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根据各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单位实际支出涉及的支出功能分类类级科目填列</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6DA2D6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14:paraId="4FEB03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年度国有资本经营预算财政拨款支出年初预算为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w:t>
      </w:r>
    </w:p>
    <w:p w14:paraId="1B28ACB1">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根据各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单位实际支出涉及的支出功能分类项级科目填列，本部分</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w:t>
      </w:r>
      <w:r>
        <w:rPr>
          <w:rFonts w:hint="eastAsia" w:ascii="仿宋_GB2312" w:hAnsi="ˎ̥" w:eastAsia="仿宋_GB2312"/>
          <w:color w:val="auto"/>
          <w:sz w:val="32"/>
          <w:szCs w:val="32"/>
          <w:lang w:val="en-US" w:eastAsia="zh-CN"/>
        </w:rPr>
        <w:t>度</w:t>
      </w:r>
      <w:r>
        <w:rPr>
          <w:rFonts w:hint="eastAsia" w:ascii="仿宋_GB2312" w:hAnsi="ˎ̥" w:eastAsia="仿宋_GB2312"/>
          <w:color w:val="auto"/>
          <w:sz w:val="32"/>
          <w:szCs w:val="32"/>
        </w:rPr>
        <w:t>决算相关数据取自财决公开08表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1367A2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万元，完成预算的</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“三公”经费支出增加</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w:t>
      </w:r>
      <w:r>
        <w:rPr>
          <w:rFonts w:ascii="仿宋_GB2312" w:hAnsi="ˎ̥" w:eastAsia="仿宋_GB2312"/>
          <w:color w:val="auto"/>
          <w:sz w:val="32"/>
          <w:szCs w:val="32"/>
        </w:rPr>
        <w:t>主要原因是</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本单位</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及</w:t>
      </w:r>
      <w:r>
        <w:rPr>
          <w:rFonts w:hint="default" w:ascii="仿宋_GB2312" w:hAnsi="ˎ̥" w:eastAsia="仿宋_GB2312"/>
          <w:color w:val="auto"/>
          <w:sz w:val="32"/>
          <w:szCs w:val="32"/>
          <w:lang w:val="en-US"/>
        </w:rPr>
        <w:t>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无财政拨款“三公”经费支出</w:t>
      </w:r>
      <w:r>
        <w:rPr>
          <w:rFonts w:hint="eastAsia" w:ascii="仿宋_GB2312" w:hAnsi="ˎ̥" w:eastAsia="仿宋_GB2312"/>
          <w:color w:val="auto"/>
          <w:sz w:val="32"/>
          <w:szCs w:val="32"/>
        </w:rPr>
        <w:t>。</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14:paraId="732BBD5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%；公务用车购置及运行维护费支出决算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%；公务接待费支出决算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本单位</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无财政拨款“三公”经费支出</w:t>
      </w:r>
      <w:r>
        <w:rPr>
          <w:rFonts w:hint="eastAsia" w:ascii="仿宋_GB2312" w:hAnsi="ˎ̥" w:eastAsia="仿宋_GB2312"/>
          <w:color w:val="auto"/>
          <w:sz w:val="32"/>
          <w:szCs w:val="32"/>
        </w:rPr>
        <w:t>。</w:t>
      </w:r>
    </w:p>
    <w:p w14:paraId="7772B67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万元。其中：</w:t>
      </w:r>
    </w:p>
    <w:p w14:paraId="0BB159C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辆，年末公务用车保有量</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p>
    <w:p w14:paraId="2F0F80C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公务用车运行维护费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314933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rPr>
      </w:pPr>
      <w:r>
        <w:rPr>
          <w:rFonts w:hint="eastAsia" w:ascii="仿宋_GB2312" w:hAnsi="ˎ̥" w:eastAsia="仿宋_GB2312"/>
          <w:bCs/>
          <w:color w:val="auto"/>
          <w:sz w:val="32"/>
          <w:szCs w:val="32"/>
        </w:rPr>
        <w:t>公务用车购置及运行维护费支出决算数</w:t>
      </w:r>
      <w:r>
        <w:rPr>
          <w:rFonts w:hint="eastAsia" w:ascii="仿宋_GB2312" w:hAnsi="ˎ̥" w:eastAsia="仿宋_GB2312"/>
          <w:color w:val="auto"/>
          <w:sz w:val="32"/>
          <w:szCs w:val="32"/>
        </w:rPr>
        <w:t>比预算数增加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公务用车购置及运行维护费</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本单位</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无公务用车</w:t>
      </w:r>
      <w:r>
        <w:rPr>
          <w:rFonts w:hint="eastAsia" w:ascii="仿宋_GB2312" w:hAnsi="ˎ̥" w:eastAsia="仿宋_GB2312"/>
          <w:color w:val="auto"/>
          <w:sz w:val="32"/>
          <w:szCs w:val="32"/>
        </w:rPr>
        <w:t>。</w:t>
      </w:r>
    </w:p>
    <w:p w14:paraId="4815CAD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万元，其中：</w:t>
      </w:r>
    </w:p>
    <w:p w14:paraId="0444BB1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14:paraId="4AC126C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万元，国（境）外公务接待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14:paraId="037430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公务接待费支出决算数比预算数增加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完成预算的0.00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公务接待费</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%，主要原因是本单位2024年度及2023年度无公务接待费支出。</w:t>
      </w:r>
    </w:p>
    <w:p w14:paraId="260AEE4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p>
    <w:p w14:paraId="2A2F45B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年度“三公”经费预算数、决算数可取自财决公开09表，出国团组数、出国人次，公务用车购置数、公务用车保有量，接待团组数、接待人次可取自部门决算报表F03表《机构运行信息表》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14:paraId="16F958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14:paraId="3ED8D3C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根据财政预算绩效管理要求，可按照如下格式说明：根据预算管理要求，我部门（单位）组织对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共涉及资金224.46万元，占一般公共预算项目支出总额的100%</w:t>
      </w:r>
      <w:r>
        <w:rPr>
          <w:rFonts w:hint="eastAsia" w:ascii="仿宋_GB2312" w:eastAsia="仿宋_GB2312"/>
          <w:color w:val="auto"/>
          <w:sz w:val="32"/>
          <w:szCs w:val="32"/>
        </w:rPr>
        <w:t>。</w:t>
      </w:r>
    </w:p>
    <w:p w14:paraId="63E77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共组织对“</w:t>
      </w:r>
      <w:r>
        <w:rPr>
          <w:rFonts w:hint="default" w:ascii="仿宋_GB2312" w:eastAsia="仿宋_GB2312"/>
          <w:color w:val="auto"/>
          <w:sz w:val="32"/>
          <w:szCs w:val="32"/>
          <w:lang w:val="en-US"/>
        </w:rPr>
        <w:t>开办运行经费</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个项目开展了部门评价，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rPr>
        <w:t>224.46</w:t>
      </w:r>
      <w:r>
        <w:rPr>
          <w:rFonts w:hint="eastAsia" w:ascii="仿宋_GB2312" w:eastAsia="仿宋_GB2312"/>
          <w:color w:val="auto"/>
          <w:sz w:val="32"/>
          <w:szCs w:val="32"/>
          <w:lang w:bidi="ar"/>
        </w:rPr>
        <w:t>万元，政府性基金预算支出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万元，国有资本经营预算支出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w:t>
      </w:r>
    </w:p>
    <w:p w14:paraId="16FFC1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color w:val="auto"/>
          <w:sz w:val="32"/>
          <w:szCs w:val="32"/>
        </w:rPr>
      </w:pPr>
      <w:r>
        <w:rPr>
          <w:rFonts w:hint="eastAsia" w:ascii="楷体" w:hAnsi="楷体" w:eastAsia="楷体" w:cs="楷体"/>
          <w:bCs/>
          <w:color w:val="auto"/>
          <w:sz w:val="32"/>
          <w:szCs w:val="32"/>
        </w:rPr>
        <w:t>（二）部门决算中项目绩效自评结果</w:t>
      </w:r>
    </w:p>
    <w:p w14:paraId="2E0A99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无相关情况。</w:t>
      </w:r>
    </w:p>
    <w:p w14:paraId="08AEFB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（三）部门评价结果</w:t>
      </w:r>
    </w:p>
    <w:p w14:paraId="6008D3D5">
      <w:pPr>
        <w:keepNext w:val="0"/>
        <w:keepLines w:val="0"/>
        <w:widowControl/>
        <w:suppressLineNumbers w:val="0"/>
        <w:ind w:firstLine="620" w:firstLineChars="200"/>
        <w:jc w:val="left"/>
        <w:rPr>
          <w:color w:val="auto"/>
        </w:rPr>
      </w:pPr>
      <w:r>
        <w:rPr>
          <w:rFonts w:ascii="仿宋" w:hAnsi="仿宋" w:eastAsia="仿宋" w:cs="仿宋"/>
          <w:color w:val="auto"/>
          <w:kern w:val="0"/>
          <w:sz w:val="31"/>
          <w:szCs w:val="31"/>
          <w:lang w:val="en-US" w:eastAsia="zh-CN" w:bidi="ar"/>
        </w:rPr>
        <w:t>无相关情况。</w:t>
      </w:r>
    </w:p>
    <w:p w14:paraId="52EA42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（四）财政评价结果</w:t>
      </w:r>
    </w:p>
    <w:p w14:paraId="2D814E05">
      <w:pPr>
        <w:keepNext w:val="0"/>
        <w:keepLines w:val="0"/>
        <w:widowControl/>
        <w:suppressLineNumbers w:val="0"/>
        <w:ind w:firstLine="620" w:firstLineChars="200"/>
        <w:jc w:val="left"/>
        <w:rPr>
          <w:color w:val="auto"/>
        </w:rPr>
      </w:pPr>
      <w:r>
        <w:rPr>
          <w:rFonts w:ascii="仿宋" w:hAnsi="仿宋" w:eastAsia="仿宋" w:cs="仿宋"/>
          <w:color w:val="auto"/>
          <w:kern w:val="0"/>
          <w:sz w:val="31"/>
          <w:szCs w:val="31"/>
          <w:lang w:val="en-US" w:eastAsia="zh-CN" w:bidi="ar"/>
        </w:rPr>
        <w:t>无相关情况。</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95" w:name="_Toc32639_WPSOffice_Level2"/>
      <w:bookmarkStart w:id="96" w:name="_Toc18325_WPSOffice_Level2"/>
      <w:bookmarkStart w:id="97" w:name="_Toc15262_WPSOffice_Level2"/>
      <w:bookmarkStart w:id="98" w:name="_Toc23598_WPSOffice_Level2"/>
      <w:bookmarkStart w:id="99" w:name="_Toc15565_WPSOffice_Level2"/>
      <w:bookmarkStart w:id="100" w:name="_Toc5978_WPSOffice_Level2"/>
      <w:r>
        <w:rPr>
          <w:rFonts w:hint="eastAsia" w:ascii="楷体" w:hAnsi="楷体" w:eastAsia="楷体" w:cs="楷体"/>
          <w:bCs/>
          <w:color w:val="auto"/>
          <w:sz w:val="32"/>
          <w:szCs w:val="32"/>
        </w:rPr>
        <w:t>（一）机关运行经费支出情况</w:t>
      </w:r>
      <w:bookmarkEnd w:id="95"/>
      <w:bookmarkEnd w:id="96"/>
      <w:bookmarkEnd w:id="97"/>
      <w:bookmarkEnd w:id="98"/>
      <w:bookmarkEnd w:id="99"/>
      <w:bookmarkEnd w:id="100"/>
    </w:p>
    <w:p w14:paraId="3938F2CB">
      <w:pPr>
        <w:keepNext w:val="0"/>
        <w:keepLines w:val="0"/>
        <w:widowControl/>
        <w:suppressLineNumbers w:val="0"/>
        <w:ind w:firstLine="640" w:firstLineChars="200"/>
        <w:jc w:val="left"/>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年度机关运行经费</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w:t>
      </w:r>
      <w:r>
        <w:rPr>
          <w:rFonts w:ascii="仿宋" w:hAnsi="仿宋" w:eastAsia="仿宋" w:cs="仿宋"/>
          <w:color w:val="auto"/>
          <w:kern w:val="0"/>
          <w:sz w:val="31"/>
          <w:szCs w:val="31"/>
          <w:lang w:val="en-US" w:eastAsia="zh-CN" w:bidi="ar"/>
        </w:rPr>
        <w:t>，海南省</w:t>
      </w:r>
      <w:r>
        <w:rPr>
          <w:rFonts w:hint="eastAsia" w:ascii="仿宋" w:hAnsi="仿宋" w:eastAsia="仿宋" w:cs="仿宋"/>
          <w:color w:val="auto"/>
          <w:kern w:val="0"/>
          <w:sz w:val="31"/>
          <w:szCs w:val="31"/>
          <w:lang w:val="en-US" w:eastAsia="zh-CN" w:bidi="ar"/>
        </w:rPr>
        <w:t>仁德学校</w:t>
      </w:r>
      <w:r>
        <w:rPr>
          <w:rFonts w:ascii="仿宋" w:hAnsi="仿宋" w:eastAsia="仿宋" w:cs="仿宋"/>
          <w:color w:val="auto"/>
          <w:kern w:val="0"/>
          <w:sz w:val="31"/>
          <w:szCs w:val="31"/>
          <w:lang w:val="en-US" w:eastAsia="zh-CN" w:bidi="ar"/>
        </w:rPr>
        <w:t>为</w:t>
      </w:r>
      <w:r>
        <w:rPr>
          <w:rFonts w:hint="eastAsia" w:ascii="仿宋" w:hAnsi="仿宋" w:eastAsia="仿宋" w:cs="仿宋"/>
          <w:color w:val="auto"/>
          <w:kern w:val="0"/>
          <w:sz w:val="31"/>
          <w:szCs w:val="31"/>
          <w:lang w:val="en-US" w:eastAsia="zh-CN" w:bidi="ar"/>
        </w:rPr>
        <w:t>事业单位，没有机关运行经费支出。</w:t>
      </w:r>
    </w:p>
    <w:p w14:paraId="100BBB7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机关运行经费预算数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可取自</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年度部门决算报表F03表《机构运行信息表》“机关运行经费”栏。）</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1" w:name="_Toc13084_WPSOffice_Level2"/>
      <w:bookmarkStart w:id="102" w:name="_Toc32689_WPSOffice_Level2"/>
      <w:bookmarkStart w:id="103" w:name="_Toc25333_WPSOffice_Level2"/>
      <w:bookmarkStart w:id="104" w:name="_Toc23966_WPSOffice_Level2"/>
      <w:bookmarkStart w:id="105" w:name="_Toc30383_WPSOffice_Level2"/>
      <w:bookmarkStart w:id="106" w:name="_Toc3131_WPSOffice_Level2"/>
      <w:r>
        <w:rPr>
          <w:rFonts w:hint="eastAsia" w:ascii="楷体" w:hAnsi="楷体" w:eastAsia="楷体" w:cs="楷体"/>
          <w:bCs/>
          <w:color w:val="auto"/>
          <w:sz w:val="32"/>
          <w:szCs w:val="32"/>
        </w:rPr>
        <w:t>（二）政府采购支出情况</w:t>
      </w:r>
      <w:bookmarkEnd w:id="101"/>
      <w:bookmarkEnd w:id="102"/>
      <w:bookmarkEnd w:id="103"/>
      <w:bookmarkEnd w:id="104"/>
      <w:bookmarkEnd w:id="105"/>
      <w:bookmarkEnd w:id="106"/>
    </w:p>
    <w:p w14:paraId="25335D4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海南省仁德学校</w:t>
      </w:r>
      <w:r>
        <w:rPr>
          <w:rFonts w:hint="eastAsia" w:ascii="仿宋_GB2312" w:hAnsi="ˎ̥" w:eastAsia="仿宋_GB2312"/>
          <w:color w:val="auto"/>
          <w:sz w:val="32"/>
          <w:szCs w:val="32"/>
        </w:rPr>
        <w:t>政府采购支出总额</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万元，其中：政府采购货物支出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万元、政府采购工程支出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万元。授予中小企业合同金额</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%，其中：授予小微企业合同金额</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万元，占</w:t>
      </w:r>
      <w:r>
        <w:rPr>
          <w:rFonts w:hint="eastAsia" w:ascii="仿宋_GB2312" w:hAnsi="仿宋_GB2312" w:eastAsia="仿宋_GB2312" w:cs="仿宋_GB2312"/>
          <w:color w:val="auto"/>
          <w:kern w:val="0"/>
          <w:sz w:val="32"/>
          <w:szCs w:val="32"/>
          <w:lang w:bidi="ar"/>
        </w:rPr>
        <w:t>授予中小企业合同金额</w:t>
      </w:r>
      <w:r>
        <w:rPr>
          <w:rFonts w:hint="eastAsia" w:ascii="仿宋_GB2312" w:hAnsi="仿宋_GB2312" w:eastAsia="仿宋_GB2312" w:cs="仿宋_GB2312"/>
          <w:color w:val="auto"/>
          <w:sz w:val="32"/>
          <w:szCs w:val="32"/>
        </w:rPr>
        <w:t>的</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w:t>
      </w:r>
    </w:p>
    <w:p w14:paraId="5D7FFA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上述政府采购支出相关</w:t>
      </w:r>
      <w:r>
        <w:rPr>
          <w:rFonts w:hint="eastAsia" w:ascii="仿宋_GB2312" w:hAnsi="ˎ̥" w:eastAsia="仿宋_GB2312"/>
          <w:color w:val="auto"/>
          <w:sz w:val="32"/>
          <w:szCs w:val="32"/>
          <w:lang w:val="en-US" w:eastAsia="zh-CN"/>
        </w:rPr>
        <w:t>数据</w:t>
      </w:r>
      <w:r>
        <w:rPr>
          <w:rFonts w:hint="eastAsia" w:ascii="仿宋_GB2312" w:hAnsi="ˎ̥" w:eastAsia="仿宋_GB2312"/>
          <w:color w:val="auto"/>
          <w:sz w:val="32"/>
          <w:szCs w:val="32"/>
        </w:rPr>
        <w:t>取自</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年度部门决算报表F03表《机构运行信息表》，授予中小企业和小微企业合同金额由各部门查阅本部门相关资料填写。）</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7" w:name="_Toc15129_WPSOffice_Level2"/>
      <w:bookmarkStart w:id="108" w:name="_Toc10902_WPSOffice_Level2"/>
      <w:bookmarkStart w:id="109" w:name="_Toc6016_WPSOffice_Level2"/>
      <w:bookmarkStart w:id="110" w:name="_Toc19989_WPSOffice_Level2"/>
      <w:bookmarkStart w:id="111" w:name="_Toc29584_WPSOffice_Level2"/>
      <w:bookmarkStart w:id="112" w:name="_Toc527_WPSOffice_Level2"/>
      <w:r>
        <w:rPr>
          <w:rFonts w:hint="eastAsia" w:ascii="楷体" w:hAnsi="楷体" w:eastAsia="楷体" w:cs="楷体"/>
          <w:bCs/>
          <w:color w:val="auto"/>
          <w:sz w:val="32"/>
          <w:szCs w:val="32"/>
        </w:rPr>
        <w:t>（三）国有资产占用情况</w:t>
      </w:r>
      <w:bookmarkEnd w:id="107"/>
      <w:bookmarkEnd w:id="108"/>
      <w:bookmarkEnd w:id="109"/>
      <w:bookmarkEnd w:id="110"/>
      <w:bookmarkEnd w:id="111"/>
      <w:bookmarkEnd w:id="112"/>
    </w:p>
    <w:p w14:paraId="4FC4F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bCs/>
          <w:color w:val="auto"/>
          <w:sz w:val="32"/>
          <w:szCs w:val="32"/>
        </w:rPr>
        <w:t>截至</w:t>
      </w:r>
      <w:r>
        <w:rPr>
          <w:rFonts w:hint="default" w:ascii="仿宋_GB2312" w:hAnsi="ˎ̥" w:eastAsia="仿宋_GB2312"/>
          <w:bCs/>
          <w:color w:val="auto"/>
          <w:sz w:val="32"/>
          <w:szCs w:val="32"/>
          <w:lang w:val="en-US"/>
        </w:rPr>
        <w:t>2024</w:t>
      </w:r>
      <w:r>
        <w:rPr>
          <w:rFonts w:hint="eastAsia" w:ascii="仿宋_GB2312" w:hAnsi="ˎ̥" w:eastAsia="仿宋_GB2312"/>
          <w:bCs/>
          <w:color w:val="auto"/>
          <w:sz w:val="32"/>
          <w:szCs w:val="32"/>
        </w:rPr>
        <w:t>年12月31日，本部门拥有</w:t>
      </w:r>
      <w:r>
        <w:rPr>
          <w:rFonts w:hint="eastAsia" w:ascii="仿宋_GB2312" w:hAnsi="ˎ̥" w:eastAsia="仿宋_GB2312"/>
          <w:color w:val="auto"/>
          <w:sz w:val="32"/>
          <w:szCs w:val="32"/>
        </w:rPr>
        <w:t>房屋面积</w:t>
      </w:r>
      <w:r>
        <w:rPr>
          <w:rFonts w:hint="default" w:ascii="仿宋_GB2312" w:hAnsi="ˎ̥" w:eastAsia="仿宋_GB2312"/>
          <w:color w:val="auto"/>
          <w:sz w:val="32"/>
          <w:szCs w:val="32"/>
          <w:lang w:val="en-US"/>
        </w:rPr>
        <w:t>46334.03</w:t>
      </w:r>
      <w:bookmarkStart w:id="119" w:name="_GoBack"/>
      <w:bookmarkEnd w:id="119"/>
      <w:r>
        <w:rPr>
          <w:rFonts w:hint="eastAsia" w:ascii="仿宋_GB2312" w:hAnsi="ˎ̥" w:eastAsia="仿宋_GB2312"/>
          <w:color w:val="auto"/>
          <w:sz w:val="32"/>
          <w:szCs w:val="32"/>
        </w:rPr>
        <w:t>平方米</w:t>
      </w:r>
      <w:r>
        <w:rPr>
          <w:rFonts w:hint="eastAsia" w:ascii="仿宋_GB2312" w:hAnsi="ˎ̥" w:eastAsia="仿宋_GB2312"/>
          <w:color w:val="auto"/>
          <w:sz w:val="32"/>
          <w:szCs w:val="32"/>
          <w:lang w:eastAsia="zh-CN"/>
        </w:rPr>
        <w:t>。</w:t>
      </w:r>
    </w:p>
    <w:p w14:paraId="1E9C75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rPr>
        <w:t>本部门共有车辆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r>
        <w:rPr>
          <w:rFonts w:hint="eastAsia" w:ascii="仿宋_GB2312" w:hAnsi="ˎ̥" w:eastAsia="仿宋_GB2312"/>
          <w:color w:val="auto"/>
          <w:sz w:val="32"/>
          <w:szCs w:val="32"/>
          <w:lang w:val="en-US" w:eastAsia="zh-CN"/>
        </w:rPr>
        <w:t xml:space="preserve">     </w:t>
      </w:r>
    </w:p>
    <w:p w14:paraId="378F91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单价100万元（含）以上设备（不含车辆）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台（套）。</w:t>
      </w:r>
    </w:p>
    <w:p w14:paraId="0B1A3A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上述国有资产占用情况相关数</w:t>
      </w:r>
      <w:r>
        <w:rPr>
          <w:rFonts w:hint="eastAsia" w:ascii="仿宋_GB2312" w:hAnsi="ˎ̥" w:eastAsia="仿宋_GB2312"/>
          <w:color w:val="auto"/>
          <w:sz w:val="32"/>
          <w:szCs w:val="32"/>
          <w:lang w:val="en-US" w:eastAsia="zh-CN"/>
        </w:rPr>
        <w:t>据</w:t>
      </w:r>
      <w:r>
        <w:rPr>
          <w:rFonts w:hint="eastAsia" w:ascii="仿宋_GB2312" w:hAnsi="ˎ̥" w:eastAsia="仿宋_GB2312"/>
          <w:color w:val="auto"/>
          <w:sz w:val="32"/>
          <w:szCs w:val="32"/>
        </w:rPr>
        <w:t>取自</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年度部门决算F0</w:t>
      </w:r>
      <w:r>
        <w:rPr>
          <w:rFonts w:hint="default" w:ascii="仿宋_GB2312" w:hAnsi="ˎ̥" w:eastAsia="仿宋_GB2312"/>
          <w:color w:val="auto"/>
          <w:sz w:val="32"/>
          <w:szCs w:val="32"/>
          <w:lang w:val="en-US"/>
        </w:rPr>
        <w:t>2</w:t>
      </w:r>
      <w:r>
        <w:rPr>
          <w:rFonts w:hint="eastAsia" w:ascii="仿宋_GB2312" w:hAnsi="ˎ̥" w:eastAsia="仿宋_GB2312"/>
          <w:color w:val="auto"/>
          <w:sz w:val="32"/>
          <w:szCs w:val="32"/>
        </w:rPr>
        <w:t>表《预算支出相关信息表》、F03表《机构运行信息表》。）</w:t>
      </w:r>
    </w:p>
    <w:p w14:paraId="20F5AB1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bookmarkStart w:id="113" w:name="_Toc4398_WPSOffice_Level1"/>
      <w:bookmarkStart w:id="114" w:name="_Toc11039_WPSOffice_Level1"/>
      <w:bookmarkStart w:id="115" w:name="_Toc17580_WPSOffice_Level1"/>
      <w:bookmarkStart w:id="116" w:name="_Toc8874_WPSOffice_Level1"/>
      <w:bookmarkStart w:id="117" w:name="_Toc8808_WPSOffice_Level1"/>
      <w:bookmarkStart w:id="118" w:name="_Toc15425_WPSOffice_Level1"/>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第四部分  名词解释</w:t>
      </w:r>
      <w:bookmarkEnd w:id="113"/>
      <w:bookmarkEnd w:id="114"/>
      <w:bookmarkEnd w:id="115"/>
      <w:bookmarkEnd w:id="116"/>
      <w:bookmarkEnd w:id="117"/>
      <w:bookmarkEnd w:id="118"/>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14:paraId="70B2D6DD">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01C497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419A08C7">
      <w:pPr>
        <w:keepNext w:val="0"/>
        <w:keepLines w:val="0"/>
        <w:pageBreakBefore w:val="0"/>
        <w:widowControl w:val="0"/>
        <w:kinsoku/>
        <w:wordWrap/>
        <w:overflowPunct/>
        <w:topLinePunct w:val="0"/>
        <w:autoSpaceDE/>
        <w:autoSpaceDN/>
        <w:bidi w:val="0"/>
        <w:adjustRightInd/>
        <w:snapToGrid/>
        <w:spacing w:line="578" w:lineRule="exact"/>
        <w:textAlignment w:val="auto"/>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1BD1ED8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07FD915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72109F8D"/>
    <w:multiLevelType w:val="singleLevel"/>
    <w:tmpl w:val="72109F8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FC80124"/>
    <w:rsid w:val="13696835"/>
    <w:rsid w:val="136F98C7"/>
    <w:rsid w:val="17427E68"/>
    <w:rsid w:val="1755065F"/>
    <w:rsid w:val="1AFC29C9"/>
    <w:rsid w:val="1CA52F2E"/>
    <w:rsid w:val="1CAF251B"/>
    <w:rsid w:val="1E3630B9"/>
    <w:rsid w:val="26EEC2B5"/>
    <w:rsid w:val="26FF30D1"/>
    <w:rsid w:val="29472309"/>
    <w:rsid w:val="29EA22C5"/>
    <w:rsid w:val="2B406E77"/>
    <w:rsid w:val="2C2A0C43"/>
    <w:rsid w:val="2D1E73A5"/>
    <w:rsid w:val="32717154"/>
    <w:rsid w:val="34B63260"/>
    <w:rsid w:val="37FDA7E2"/>
    <w:rsid w:val="3A314D88"/>
    <w:rsid w:val="3A746883"/>
    <w:rsid w:val="3CA15DE9"/>
    <w:rsid w:val="3FE61EE5"/>
    <w:rsid w:val="406508EE"/>
    <w:rsid w:val="408D6263"/>
    <w:rsid w:val="41B40CEE"/>
    <w:rsid w:val="42CF43AB"/>
    <w:rsid w:val="46AA3CF9"/>
    <w:rsid w:val="479A08A7"/>
    <w:rsid w:val="48317291"/>
    <w:rsid w:val="485F7024"/>
    <w:rsid w:val="48E70666"/>
    <w:rsid w:val="4C6877E5"/>
    <w:rsid w:val="4D6A468D"/>
    <w:rsid w:val="4EA86137"/>
    <w:rsid w:val="56CA7FD0"/>
    <w:rsid w:val="57FA38D1"/>
    <w:rsid w:val="5F7D3333"/>
    <w:rsid w:val="61385890"/>
    <w:rsid w:val="687436E1"/>
    <w:rsid w:val="6DA45C50"/>
    <w:rsid w:val="6E9A7825"/>
    <w:rsid w:val="6F670F9B"/>
    <w:rsid w:val="71C01745"/>
    <w:rsid w:val="737450E0"/>
    <w:rsid w:val="74054476"/>
    <w:rsid w:val="742F38C4"/>
    <w:rsid w:val="74AB66DC"/>
    <w:rsid w:val="74C4154C"/>
    <w:rsid w:val="75956FFF"/>
    <w:rsid w:val="77AA2D01"/>
    <w:rsid w:val="7CDE1DBD"/>
    <w:rsid w:val="7D943A85"/>
    <w:rsid w:val="7DB0448C"/>
    <w:rsid w:val="7E2607DE"/>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6299</Words>
  <Characters>7012</Characters>
  <Lines>67</Lines>
  <Paragraphs>18</Paragraphs>
  <TotalTime>44</TotalTime>
  <ScaleCrop>false</ScaleCrop>
  <LinksUpToDate>false</LinksUpToDate>
  <CharactersWithSpaces>7083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2023-08-03T00:58:00Z</cp:lastPrinted>
  <dcterms:modified xsi:type="dcterms:W3CDTF">2025-09-15T12:37:14Z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01A86A2256084457AFC36172E7005024_13</vt:lpwstr>
  </property>
  <property fmtid="{D5CDD505-2E9C-101B-9397-08002B2CF9AE}" pid="4" name="KSOTemplateDocerSaveRecord">
    <vt:lpwstr>eyJoZGlkIjoiNWUzZDViMmI2YjYzNTIwMWY0NjUxZTkxMjZjMjdlNzkifQ==</vt:lpwstr>
  </property>
</Properties>
</file>