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24334" w:rsidRDefault="00524334">
      <w:pPr>
        <w:rPr>
          <w:rFonts w:ascii="仿宋" w:eastAsia="仿宋" w:hAnsi="仿宋" w:hint="eastAsia"/>
          <w:color w:val="000000" w:themeColor="text1"/>
          <w:sz w:val="84"/>
          <w:szCs w:val="84"/>
          <w:u w:val="single"/>
        </w:rPr>
      </w:pPr>
    </w:p>
    <w:p w:rsidR="00524334" w:rsidRDefault="00524334">
      <w:pPr>
        <w:rPr>
          <w:rFonts w:ascii="仿宋" w:eastAsia="仿宋" w:hAnsi="仿宋" w:hint="eastAsia"/>
          <w:color w:val="000000" w:themeColor="text1"/>
          <w:sz w:val="84"/>
          <w:szCs w:val="84"/>
          <w:u w:val="single"/>
        </w:rPr>
      </w:pPr>
    </w:p>
    <w:p w:rsidR="00524334" w:rsidRDefault="00524334">
      <w:pPr>
        <w:rPr>
          <w:rFonts w:ascii="仿宋" w:eastAsia="仿宋" w:hAnsi="仿宋" w:hint="eastAsia"/>
          <w:color w:val="000000" w:themeColor="text1"/>
          <w:sz w:val="84"/>
          <w:szCs w:val="84"/>
          <w:u w:val="single"/>
        </w:rPr>
      </w:pPr>
    </w:p>
    <w:p w:rsidR="00524334" w:rsidRDefault="00524334">
      <w:pPr>
        <w:rPr>
          <w:rFonts w:ascii="仿宋" w:eastAsia="仿宋" w:hAnsi="仿宋" w:hint="eastAsia"/>
          <w:color w:val="000000" w:themeColor="text1"/>
          <w:sz w:val="84"/>
          <w:szCs w:val="84"/>
          <w:u w:val="single"/>
        </w:rPr>
      </w:pPr>
    </w:p>
    <w:p w:rsidR="00524334" w:rsidRDefault="00000000">
      <w:pPr>
        <w:rPr>
          <w:rFonts w:asciiTheme="majorEastAsia" w:eastAsiaTheme="majorEastAsia" w:hAnsiTheme="majorEastAsia" w:hint="eastAsia"/>
          <w:b/>
          <w:color w:val="000000" w:themeColor="text1"/>
          <w:sz w:val="52"/>
          <w:szCs w:val="52"/>
        </w:rPr>
      </w:pPr>
      <w:r>
        <w:rPr>
          <w:rFonts w:asciiTheme="majorEastAsia" w:eastAsiaTheme="majorEastAsia" w:hAnsiTheme="majorEastAsia" w:hint="eastAsia"/>
          <w:b/>
          <w:color w:val="000000" w:themeColor="text1"/>
          <w:sz w:val="52"/>
          <w:szCs w:val="52"/>
        </w:rPr>
        <w:t>2022年海南师范大学（本级）预算</w:t>
      </w:r>
    </w:p>
    <w:p w:rsidR="00524334" w:rsidRDefault="00524334">
      <w:pPr>
        <w:ind w:firstLine="1680"/>
        <w:jc w:val="center"/>
        <w:rPr>
          <w:rFonts w:ascii="仿宋" w:eastAsia="仿宋" w:hAnsi="仿宋" w:hint="eastAsia"/>
          <w:b/>
          <w:color w:val="000000" w:themeColor="text1"/>
          <w:sz w:val="84"/>
          <w:szCs w:val="84"/>
        </w:rPr>
      </w:pPr>
    </w:p>
    <w:p w:rsidR="00524334" w:rsidRDefault="00524334">
      <w:pPr>
        <w:ind w:firstLine="1680"/>
        <w:jc w:val="center"/>
        <w:rPr>
          <w:rFonts w:ascii="仿宋" w:eastAsia="仿宋" w:hAnsi="仿宋" w:hint="eastAsia"/>
          <w:color w:val="000000" w:themeColor="text1"/>
          <w:sz w:val="84"/>
          <w:szCs w:val="84"/>
        </w:rPr>
      </w:pPr>
    </w:p>
    <w:p w:rsidR="00524334" w:rsidRDefault="00524334">
      <w:pPr>
        <w:ind w:firstLine="1680"/>
        <w:jc w:val="center"/>
        <w:rPr>
          <w:rFonts w:ascii="仿宋" w:eastAsia="仿宋" w:hAnsi="仿宋" w:hint="eastAsia"/>
          <w:color w:val="000000" w:themeColor="text1"/>
          <w:sz w:val="84"/>
          <w:szCs w:val="84"/>
        </w:rPr>
      </w:pPr>
    </w:p>
    <w:p w:rsidR="00524334" w:rsidRDefault="00524334">
      <w:pPr>
        <w:ind w:firstLine="1680"/>
        <w:jc w:val="center"/>
        <w:rPr>
          <w:rFonts w:ascii="仿宋" w:eastAsia="仿宋" w:hAnsi="仿宋" w:hint="eastAsia"/>
          <w:color w:val="000000" w:themeColor="text1"/>
          <w:sz w:val="84"/>
          <w:szCs w:val="84"/>
        </w:rPr>
      </w:pPr>
    </w:p>
    <w:p w:rsidR="00524334" w:rsidRDefault="00524334">
      <w:pPr>
        <w:ind w:firstLine="1680"/>
        <w:jc w:val="center"/>
        <w:rPr>
          <w:rFonts w:ascii="仿宋" w:eastAsia="仿宋" w:hAnsi="仿宋" w:hint="eastAsia"/>
          <w:color w:val="000000" w:themeColor="text1"/>
          <w:sz w:val="84"/>
          <w:szCs w:val="84"/>
        </w:rPr>
      </w:pPr>
    </w:p>
    <w:p w:rsidR="00524334" w:rsidRDefault="00524334">
      <w:pPr>
        <w:spacing w:line="560" w:lineRule="exact"/>
        <w:jc w:val="center"/>
        <w:rPr>
          <w:rFonts w:ascii="仿宋" w:eastAsia="仿宋" w:hAnsi="仿宋" w:hint="eastAsia"/>
          <w:color w:val="000000" w:themeColor="text1"/>
          <w:sz w:val="84"/>
          <w:szCs w:val="84"/>
        </w:rPr>
      </w:pPr>
    </w:p>
    <w:p w:rsidR="00524334" w:rsidRDefault="00000000">
      <w:pPr>
        <w:spacing w:line="560" w:lineRule="exact"/>
        <w:jc w:val="center"/>
        <w:rPr>
          <w:rFonts w:ascii="仿宋" w:eastAsia="仿宋" w:hAnsi="仿宋" w:hint="eastAsia"/>
          <w:color w:val="000000" w:themeColor="text1"/>
          <w:sz w:val="52"/>
          <w:szCs w:val="52"/>
        </w:rPr>
      </w:pPr>
      <w:r>
        <w:rPr>
          <w:rFonts w:ascii="仿宋" w:eastAsia="仿宋" w:hAnsi="仿宋" w:hint="eastAsia"/>
          <w:color w:val="000000" w:themeColor="text1"/>
          <w:sz w:val="52"/>
          <w:szCs w:val="52"/>
        </w:rPr>
        <w:lastRenderedPageBreak/>
        <w:t>目    录</w:t>
      </w:r>
    </w:p>
    <w:p w:rsidR="00524334" w:rsidRDefault="00524334">
      <w:pPr>
        <w:spacing w:line="560" w:lineRule="exact"/>
        <w:jc w:val="center"/>
        <w:rPr>
          <w:rFonts w:ascii="仿宋" w:eastAsia="仿宋" w:hAnsi="仿宋" w:hint="eastAsia"/>
          <w:color w:val="000000" w:themeColor="text1"/>
          <w:sz w:val="52"/>
          <w:szCs w:val="52"/>
        </w:rPr>
      </w:pPr>
    </w:p>
    <w:p w:rsidR="00524334" w:rsidRDefault="00524334">
      <w:pPr>
        <w:spacing w:line="560" w:lineRule="exact"/>
        <w:jc w:val="center"/>
        <w:rPr>
          <w:rFonts w:ascii="仿宋" w:eastAsia="仿宋" w:hAnsi="仿宋" w:hint="eastAsia"/>
          <w:color w:val="000000" w:themeColor="text1"/>
          <w:sz w:val="52"/>
          <w:szCs w:val="52"/>
        </w:rPr>
      </w:pPr>
    </w:p>
    <w:p w:rsidR="00524334" w:rsidRDefault="00000000">
      <w:pPr>
        <w:pStyle w:val="1"/>
        <w:numPr>
          <w:ilvl w:val="0"/>
          <w:numId w:val="1"/>
        </w:numPr>
        <w:ind w:firstLineChars="0" w:hanging="2030"/>
        <w:jc w:val="left"/>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海南师范大学（本级）概况</w:t>
      </w:r>
    </w:p>
    <w:p w:rsidR="00524334" w:rsidRDefault="00000000">
      <w:pPr>
        <w:pStyle w:val="1"/>
        <w:numPr>
          <w:ilvl w:val="0"/>
          <w:numId w:val="2"/>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主要职能</w:t>
      </w:r>
    </w:p>
    <w:p w:rsidR="00524334" w:rsidRDefault="00000000">
      <w:pPr>
        <w:pStyle w:val="1"/>
        <w:numPr>
          <w:ilvl w:val="0"/>
          <w:numId w:val="2"/>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部门预算单位构成</w:t>
      </w:r>
    </w:p>
    <w:p w:rsidR="00524334" w:rsidRDefault="00000000">
      <w:pPr>
        <w:pStyle w:val="1"/>
        <w:numPr>
          <w:ilvl w:val="0"/>
          <w:numId w:val="1"/>
        </w:numPr>
        <w:ind w:firstLineChars="0" w:hanging="2030"/>
        <w:jc w:val="left"/>
        <w:rPr>
          <w:rFonts w:asciiTheme="majorEastAsia" w:eastAsiaTheme="majorEastAsia" w:hAnsiTheme="majorEastAsia" w:hint="eastAsia"/>
          <w:b/>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2022</w:t>
      </w:r>
      <w:r>
        <w:rPr>
          <w:rFonts w:ascii="黑体" w:eastAsia="黑体" w:hAnsi="黑体" w:hint="eastAsia"/>
          <w:b/>
          <w:color w:val="000000" w:themeColor="text1"/>
          <w:sz w:val="32"/>
          <w:szCs w:val="32"/>
        </w:rPr>
        <w:t>年预算表</w:t>
      </w:r>
    </w:p>
    <w:p w:rsidR="00524334"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财政拨款收支总表</w:t>
      </w:r>
    </w:p>
    <w:p w:rsidR="00524334"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一般公共预算支出表</w:t>
      </w:r>
    </w:p>
    <w:p w:rsidR="00524334"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一般公共预算基本支出表</w:t>
      </w:r>
    </w:p>
    <w:p w:rsidR="00524334"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一般公共预算“三公”经费支出表</w:t>
      </w:r>
    </w:p>
    <w:p w:rsidR="00524334"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政府性基金预算支出表。</w:t>
      </w:r>
    </w:p>
    <w:p w:rsidR="00524334" w:rsidRDefault="00000000">
      <w:pPr>
        <w:pStyle w:val="1"/>
        <w:numPr>
          <w:ilvl w:val="0"/>
          <w:numId w:val="3"/>
        </w:numPr>
        <w:ind w:firstLineChars="0"/>
        <w:rPr>
          <w:rFonts w:ascii="仿宋" w:eastAsia="仿宋" w:hAnsi="仿宋" w:hint="eastAsia"/>
          <w:color w:val="000000" w:themeColor="text1"/>
          <w:sz w:val="32"/>
          <w:szCs w:val="32"/>
        </w:rPr>
      </w:pPr>
      <w:r>
        <w:rPr>
          <w:rFonts w:ascii="仿宋" w:eastAsia="仿宋" w:hAnsi="仿宋" w:hint="eastAsia"/>
          <w:color w:val="000000" w:themeColor="text1"/>
          <w:sz w:val="32"/>
          <w:szCs w:val="32"/>
        </w:rPr>
        <w:t>政府性基金预算“三公”经费支出表</w:t>
      </w:r>
    </w:p>
    <w:p w:rsidR="00524334"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部门（单位）收支总表</w:t>
      </w:r>
    </w:p>
    <w:p w:rsidR="00524334"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部门（单位）收入总表</w:t>
      </w:r>
    </w:p>
    <w:p w:rsidR="00524334"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部门</w:t>
      </w:r>
      <w:r>
        <w:rPr>
          <w:rFonts w:ascii="仿宋" w:eastAsia="仿宋" w:hAnsi="仿宋" w:cs="仿宋_GB2312" w:hint="eastAsia"/>
          <w:color w:val="000000" w:themeColor="text1"/>
          <w:sz w:val="32"/>
          <w:szCs w:val="32"/>
        </w:rPr>
        <w:t>（</w:t>
      </w:r>
      <w:r>
        <w:rPr>
          <w:rFonts w:ascii="仿宋" w:eastAsia="仿宋" w:hAnsi="仿宋" w:hint="eastAsia"/>
          <w:color w:val="000000" w:themeColor="text1"/>
          <w:sz w:val="32"/>
          <w:szCs w:val="32"/>
        </w:rPr>
        <w:t>单位）支出总表</w:t>
      </w:r>
    </w:p>
    <w:p w:rsidR="00524334" w:rsidRDefault="00000000">
      <w:pPr>
        <w:pStyle w:val="1"/>
        <w:numPr>
          <w:ilvl w:val="0"/>
          <w:numId w:val="3"/>
        </w:numPr>
        <w:ind w:firstLineChars="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项目支出绩效信息</w:t>
      </w:r>
      <w:r>
        <w:rPr>
          <w:rFonts w:ascii="仿宋" w:eastAsia="仿宋" w:hAnsi="仿宋" w:cs="仿宋_GB2312" w:hint="eastAsia"/>
          <w:color w:val="000000" w:themeColor="text1"/>
          <w:sz w:val="32"/>
          <w:szCs w:val="32"/>
        </w:rPr>
        <w:t>表</w:t>
      </w:r>
    </w:p>
    <w:p w:rsidR="00524334" w:rsidRDefault="00000000">
      <w:pPr>
        <w:pStyle w:val="1"/>
        <w:numPr>
          <w:ilvl w:val="0"/>
          <w:numId w:val="1"/>
        </w:numPr>
        <w:ind w:firstLineChars="0" w:hanging="2030"/>
        <w:jc w:val="left"/>
        <w:rPr>
          <w:rFonts w:ascii="黑体" w:eastAsia="黑体" w:hAnsi="黑体" w:cs="仿宋_GB2312" w:hint="eastAsia"/>
          <w:b/>
          <w:color w:val="000000" w:themeColor="text1"/>
          <w:sz w:val="32"/>
          <w:szCs w:val="32"/>
        </w:rPr>
      </w:pPr>
      <w:r>
        <w:rPr>
          <w:rFonts w:ascii="黑体" w:eastAsia="黑体" w:hAnsi="黑体" w:hint="eastAsia"/>
          <w:b/>
          <w:color w:val="000000" w:themeColor="text1"/>
          <w:sz w:val="32"/>
          <w:szCs w:val="32"/>
        </w:rPr>
        <w:t>海南师范大学（本级）</w:t>
      </w:r>
      <w:r>
        <w:rPr>
          <w:rFonts w:ascii="黑体" w:eastAsia="黑体" w:hAnsi="黑体"/>
          <w:b/>
          <w:color w:val="000000" w:themeColor="text1"/>
          <w:sz w:val="32"/>
          <w:szCs w:val="32"/>
        </w:rPr>
        <w:t>2022</w:t>
      </w:r>
      <w:r>
        <w:rPr>
          <w:rFonts w:ascii="黑体" w:eastAsia="黑体" w:hAnsi="黑体" w:hint="eastAsia"/>
          <w:b/>
          <w:color w:val="000000" w:themeColor="text1"/>
          <w:sz w:val="32"/>
          <w:szCs w:val="32"/>
        </w:rPr>
        <w:t>年预算情况说明</w:t>
      </w:r>
    </w:p>
    <w:p w:rsidR="00524334" w:rsidRDefault="00000000">
      <w:pPr>
        <w:pStyle w:val="1"/>
        <w:numPr>
          <w:ilvl w:val="0"/>
          <w:numId w:val="1"/>
        </w:numPr>
        <w:ind w:firstLineChars="0" w:hanging="2030"/>
        <w:jc w:val="left"/>
        <w:rPr>
          <w:rFonts w:asciiTheme="majorEastAsia" w:eastAsiaTheme="majorEastAsia" w:hAnsiTheme="majorEastAsia" w:hint="eastAsia"/>
          <w:b/>
          <w:color w:val="000000" w:themeColor="text1"/>
          <w:sz w:val="32"/>
          <w:szCs w:val="32"/>
        </w:rPr>
      </w:pPr>
      <w:r>
        <w:rPr>
          <w:rFonts w:asciiTheme="majorEastAsia" w:eastAsiaTheme="majorEastAsia" w:hAnsiTheme="majorEastAsia" w:hint="eastAsia"/>
          <w:b/>
          <w:color w:val="000000" w:themeColor="text1"/>
          <w:sz w:val="32"/>
          <w:szCs w:val="32"/>
        </w:rPr>
        <w:t>名词解释</w:t>
      </w:r>
    </w:p>
    <w:p w:rsidR="00524334" w:rsidRDefault="00524334">
      <w:pPr>
        <w:pStyle w:val="1"/>
        <w:ind w:firstLineChars="580" w:firstLine="1863"/>
        <w:jc w:val="center"/>
        <w:rPr>
          <w:rFonts w:asciiTheme="minorEastAsia" w:eastAsiaTheme="minorEastAsia" w:hAnsiTheme="minorEastAsia" w:hint="eastAsia"/>
          <w:b/>
          <w:color w:val="000000" w:themeColor="text1"/>
          <w:sz w:val="32"/>
          <w:szCs w:val="32"/>
        </w:rPr>
      </w:pPr>
    </w:p>
    <w:p w:rsidR="00524334" w:rsidRDefault="00524334">
      <w:pPr>
        <w:pStyle w:val="1"/>
        <w:ind w:firstLineChars="580" w:firstLine="1863"/>
        <w:jc w:val="center"/>
        <w:rPr>
          <w:rFonts w:asciiTheme="minorEastAsia" w:eastAsiaTheme="minorEastAsia" w:hAnsiTheme="minorEastAsia" w:hint="eastAsia"/>
          <w:b/>
          <w:color w:val="000000" w:themeColor="text1"/>
          <w:sz w:val="32"/>
          <w:szCs w:val="32"/>
        </w:rPr>
      </w:pPr>
    </w:p>
    <w:p w:rsidR="00524334" w:rsidRDefault="00524334">
      <w:pPr>
        <w:pStyle w:val="1"/>
        <w:ind w:firstLineChars="580" w:firstLine="1863"/>
        <w:jc w:val="center"/>
        <w:rPr>
          <w:rFonts w:asciiTheme="minorEastAsia" w:eastAsiaTheme="minorEastAsia" w:hAnsiTheme="minorEastAsia" w:hint="eastAsia"/>
          <w:b/>
          <w:color w:val="000000" w:themeColor="text1"/>
          <w:sz w:val="32"/>
          <w:szCs w:val="32"/>
        </w:rPr>
      </w:pPr>
    </w:p>
    <w:p w:rsidR="00524334" w:rsidRDefault="00000000">
      <w:pPr>
        <w:pStyle w:val="1"/>
        <w:ind w:firstLineChars="0" w:firstLine="0"/>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第一部分海南师范大学</w:t>
      </w:r>
      <w:r>
        <w:rPr>
          <w:rFonts w:ascii="黑体" w:eastAsia="黑体" w:hAnsi="黑体"/>
          <w:b/>
          <w:color w:val="000000" w:themeColor="text1"/>
          <w:sz w:val="32"/>
          <w:szCs w:val="32"/>
        </w:rPr>
        <w:t>(本级)概况</w:t>
      </w:r>
    </w:p>
    <w:p w:rsidR="00524334" w:rsidRDefault="00000000">
      <w:pPr>
        <w:spacing w:line="600" w:lineRule="exact"/>
        <w:ind w:firstLineChars="200" w:firstLine="640"/>
        <w:jc w:val="left"/>
        <w:rPr>
          <w:rFonts w:ascii="仿宋" w:eastAsia="仿宋" w:hAnsi="仿宋" w:cs="仿宋_GB2312" w:hint="eastAsia"/>
          <w:sz w:val="32"/>
          <w:szCs w:val="32"/>
        </w:rPr>
      </w:pPr>
      <w:r>
        <w:rPr>
          <w:rFonts w:ascii="仿宋" w:eastAsia="仿宋" w:hAnsi="仿宋" w:cs="仿宋_GB2312" w:hint="eastAsia"/>
          <w:sz w:val="32"/>
          <w:szCs w:val="32"/>
        </w:rPr>
        <w:t>按照预算管理有关规定，目前我校预算编制实行全口径预算制度，我校机构设置有：机关教辅机构29个、群团组织2个、教学单位22个、下属（附属）单位5个。</w:t>
      </w:r>
    </w:p>
    <w:p w:rsidR="00524334" w:rsidRDefault="00524334">
      <w:pPr>
        <w:jc w:val="left"/>
        <w:rPr>
          <w:rFonts w:asciiTheme="minorEastAsia" w:eastAsiaTheme="minorEastAsia" w:hAnsiTheme="minorEastAsia" w:cs="仿宋_GB2312" w:hint="eastAsia"/>
          <w:b/>
          <w:color w:val="000000" w:themeColor="text1"/>
          <w:sz w:val="32"/>
          <w:szCs w:val="32"/>
        </w:rPr>
      </w:pPr>
    </w:p>
    <w:p w:rsidR="00524334" w:rsidRDefault="00000000">
      <w:pPr>
        <w:pStyle w:val="a9"/>
        <w:widowControl/>
        <w:jc w:val="both"/>
        <w:rPr>
          <w:rStyle w:val="aa"/>
          <w:rFonts w:ascii="仿宋" w:eastAsia="仿宋" w:hAnsi="仿宋" w:hint="eastAsia"/>
          <w:b w:val="0"/>
          <w:color w:val="000000" w:themeColor="text1"/>
          <w:sz w:val="32"/>
          <w:szCs w:val="32"/>
        </w:rPr>
      </w:pPr>
      <w:r>
        <w:rPr>
          <w:rFonts w:ascii="仿宋" w:eastAsia="仿宋" w:hAnsi="仿宋" w:cs="仿宋_GB2312" w:hint="eastAsia"/>
          <w:b/>
          <w:color w:val="000000" w:themeColor="text1"/>
          <w:sz w:val="32"/>
          <w:szCs w:val="32"/>
        </w:rPr>
        <w:t>一、主要职能</w:t>
      </w:r>
      <w:r>
        <w:rPr>
          <w:rStyle w:val="aa"/>
          <w:rFonts w:ascii="仿宋" w:eastAsia="仿宋" w:hAnsi="仿宋"/>
          <w:b w:val="0"/>
          <w:color w:val="000000" w:themeColor="text1"/>
          <w:sz w:val="32"/>
          <w:szCs w:val="32"/>
        </w:rPr>
        <w:t>   </w:t>
      </w:r>
    </w:p>
    <w:p w:rsidR="00524334" w:rsidRDefault="00000000">
      <w:pPr>
        <w:spacing w:line="600" w:lineRule="exact"/>
        <w:ind w:firstLineChars="200" w:firstLine="64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(一）部门（单位）职责</w:t>
      </w:r>
    </w:p>
    <w:p w:rsidR="00524334" w:rsidRDefault="00000000">
      <w:pPr>
        <w:spacing w:line="600" w:lineRule="exact"/>
        <w:ind w:firstLineChars="200" w:firstLine="64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 海南师范大学以培养高等学历师资人才，促进教育事 业发展为宗旨，贯彻落实党和国家以及省委、省政府高等 教育工作的有关规定，按照《中华人民共和国高等教育 法》实施高等教育工作，培养高级专业技术人才；承担相 关科学研究、学术交流和科技成果推广转化工作；承担在 职教师培训和成人教育、职业技术教育工作；承办上级部 门交办的其他工作。</w:t>
      </w:r>
    </w:p>
    <w:p w:rsidR="00524334" w:rsidRDefault="00000000">
      <w:pPr>
        <w:spacing w:line="600" w:lineRule="exact"/>
        <w:ind w:firstLineChars="100" w:firstLine="32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（二）纳入我校部门预算编制范围的部门包括：</w:t>
      </w:r>
    </w:p>
    <w:p w:rsidR="00524334" w:rsidRDefault="00000000">
      <w:pPr>
        <w:jc w:val="left"/>
        <w:rPr>
          <w:rFonts w:ascii="宋体" w:hAnsi="宋体" w:cs="宋体" w:hint="eastAsia"/>
          <w:color w:val="000000"/>
          <w:kern w:val="0"/>
          <w:sz w:val="24"/>
          <w:szCs w:val="24"/>
        </w:rPr>
      </w:pPr>
      <w:r>
        <w:rPr>
          <w:rFonts w:ascii="仿宋" w:eastAsia="仿宋" w:hAnsi="仿宋" w:hint="eastAsia"/>
          <w:color w:val="000000" w:themeColor="text1"/>
          <w:sz w:val="32"/>
          <w:szCs w:val="32"/>
        </w:rPr>
        <w:t>1.机关教辅单位29个：党政办公室（督查督导办公室）、党委组织部、党委宣传统战部、纪检监察一处、纪检监察二处、审计处、学生工作部（学生工作处、人民武装部）、人事处（教师工作部、人才工作办公室、计划生育办公室）、教务处（通识教育中心）、科研管理与学科建设处、财务处、国有资和管理处、招生就业处、后勤管理处、基建处、对外合作与交流处、保卫处、离退休工作</w:t>
      </w:r>
      <w:r>
        <w:rPr>
          <w:rFonts w:ascii="仿宋" w:eastAsia="仿宋" w:hAnsi="仿宋" w:hint="eastAsia"/>
          <w:color w:val="000000" w:themeColor="text1"/>
          <w:sz w:val="32"/>
          <w:szCs w:val="32"/>
        </w:rPr>
        <w:lastRenderedPageBreak/>
        <w:t>办公室、教育发展管理办公室、大学科技园区管理办公室、党校、机关党委、发展与改革研究中心、研究生学院（研究生工作部）。继续教育学院、图书馆（档案馆）、教育科学研究院、学报编辑部、信息网络与数据中心（省教育网络中心、信息办公室）。</w:t>
      </w:r>
    </w:p>
    <w:p w:rsidR="00524334" w:rsidRDefault="00000000">
      <w:pPr>
        <w:spacing w:line="600" w:lineRule="exact"/>
        <w:ind w:firstLineChars="200" w:firstLine="64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2.群团组织2个：教育工会、团委。</w:t>
      </w:r>
    </w:p>
    <w:p w:rsidR="00524334" w:rsidRDefault="00000000">
      <w:pPr>
        <w:spacing w:line="600" w:lineRule="exact"/>
        <w:ind w:firstLineChars="200" w:firstLine="640"/>
        <w:jc w:val="left"/>
        <w:rPr>
          <w:rFonts w:ascii="仿宋" w:eastAsia="仿宋" w:hAnsi="仿宋" w:hint="eastAsia"/>
          <w:color w:val="000000" w:themeColor="text1"/>
          <w:sz w:val="32"/>
          <w:szCs w:val="32"/>
        </w:rPr>
      </w:pPr>
      <w:r>
        <w:rPr>
          <w:rFonts w:ascii="仿宋" w:eastAsia="仿宋" w:hAnsi="仿宋" w:hint="eastAsia"/>
          <w:color w:val="000000" w:themeColor="text1"/>
          <w:sz w:val="32"/>
          <w:szCs w:val="32"/>
        </w:rPr>
        <w:t>3.教学单位22个学院：马克思主义学院、文学院、外国语学院、信息科学技术学院、地理与环境科学学院、教育学院、历史文化学院、音乐学院、化学与化工学院、旅游学院、教师教育学院、新闻传播与影视学院、美术学院、生命科学学院、国际教育学院、初等教育学院、法学院、数学与统计学院、体育学院、心理学院、经济与管理学院、物理与电子工程学院。</w:t>
      </w:r>
    </w:p>
    <w:p w:rsidR="00524334" w:rsidRDefault="00000000">
      <w:pPr>
        <w:pStyle w:val="ae"/>
        <w:ind w:firstLine="640"/>
        <w:jc w:val="left"/>
        <w:rPr>
          <w:rFonts w:ascii="黑体" w:eastAsia="黑体" w:hAnsi="黑体" w:hint="eastAsia"/>
          <w:sz w:val="32"/>
          <w:szCs w:val="32"/>
        </w:rPr>
      </w:pPr>
      <w:r w:rsidRPr="007A6F38">
        <w:rPr>
          <w:rFonts w:ascii="黑体" w:eastAsia="黑体" w:hAnsi="黑体" w:hint="eastAsia"/>
          <w:sz w:val="32"/>
          <w:szCs w:val="32"/>
          <w:highlight w:val="yellow"/>
        </w:rPr>
        <w:t>二、部门预算单位构成</w:t>
      </w:r>
    </w:p>
    <w:p w:rsidR="00524334" w:rsidRDefault="00000000">
      <w:pPr>
        <w:ind w:firstLineChars="200" w:firstLine="640"/>
        <w:jc w:val="left"/>
        <w:rPr>
          <w:rFonts w:ascii="仿宋_GB2312" w:eastAsia="仿宋_GB2312" w:hAnsi="仿宋_GB2312" w:cs="仿宋_GB2312" w:hint="eastAsia"/>
          <w:color w:val="000000" w:themeColor="text1"/>
          <w:sz w:val="32"/>
          <w:szCs w:val="32"/>
        </w:rPr>
      </w:pPr>
      <w:r>
        <w:rPr>
          <w:rFonts w:ascii="仿宋_GB2312" w:eastAsia="仿宋_GB2312" w:hAnsi="仿宋_GB2312" w:cs="仿宋_GB2312" w:hint="eastAsia"/>
          <w:color w:val="000000" w:themeColor="text1"/>
          <w:sz w:val="32"/>
          <w:szCs w:val="32"/>
        </w:rPr>
        <w:t>无此类情况</w:t>
      </w:r>
    </w:p>
    <w:p w:rsidR="00524334" w:rsidRDefault="00524334">
      <w:pPr>
        <w:ind w:firstLineChars="200" w:firstLine="640"/>
        <w:jc w:val="left"/>
        <w:rPr>
          <w:rFonts w:ascii="仿宋_GB2312" w:eastAsia="仿宋_GB2312" w:hAnsi="仿宋_GB2312" w:cs="仿宋_GB2312" w:hint="eastAsia"/>
          <w:color w:val="000000" w:themeColor="text1"/>
          <w:sz w:val="32"/>
          <w:szCs w:val="32"/>
        </w:rPr>
      </w:pPr>
    </w:p>
    <w:p w:rsidR="00524334" w:rsidRDefault="00000000">
      <w:pPr>
        <w:ind w:firstLineChars="200" w:firstLine="643"/>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第二部分 海南师范大学（本级）2022年预算表</w:t>
      </w:r>
    </w:p>
    <w:p w:rsidR="00524334" w:rsidRDefault="00524334">
      <w:pPr>
        <w:jc w:val="center"/>
        <w:rPr>
          <w:rFonts w:ascii="黑体" w:eastAsia="黑体" w:hAnsi="黑体" w:hint="eastAsia"/>
          <w:color w:val="000000" w:themeColor="text1"/>
          <w:sz w:val="32"/>
          <w:szCs w:val="32"/>
        </w:rPr>
      </w:pPr>
    </w:p>
    <w:p w:rsidR="00524334" w:rsidRDefault="00000000">
      <w:pPr>
        <w:jc w:val="center"/>
        <w:rPr>
          <w:rFonts w:ascii="仿宋" w:eastAsia="仿宋" w:hAnsi="仿宋" w:hint="eastAsia"/>
          <w:color w:val="000000" w:themeColor="text1"/>
          <w:sz w:val="32"/>
          <w:szCs w:val="32"/>
        </w:rPr>
      </w:pP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此部分内容即为部门或单位预算公开表</w:t>
      </w:r>
      <w:r>
        <w:rPr>
          <w:rFonts w:ascii="仿宋" w:eastAsia="仿宋" w:hAnsi="仿宋" w:hint="eastAsia"/>
          <w:color w:val="000000" w:themeColor="text1"/>
          <w:sz w:val="32"/>
          <w:szCs w:val="32"/>
        </w:rPr>
        <w:t>）</w:t>
      </w:r>
    </w:p>
    <w:p w:rsidR="00524334" w:rsidRDefault="00524334">
      <w:pPr>
        <w:ind w:firstLineChars="200" w:firstLine="640"/>
        <w:rPr>
          <w:rFonts w:ascii="仿宋" w:eastAsia="仿宋" w:hAnsi="仿宋" w:hint="eastAsia"/>
          <w:color w:val="000000" w:themeColor="text1"/>
          <w:sz w:val="32"/>
          <w:szCs w:val="32"/>
        </w:rPr>
      </w:pPr>
    </w:p>
    <w:p w:rsidR="00524334" w:rsidRDefault="00000000">
      <w:pPr>
        <w:ind w:firstLineChars="200" w:firstLine="643"/>
        <w:jc w:val="center"/>
        <w:rPr>
          <w:rFonts w:ascii="黑体" w:eastAsia="黑体" w:hAnsi="黑体" w:hint="eastAsia"/>
          <w:b/>
          <w:color w:val="000000" w:themeColor="text1"/>
          <w:sz w:val="32"/>
          <w:szCs w:val="32"/>
        </w:rPr>
      </w:pPr>
      <w:r>
        <w:rPr>
          <w:rFonts w:ascii="黑体" w:eastAsia="黑体" w:hAnsi="黑体" w:hint="eastAsia"/>
          <w:b/>
          <w:color w:val="000000" w:themeColor="text1"/>
          <w:sz w:val="32"/>
          <w:szCs w:val="32"/>
        </w:rPr>
        <w:t>第三部分海南师范大学（本级）2022年预算情况说明</w:t>
      </w:r>
    </w:p>
    <w:p w:rsidR="00524334" w:rsidRDefault="00524334">
      <w:pPr>
        <w:rPr>
          <w:rFonts w:ascii="仿宋" w:eastAsia="仿宋" w:hAnsi="仿宋" w:hint="eastAsia"/>
          <w:b/>
          <w:color w:val="000000" w:themeColor="text1"/>
          <w:sz w:val="32"/>
          <w:szCs w:val="32"/>
        </w:rPr>
      </w:pP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一、关于海南师范大学（本级）2022年财政拨款收支预算情</w:t>
      </w:r>
      <w:r>
        <w:rPr>
          <w:rFonts w:ascii="仿宋" w:eastAsia="仿宋" w:hAnsi="仿宋" w:hint="eastAsia"/>
          <w:b/>
          <w:color w:val="000000" w:themeColor="text1"/>
          <w:sz w:val="32"/>
          <w:szCs w:val="32"/>
        </w:rPr>
        <w:lastRenderedPageBreak/>
        <w:t>况的总体说明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2022年财政拨款收支总预算54,398.15万元，比上年增加652.55万元，主要是一般公共服务支出减少316万元、教育支出增加166.38万元、科学技术支出增加933.18万元、社会保障和就业支出减少131.78万元、卫生健康支出减少33.89万元、住房保障支出增加34.66万元。其中，收入总计54,398.15万元，包括一般公共预算本年收入50,667.31万元、上年结转3,730.84万元，政府性基金预算本年收入0万元、上年结转0万元；支出总计54,398.15万元，包括教育支出47,083.01万元、科学技术支出1,553.18万元、社会保障和就业支出3,100.41万元、卫生健康支出1,069.36万元、住房保障支出1,592.19万元。</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二、关于海南师范大学（本级）2022年一般公共预算当年拨款情况说明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（一）一般公共预算当年规模变化情况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2022年一般公共预算当年拨款54,398.15万元，比上年预算数增加652.55万元。主要是一般公共服务支出减少316万元、教育支出增加166.38万元、科学技术支出增加933.18万元、社会保障和就业支出减少131.78万元、卫生健康支出减少33.89万元、住房保障支出增加34.66万元。</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（二）一般公共预算当年拨款结构情况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教育（类）支出47,083.01万元，占86.56%；科学技术（类）支出1,553.18万元，占2.86%；社会保障和就业支出3,100.41</w:t>
      </w:r>
      <w:r>
        <w:rPr>
          <w:rFonts w:ascii="仿宋" w:eastAsia="仿宋" w:hAnsi="仿宋" w:hint="eastAsia"/>
          <w:color w:val="000000" w:themeColor="text1"/>
          <w:sz w:val="32"/>
          <w:szCs w:val="32"/>
        </w:rPr>
        <w:lastRenderedPageBreak/>
        <w:t>万元，占5.70%，卫生健康支出1,069.36万元，占1.96%，住房保障支出1</w:t>
      </w:r>
      <w:r>
        <w:rPr>
          <w:rFonts w:ascii="仿宋" w:eastAsia="仿宋" w:hAnsi="仿宋"/>
          <w:color w:val="000000" w:themeColor="text1"/>
          <w:sz w:val="32"/>
          <w:szCs w:val="32"/>
        </w:rPr>
        <w:t>,</w:t>
      </w:r>
      <w:r>
        <w:rPr>
          <w:rFonts w:ascii="仿宋" w:eastAsia="仿宋" w:hAnsi="仿宋" w:hint="eastAsia"/>
          <w:color w:val="000000" w:themeColor="text1"/>
          <w:sz w:val="32"/>
          <w:szCs w:val="32"/>
        </w:rPr>
        <w:t>592.19万元，2.92%。</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（三）一般公共预算当年拨款具体使用情况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1.教育支出（类）普通教育（款）高等教育（项）2022年预算数为46,098.26万元，比去年减少818.37万元，主要是来琼留学教育2022年单独列示预算。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2.教育支出（类）留学教育（款）来华留学教育（项）2022年预算数869.7万元，主要是2</w:t>
      </w:r>
      <w:r>
        <w:rPr>
          <w:rFonts w:ascii="仿宋" w:eastAsia="仿宋" w:hAnsi="仿宋"/>
          <w:color w:val="000000" w:themeColor="text1"/>
          <w:sz w:val="32"/>
          <w:szCs w:val="32"/>
        </w:rPr>
        <w:t>021</w:t>
      </w:r>
      <w:r>
        <w:rPr>
          <w:rFonts w:ascii="仿宋" w:eastAsia="仿宋" w:hAnsi="仿宋" w:hint="eastAsia"/>
          <w:color w:val="000000" w:themeColor="text1"/>
          <w:sz w:val="32"/>
          <w:szCs w:val="32"/>
        </w:rPr>
        <w:t>年来琼留学教育合并在教育支出（类）普通教育（款）高等教育（项），2</w:t>
      </w:r>
      <w:r>
        <w:rPr>
          <w:rFonts w:ascii="仿宋" w:eastAsia="仿宋" w:hAnsi="仿宋"/>
          <w:color w:val="000000" w:themeColor="text1"/>
          <w:sz w:val="32"/>
          <w:szCs w:val="32"/>
        </w:rPr>
        <w:t>022</w:t>
      </w:r>
      <w:r>
        <w:rPr>
          <w:rFonts w:ascii="仿宋" w:eastAsia="仿宋" w:hAnsi="仿宋" w:hint="eastAsia"/>
          <w:color w:val="000000" w:themeColor="text1"/>
          <w:sz w:val="32"/>
          <w:szCs w:val="32"/>
        </w:rPr>
        <w:t>年单独列示预算。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3.教育支出（类）进修与培训（款）教师进修（项）2022年预算数为115.05万元，比去年预算数减少62.15万元，主要是培训支出预算数比上年预算数减少62.15万元。</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4.科学技术支出（类）基础研究（款）自然科学基金（项）2022年预算数为170万元，主要是新增2022年的预算。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5.科学技术支出（类）基础研究（款）科技人才队伍建设（项）2022年预算数为100万元，主要是新增2022年的预算。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6.科学技术支出（类）科技条件与服务（款）科技条件专项（项）2022年预算数289.98万元，主要是新增2022年的预算。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7.科学技术支出（类）科技重大项目（款）科技重大专项(项)2022年预算数176万元，主要是新增2022年的预算。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8.科学技术支出（类）科技重大项目（款）重大研发计划(项)2022年预算数401.2万元，主要是新增2022年的预算。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9.科学技术支出（类）其他科学技术支出(款)其他科学技术</w:t>
      </w:r>
      <w:r>
        <w:rPr>
          <w:rFonts w:ascii="仿宋" w:eastAsia="仿宋" w:hAnsi="仿宋" w:hint="eastAsia"/>
          <w:color w:val="000000" w:themeColor="text1"/>
          <w:sz w:val="32"/>
          <w:szCs w:val="32"/>
        </w:rPr>
        <w:lastRenderedPageBreak/>
        <w:t>支出(项)2022年预算数为416万元，比去年增加296万元，主要是预算单位增加的其他科学技术支出预算。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10.社会保障和就业支出(类)行政事业单位养老支出(款)事业单位离退休(项)2022年预算数为45.99万元，比去年增加1.56万元，主要是单位缴纳基本养老保险费支出的增加。</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11. 社会保障和就业支出(类)行政事业单位养老支出(款)机关事业单位基本养老保险缴费支出(项)2022年预算为2,012.91万元，去年减少63.79万元，主要是关事业单位基本养老保险缴费支出预算减少。</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12. 社会保障和就业支出(类)行政事业单位养老支出(款)事业单位职业年金缴费支出(项)2022年预算数为1,006.46万元，比去年减少31.89万元，主要是职业年金预算减少。</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13.社会保障和就业支出(类)抚恤(款)其他优抚支出(项)35.06万元，比去年增加5.44万元，主要是增加死亡抚恤预算。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14.卫生健康支出(类)行政事业单位医疗(款)事来单位医疗(项)2022年预算数为1,069.36万元，比去年减少33.89万元，主要是单位医疗预算减少33.89万元。</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15.住房保障支出(类)住房改革支出(款)住房公积金(项)2022年预算数为1,592.19万元，比去年增加34.66万元，主要是机关事业单位住房公积金基本支出预算的增加。</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三、关于海南师范大学（本级）2022年一般公共预算基本支出情况说明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lastRenderedPageBreak/>
        <w:t>海南师范大学2022年一般公共预算基本支出为33,158.12万元，其中：</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人员经费23,397.32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公用经费9,760.8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四、海南师范大学2022</w:t>
      </w:r>
      <w:r>
        <w:rPr>
          <w:rFonts w:ascii="仿宋" w:eastAsia="仿宋" w:hAnsi="仿宋"/>
          <w:b/>
          <w:color w:val="000000" w:themeColor="text1"/>
          <w:sz w:val="32"/>
          <w:szCs w:val="32"/>
        </w:rPr>
        <w:t>年“三公”经费预算情况</w:t>
      </w:r>
      <w:r>
        <w:rPr>
          <w:rFonts w:ascii="仿宋" w:eastAsia="仿宋" w:hAnsi="仿宋" w:hint="eastAsia"/>
          <w:b/>
          <w:color w:val="000000" w:themeColor="text1"/>
          <w:sz w:val="32"/>
          <w:szCs w:val="32"/>
        </w:rPr>
        <w:t>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（一）海南师范大学2022年一般公共预算“三公”经费预算数为295万元，与去年持平。其中：</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w:t>
      </w:r>
      <w:r>
        <w:rPr>
          <w:rFonts w:ascii="仿宋" w:eastAsia="仿宋" w:hAnsi="仿宋"/>
          <w:color w:val="000000" w:themeColor="text1"/>
          <w:sz w:val="32"/>
          <w:szCs w:val="32"/>
        </w:rPr>
        <w:t>因公出国（境）经费</w:t>
      </w:r>
      <w:r>
        <w:rPr>
          <w:rFonts w:ascii="仿宋" w:eastAsia="仿宋" w:hAnsi="仿宋" w:hint="eastAsia"/>
          <w:color w:val="000000" w:themeColor="text1"/>
          <w:sz w:val="32"/>
          <w:szCs w:val="32"/>
        </w:rPr>
        <w:t>100万元</w:t>
      </w:r>
      <w:r>
        <w:rPr>
          <w:rFonts w:ascii="仿宋" w:eastAsia="仿宋" w:hAnsi="仿宋"/>
          <w:color w:val="000000" w:themeColor="text1"/>
          <w:sz w:val="32"/>
          <w:szCs w:val="32"/>
        </w:rPr>
        <w:t>，与</w:t>
      </w:r>
      <w:r>
        <w:rPr>
          <w:rFonts w:ascii="仿宋" w:eastAsia="仿宋" w:hAnsi="仿宋" w:hint="eastAsia"/>
          <w:color w:val="000000" w:themeColor="text1"/>
          <w:sz w:val="32"/>
          <w:szCs w:val="32"/>
        </w:rPr>
        <w:t>上</w:t>
      </w:r>
      <w:r>
        <w:rPr>
          <w:rFonts w:ascii="仿宋" w:eastAsia="仿宋" w:hAnsi="仿宋"/>
          <w:color w:val="000000" w:themeColor="text1"/>
          <w:sz w:val="32"/>
          <w:szCs w:val="32"/>
        </w:rPr>
        <w:t>年预算持平</w:t>
      </w:r>
      <w:r>
        <w:rPr>
          <w:rFonts w:ascii="仿宋" w:eastAsia="仿宋" w:hAnsi="仿宋" w:hint="eastAsia"/>
          <w:color w:val="000000" w:themeColor="text1"/>
          <w:sz w:val="32"/>
          <w:szCs w:val="32"/>
        </w:rPr>
        <w:t>。</w:t>
      </w:r>
      <w:r>
        <w:rPr>
          <w:rFonts w:ascii="仿宋" w:eastAsia="仿宋" w:hAnsi="仿宋"/>
          <w:color w:val="000000" w:themeColor="text1"/>
          <w:sz w:val="32"/>
          <w:szCs w:val="32"/>
        </w:rPr>
        <w:t>由于新冠疫情的影响，我校暂未制定2</w:t>
      </w:r>
      <w:r>
        <w:rPr>
          <w:rFonts w:ascii="仿宋" w:eastAsia="仿宋" w:hAnsi="仿宋" w:hint="eastAsia"/>
          <w:color w:val="000000" w:themeColor="text1"/>
          <w:sz w:val="32"/>
          <w:szCs w:val="32"/>
        </w:rPr>
        <w:t>022年因公出访计划。</w:t>
      </w:r>
      <w:r>
        <w:rPr>
          <w:rFonts w:ascii="仿宋" w:eastAsia="仿宋" w:hAnsi="仿宋" w:cs="Times New Roman" w:hint="eastAsia"/>
          <w:sz w:val="32"/>
          <w:szCs w:val="32"/>
          <w:shd w:val="clear" w:color="auto" w:fill="FFFFFF"/>
        </w:rPr>
        <w:t>我校将在严格遵守国家及省委、省政府的疫情防控要求的前提下，继续做好国际交流活动计划安排，加强因公出国（境）团组的申报和审批，对因公出国（境）的人员、出访计划、资金支出预算安排等方面从严控制。</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w:t>
      </w:r>
      <w:r>
        <w:rPr>
          <w:rFonts w:ascii="仿宋" w:eastAsia="仿宋" w:hAnsi="仿宋"/>
          <w:color w:val="000000" w:themeColor="text1"/>
          <w:sz w:val="32"/>
          <w:szCs w:val="32"/>
        </w:rPr>
        <w:t>公务用车购置及运行费</w:t>
      </w:r>
      <w:r>
        <w:rPr>
          <w:rFonts w:ascii="仿宋" w:eastAsia="仿宋" w:hAnsi="仿宋" w:hint="eastAsia"/>
          <w:color w:val="000000" w:themeColor="text1"/>
          <w:sz w:val="32"/>
          <w:szCs w:val="32"/>
        </w:rPr>
        <w:t>95万元（其中，</w:t>
      </w:r>
      <w:r>
        <w:rPr>
          <w:rFonts w:ascii="仿宋" w:eastAsia="仿宋" w:hAnsi="仿宋"/>
          <w:color w:val="000000" w:themeColor="text1"/>
          <w:sz w:val="32"/>
          <w:szCs w:val="32"/>
        </w:rPr>
        <w:t>公务用车购置</w:t>
      </w:r>
      <w:r>
        <w:rPr>
          <w:rFonts w:ascii="仿宋" w:eastAsia="仿宋" w:hAnsi="仿宋" w:hint="eastAsia"/>
          <w:color w:val="000000" w:themeColor="text1"/>
          <w:sz w:val="32"/>
          <w:szCs w:val="32"/>
        </w:rPr>
        <w:t>费0</w:t>
      </w:r>
      <w:r>
        <w:rPr>
          <w:rFonts w:ascii="仿宋" w:eastAsia="仿宋" w:hAnsi="仿宋" w:hint="eastAsia"/>
          <w:color w:val="000000" w:themeColor="text1"/>
          <w:sz w:val="32"/>
          <w:szCs w:val="32"/>
        </w:rPr>
        <w:lastRenderedPageBreak/>
        <w:t>万元，公务用车</w:t>
      </w:r>
      <w:r>
        <w:rPr>
          <w:rFonts w:ascii="仿宋" w:eastAsia="仿宋" w:hAnsi="仿宋"/>
          <w:color w:val="000000" w:themeColor="text1"/>
          <w:sz w:val="32"/>
          <w:szCs w:val="32"/>
        </w:rPr>
        <w:t>运行费</w:t>
      </w:r>
      <w:r>
        <w:rPr>
          <w:rFonts w:ascii="仿宋" w:eastAsia="仿宋" w:hAnsi="仿宋" w:hint="eastAsia"/>
          <w:color w:val="000000" w:themeColor="text1"/>
          <w:sz w:val="32"/>
          <w:szCs w:val="32"/>
        </w:rPr>
        <w:t>95万元）</w:t>
      </w:r>
      <w:r>
        <w:rPr>
          <w:rFonts w:ascii="仿宋" w:eastAsia="仿宋" w:hAnsi="仿宋"/>
          <w:color w:val="000000" w:themeColor="text1"/>
          <w:sz w:val="32"/>
          <w:szCs w:val="32"/>
        </w:rPr>
        <w:t>，与</w:t>
      </w:r>
      <w:r>
        <w:rPr>
          <w:rFonts w:ascii="仿宋" w:eastAsia="仿宋" w:hAnsi="仿宋" w:hint="eastAsia"/>
          <w:color w:val="000000" w:themeColor="text1"/>
          <w:sz w:val="32"/>
          <w:szCs w:val="32"/>
        </w:rPr>
        <w:t>上</w:t>
      </w:r>
      <w:r>
        <w:rPr>
          <w:rFonts w:ascii="仿宋" w:eastAsia="仿宋" w:hAnsi="仿宋"/>
          <w:color w:val="000000" w:themeColor="text1"/>
          <w:sz w:val="32"/>
          <w:szCs w:val="32"/>
        </w:rPr>
        <w:t>年预算持平。</w:t>
      </w:r>
      <w:r>
        <w:rPr>
          <w:rFonts w:ascii="仿宋" w:eastAsia="仿宋" w:hAnsi="仿宋" w:hint="eastAsia"/>
          <w:color w:val="000000" w:themeColor="text1"/>
          <w:sz w:val="32"/>
          <w:szCs w:val="32"/>
        </w:rPr>
        <w:t>公务用车保有存量是9辆。</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3.公务接待费是100万元，与上年预算持平。2022年我校计划接待50批300人。</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（二）海南师范大学（本级）2022年政府性基金预算“三公”经费预算数为0万元。</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五、关于海南师范大学（本级）2022</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政府性基金预算当年拨款情况说明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2022年海南师范大学无政府性基金预算当年拨款。</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六、关于海南师范大学2022</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收支预算情况的总体说明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按照综合预算原则，海南师范大学所有收入和支出均纳入部门预算管理。收入包括：一般公共预算收入、财政专户管理资金收入、事业收入；支出包括：教育支出、科学技术支出、社会保障和就业支出、卫生健康支出和住房保障支出。海南师范大学（本级）2022年收入总预算93,763.52万元。</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七、关于海南师范大学（本级）2022</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收入预算情况说明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海南师范大学（本级）2022年收入预算93.763.52万元，其中：上年结转12,030.84万元，占12.83%；经费拨款收入50,667.31万元，占54.04%；财政专户管理资金收入16,700万元占17.81%；事业收入14,365.37万元，占15.32% 。比上年预算数增加22,291.92万元，主要是2022年将实有资金账户列入了部门预算。</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八、关于海南师范大学（本级）2022</w:t>
      </w:r>
      <w:r>
        <w:rPr>
          <w:rFonts w:ascii="仿宋" w:eastAsia="仿宋" w:hAnsi="仿宋"/>
          <w:b/>
          <w:color w:val="000000" w:themeColor="text1"/>
          <w:sz w:val="32"/>
          <w:szCs w:val="32"/>
        </w:rPr>
        <w:t>年</w:t>
      </w:r>
      <w:r>
        <w:rPr>
          <w:rFonts w:ascii="仿宋" w:eastAsia="仿宋" w:hAnsi="仿宋" w:hint="eastAsia"/>
          <w:b/>
          <w:color w:val="000000" w:themeColor="text1"/>
          <w:sz w:val="32"/>
          <w:szCs w:val="32"/>
        </w:rPr>
        <w:t>支出预算情况说明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海南师范大学（本级）2022年支出预算93,663.52万元，其</w:t>
      </w:r>
      <w:r>
        <w:rPr>
          <w:rFonts w:ascii="仿宋" w:eastAsia="仿宋" w:hAnsi="仿宋" w:hint="eastAsia"/>
          <w:color w:val="000000" w:themeColor="text1"/>
          <w:sz w:val="32"/>
          <w:szCs w:val="32"/>
        </w:rPr>
        <w:lastRenderedPageBreak/>
        <w:t>中：基本支出人员经费46,097.32万元，占49.22%；基本支出公用经费9,929.12万元占10.6%；项目支出37,637.08万元，占40.18%。基本支出比上年预算数增加22,191.92万元，主要是2022年加大了一般公共预算对教育和项目支出的投入。</w:t>
      </w:r>
    </w:p>
    <w:p w:rsidR="00524334" w:rsidRDefault="00000000">
      <w:pPr>
        <w:spacing w:line="560" w:lineRule="exact"/>
        <w:ind w:firstLineChars="200" w:firstLine="643"/>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t>九、其他重要事项的情况说明</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（一）机关运行经费</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2022年海南师范大学（本级）</w:t>
      </w:r>
      <w:proofErr w:type="gramStart"/>
      <w:r>
        <w:rPr>
          <w:rFonts w:ascii="仿宋" w:eastAsia="仿宋" w:hAnsi="仿宋" w:hint="eastAsia"/>
          <w:color w:val="000000" w:themeColor="text1"/>
          <w:sz w:val="32"/>
          <w:szCs w:val="32"/>
        </w:rPr>
        <w:t>无机关</w:t>
      </w:r>
      <w:proofErr w:type="gramEnd"/>
      <w:r>
        <w:rPr>
          <w:rFonts w:ascii="仿宋" w:eastAsia="仿宋" w:hAnsi="仿宋" w:hint="eastAsia"/>
          <w:color w:val="000000" w:themeColor="text1"/>
          <w:sz w:val="32"/>
          <w:szCs w:val="32"/>
        </w:rPr>
        <w:t>运行经费。</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（二）政府采购情况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2022年海南师范大学（本级）（政府采购预算总额2,487.76万元，其中：政府采购货物预算2,487.76万元。</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（三）国有资产占有使用情况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截至2021年12月31日，海南师范大学省本级共有车辆9辆，其中，领导干部用车 2辆，机要通信应急用车1辆、一般执法执勤用车5辆、特种专业技术用车1辆。单位价值100万元以上设备17台（套）。</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（四）绩效目标设置情况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2022年海南师范大学（本级）有40个项目实行绩效目标管理，涉及一般公共预算50,667.31万元、财政专户管理资金收入16,700.00万元、事业收入14,365.37万元 。</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其中，重点项目预算绩效情况：</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1、海南师范大学学生事务补助项目，预算安排1,626.53万元。主要用于为在校本科生按月发放副食品补贴，为师范生发放师范院校奖学金，为勤工助学学生发放勤工助学补助。绩效目标</w:t>
      </w:r>
      <w:r>
        <w:rPr>
          <w:rFonts w:ascii="仿宋" w:eastAsia="仿宋" w:hAnsi="仿宋" w:hint="eastAsia"/>
          <w:color w:val="000000" w:themeColor="text1"/>
          <w:sz w:val="32"/>
          <w:szCs w:val="32"/>
        </w:rPr>
        <w:lastRenderedPageBreak/>
        <w:t>是:1、为在校本科生按照30元/人/月足额发放10个月副食品补贴2、为在校师范类学生按照40元/人/月标准足额发放10个月师范院校奖学金3、为勤工助学学生发放勤工助学补助4、为家庭经济困难学生发放临时困难资助经费。</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2、海南师范大学教育合作与交流项目财政专户管理资金安排1,201.68万元，主要用于每年项目学费的40%支付给第三方作为其教学管理费用，标准为每学年项目学生数*37,000元*0.4。2021-2022学年，项目学生为89+90=179人，支付费用为2,649,200元。2022-2023学年，预计项目学生为89+90+100=279人，预计支付费用为4,129,200元，共计6,778,400元。2019级187人，2020级193人，2021级191人，2022级200人，每年每生支付给印方5,000元.共771人。绩效目标是：1、建设3个合作办学点 2、按时支付3项外方管理费 3、提高合作办学水平。</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3、海南师范大学桂林校区二期学生公寓（18#-22#）及配套三期学生食堂基本项目，预算安排2,928万元。主要用于生公寓建筑面积77000平方米，学生食堂建筑面积4500平方米，地下室（含人防）建筑面积7000平方米。建设内容包含土建工程，安装工程，道路硬化、绿化、消防、照明等室外配套工程，购置设备等。绩效目标是完成二期学生公寓及三期食堂建筑面积88500平方米；建设工程数量2个；项目收益人数6550人；收益群体满意度80%</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4、海南师范大学学生资助补助经费项目，预算安排4,730.9万元，主要用于高中阶段和高等教育学生资助（省级资金及中央</w:t>
      </w:r>
      <w:r>
        <w:rPr>
          <w:rFonts w:ascii="仿宋" w:eastAsia="仿宋" w:hAnsi="仿宋" w:hint="eastAsia"/>
          <w:color w:val="000000" w:themeColor="text1"/>
          <w:sz w:val="32"/>
          <w:szCs w:val="32"/>
        </w:rPr>
        <w:lastRenderedPageBreak/>
        <w:t>资金）、来琼留学生省政府奖学金。绩效目标是及时支出专项经费，促进学校发展。</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5、海南师范大学高等学校发展资金项目，预算安排1,658.5万元。主要用于高校教育教学改革项目、海南省普通高校“双一流”建设项目、大学生创新创业计、高校科研项目资助。绩效目标是及时支出专项经费，资助研究生创新科研课题95项，提高研究生创新科研能力，提高学校内涵发展和学生满意度。</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6、海南师范大学教师队伍建设资金项目，预算安排1,643.17万元。主要用于海南省乡村小学教师定向培养计划、中小学好校长好教师引进工程专业支持计划、海南省乡镇骨干教师培训、海南省好校长好教师培养工程。绩效目标是：及时支出专项经费，促进学校发展，支持我省基础教师师资队伍建设。</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7、海南师范大学支持地方高校改革发展项目，预算安排4,337万元。主要用于学校改革发展项目，绩效目标是：加强学校生均经费管理，提高资金使用效益，提高学生</w:t>
      </w:r>
      <w:proofErr w:type="gramStart"/>
      <w:r>
        <w:rPr>
          <w:rFonts w:ascii="仿宋" w:eastAsia="仿宋" w:hAnsi="仿宋" w:hint="eastAsia"/>
          <w:color w:val="000000" w:themeColor="text1"/>
          <w:sz w:val="32"/>
          <w:szCs w:val="32"/>
        </w:rPr>
        <w:t>生</w:t>
      </w:r>
      <w:proofErr w:type="gramEnd"/>
      <w:r>
        <w:rPr>
          <w:rFonts w:ascii="仿宋" w:eastAsia="仿宋" w:hAnsi="仿宋" w:hint="eastAsia"/>
          <w:color w:val="000000" w:themeColor="text1"/>
          <w:sz w:val="32"/>
          <w:szCs w:val="32"/>
        </w:rPr>
        <w:t>均拨款水平，促进我校教育改革发展。</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8、海南师范大学实有账户资金项目，单位资金是14,365.36万元。主要用于代管项目、基建项目、往来款。绩效目标是：1、确保学校1月-12月实有账户资金正常支付2、确保学校实有账户3类项目资金正常支付3、提高学校资金支付效率（高：大大提高；中低：有所提高）。</w:t>
      </w:r>
    </w:p>
    <w:p w:rsidR="00524334" w:rsidRDefault="00524334">
      <w:pPr>
        <w:spacing w:line="560" w:lineRule="exact"/>
        <w:jc w:val="center"/>
        <w:rPr>
          <w:rFonts w:ascii="仿宋" w:eastAsia="仿宋" w:hAnsi="仿宋" w:cs="仿宋_GB2312" w:hint="eastAsia"/>
          <w:color w:val="000000" w:themeColor="text1"/>
          <w:sz w:val="32"/>
          <w:szCs w:val="32"/>
        </w:rPr>
      </w:pPr>
    </w:p>
    <w:p w:rsidR="00524334" w:rsidRDefault="00524334">
      <w:pPr>
        <w:spacing w:line="560" w:lineRule="exact"/>
        <w:jc w:val="left"/>
        <w:rPr>
          <w:rFonts w:ascii="仿宋" w:eastAsia="仿宋" w:hAnsi="仿宋" w:cs="宋体" w:hint="eastAsia"/>
          <w:color w:val="000000" w:themeColor="text1"/>
          <w:kern w:val="0"/>
          <w:sz w:val="32"/>
          <w:szCs w:val="32"/>
        </w:rPr>
      </w:pPr>
    </w:p>
    <w:p w:rsidR="00524334" w:rsidRDefault="00000000">
      <w:pPr>
        <w:spacing w:line="560" w:lineRule="exact"/>
        <w:jc w:val="center"/>
        <w:rPr>
          <w:rFonts w:ascii="仿宋" w:eastAsia="仿宋" w:hAnsi="仿宋" w:hint="eastAsia"/>
          <w:b/>
          <w:color w:val="000000" w:themeColor="text1"/>
          <w:sz w:val="32"/>
          <w:szCs w:val="32"/>
        </w:rPr>
      </w:pPr>
      <w:r>
        <w:rPr>
          <w:rFonts w:ascii="仿宋" w:eastAsia="仿宋" w:hAnsi="仿宋" w:hint="eastAsia"/>
          <w:b/>
          <w:color w:val="000000" w:themeColor="text1"/>
          <w:sz w:val="32"/>
          <w:szCs w:val="32"/>
        </w:rPr>
        <w:lastRenderedPageBreak/>
        <w:t>第四部分  名词解释</w:t>
      </w:r>
    </w:p>
    <w:p w:rsidR="00524334" w:rsidRDefault="00524334">
      <w:pPr>
        <w:spacing w:line="560" w:lineRule="exact"/>
        <w:ind w:firstLineChars="200" w:firstLine="640"/>
        <w:rPr>
          <w:rFonts w:ascii="仿宋" w:eastAsia="仿宋" w:hAnsi="仿宋" w:hint="eastAsia"/>
          <w:color w:val="000000" w:themeColor="text1"/>
          <w:sz w:val="32"/>
          <w:szCs w:val="32"/>
        </w:rPr>
      </w:pP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一、财政拨款收入：指本级财政当年拨付的资金。</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二、一般公共预算拨款收入：指用于反映税收收入、专项收入、行政事业性收费收入、罚没收入、国有资源（资产）有偿使用收入、政府住房基金收入、捐赠收入等财政收入。</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 xml:space="preserve">四、事业收入：指用于反映事业单位开展专业业务活动及辅助活动所取得的收入。 </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五、事业单位经营收入：指用于反映事业单位在专业活动及辅助活动之外开展非独立核算经营活动取得的收入。</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六、其他收入：指除上述“财政拨款收入”“事业收入”“经营收入”等以外的收入。</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七、上年结转：指以前年度尚未完成、结转到本年按有关规定继续使用的资金。</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八、基本支出：指行政事业单位用于为保障其机构正常运转、完成日常工作任务而发生的人员支出和公用支出。</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九、工资福利支出：反映单位开支的在职职工和编制</w:t>
      </w:r>
      <w:proofErr w:type="gramStart"/>
      <w:r>
        <w:rPr>
          <w:rFonts w:ascii="仿宋" w:eastAsia="仿宋" w:hAnsi="仿宋" w:hint="eastAsia"/>
          <w:color w:val="000000" w:themeColor="text1"/>
          <w:sz w:val="32"/>
          <w:szCs w:val="32"/>
        </w:rPr>
        <w:t>外长期</w:t>
      </w:r>
      <w:proofErr w:type="gramEnd"/>
      <w:r>
        <w:rPr>
          <w:rFonts w:ascii="仿宋" w:eastAsia="仿宋" w:hAnsi="仿宋" w:hint="eastAsia"/>
          <w:color w:val="000000" w:themeColor="text1"/>
          <w:sz w:val="32"/>
          <w:szCs w:val="32"/>
        </w:rPr>
        <w:t>聘用人员的各类劳动报酬，以及为上述人员缴纳的各项社会保险费等。</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lastRenderedPageBreak/>
        <w:t>十、对个人和家庭的补助支出：反映政府用于对个人和家庭的补助支出，包括离休费、退休费、退职（役）费、抚恤金、生活补助、救济费、医疗费补助、助学金、独生子女奖励金、其他等。</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十二、项目支出：指各部门、各单位为完成其特定的工作任务和事业发展目标所发生的支出。</w:t>
      </w:r>
    </w:p>
    <w:p w:rsidR="00524334" w:rsidRDefault="00000000">
      <w:pPr>
        <w:spacing w:line="560" w:lineRule="exact"/>
        <w:ind w:firstLineChars="200" w:firstLine="640"/>
        <w:rPr>
          <w:rFonts w:ascii="仿宋" w:eastAsia="仿宋" w:hAnsi="仿宋" w:hint="eastAsia"/>
          <w:color w:val="000000" w:themeColor="text1"/>
          <w:sz w:val="32"/>
          <w:szCs w:val="32"/>
        </w:rPr>
      </w:pPr>
      <w:r>
        <w:rPr>
          <w:rFonts w:ascii="仿宋" w:eastAsia="仿宋" w:hAnsi="仿宋" w:hint="eastAsia"/>
          <w:color w:val="000000" w:themeColor="text1"/>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 w:eastAsia="仿宋" w:hAnsi="仿宋" w:hint="eastAsia"/>
          <w:color w:val="000000" w:themeColor="text1"/>
          <w:sz w:val="32"/>
          <w:szCs w:val="32"/>
        </w:rPr>
        <w:t>含车辆</w:t>
      </w:r>
      <w:proofErr w:type="gramEnd"/>
      <w:r>
        <w:rPr>
          <w:rFonts w:ascii="仿宋" w:eastAsia="仿宋" w:hAnsi="仿宋" w:hint="eastAsia"/>
          <w:color w:val="000000" w:themeColor="text1"/>
          <w:sz w:val="32"/>
          <w:szCs w:val="32"/>
        </w:rPr>
        <w:t>购置税）及燃料费、维修费、过路过桥费、保险费、安全奖励费用等支出；公务接待费指单位按规定开支的各类公务接待（含外宾接待）支出。</w:t>
      </w:r>
    </w:p>
    <w:p w:rsidR="00524334" w:rsidRDefault="00000000">
      <w:pPr>
        <w:spacing w:line="560" w:lineRule="exact"/>
        <w:ind w:firstLineChars="200" w:firstLine="640"/>
        <w:rPr>
          <w:rFonts w:ascii="仿宋" w:eastAsia="仿宋" w:hAnsi="仿宋" w:cs="宋体" w:hint="eastAsia"/>
          <w:color w:val="000000" w:themeColor="text1"/>
          <w:kern w:val="0"/>
          <w:sz w:val="32"/>
          <w:szCs w:val="32"/>
        </w:rPr>
      </w:pPr>
      <w:r>
        <w:rPr>
          <w:rFonts w:ascii="仿宋" w:eastAsia="仿宋" w:hAnsi="仿宋" w:hint="eastAsia"/>
          <w:color w:val="000000" w:themeColor="text1"/>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524334" w:rsidRDefault="00524334">
      <w:pPr>
        <w:spacing w:line="560" w:lineRule="exact"/>
        <w:ind w:firstLineChars="200" w:firstLine="640"/>
        <w:rPr>
          <w:rFonts w:ascii="仿宋" w:eastAsia="仿宋" w:hAnsi="仿宋" w:cs="仿宋_GB2312" w:hint="eastAsia"/>
          <w:color w:val="000000" w:themeColor="text1"/>
          <w:sz w:val="32"/>
          <w:szCs w:val="32"/>
        </w:rPr>
      </w:pPr>
    </w:p>
    <w:p w:rsidR="00524334" w:rsidRDefault="00524334">
      <w:pPr>
        <w:ind w:firstLineChars="200" w:firstLine="640"/>
        <w:jc w:val="left"/>
        <w:rPr>
          <w:rFonts w:ascii="仿宋" w:eastAsia="仿宋" w:hAnsi="仿宋" w:cs="仿宋_GB2312" w:hint="eastAsia"/>
          <w:color w:val="000000" w:themeColor="text1"/>
          <w:sz w:val="32"/>
          <w:szCs w:val="32"/>
        </w:rPr>
      </w:pPr>
    </w:p>
    <w:p w:rsidR="00524334" w:rsidRDefault="00524334">
      <w:pPr>
        <w:ind w:firstLineChars="200" w:firstLine="640"/>
        <w:jc w:val="left"/>
        <w:rPr>
          <w:rFonts w:ascii="仿宋" w:eastAsia="仿宋" w:hAnsi="仿宋" w:cs="仿宋_GB2312" w:hint="eastAsia"/>
          <w:color w:val="000000" w:themeColor="text1"/>
          <w:sz w:val="32"/>
          <w:szCs w:val="32"/>
        </w:rPr>
      </w:pPr>
    </w:p>
    <w:sectPr w:rsidR="00524334">
      <w:pgSz w:w="11906" w:h="16838"/>
      <w:pgMar w:top="1985" w:right="1418" w:bottom="1701"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203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3139853">
    <w:abstractNumId w:val="0"/>
  </w:num>
  <w:num w:numId="2" w16cid:durableId="686103856">
    <w:abstractNumId w:val="1"/>
  </w:num>
  <w:num w:numId="3" w16cid:durableId="1156724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HorizontalSpacing w:val="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6F4520"/>
    <w:rsid w:val="ABBF3834"/>
    <w:rsid w:val="D97F626E"/>
    <w:rsid w:val="FC6FBB23"/>
    <w:rsid w:val="FF5F5C3D"/>
    <w:rsid w:val="FF7C1A10"/>
    <w:rsid w:val="00001E1B"/>
    <w:rsid w:val="00023449"/>
    <w:rsid w:val="0002676F"/>
    <w:rsid w:val="00046137"/>
    <w:rsid w:val="00072C98"/>
    <w:rsid w:val="000B38CC"/>
    <w:rsid w:val="000C2574"/>
    <w:rsid w:val="000D11FD"/>
    <w:rsid w:val="000D655B"/>
    <w:rsid w:val="000E771A"/>
    <w:rsid w:val="000F118D"/>
    <w:rsid w:val="000F458E"/>
    <w:rsid w:val="000F7A58"/>
    <w:rsid w:val="00125CEC"/>
    <w:rsid w:val="001414CD"/>
    <w:rsid w:val="00144922"/>
    <w:rsid w:val="00150A27"/>
    <w:rsid w:val="00154058"/>
    <w:rsid w:val="001967BF"/>
    <w:rsid w:val="001A4C19"/>
    <w:rsid w:val="001C4610"/>
    <w:rsid w:val="001F7821"/>
    <w:rsid w:val="00203832"/>
    <w:rsid w:val="00207904"/>
    <w:rsid w:val="00211E95"/>
    <w:rsid w:val="00217E50"/>
    <w:rsid w:val="0024465C"/>
    <w:rsid w:val="0024489B"/>
    <w:rsid w:val="00244B0C"/>
    <w:rsid w:val="00245982"/>
    <w:rsid w:val="00254281"/>
    <w:rsid w:val="00256062"/>
    <w:rsid w:val="002613DD"/>
    <w:rsid w:val="00284E8C"/>
    <w:rsid w:val="0029766B"/>
    <w:rsid w:val="002C00F7"/>
    <w:rsid w:val="002C3FC1"/>
    <w:rsid w:val="002C5C48"/>
    <w:rsid w:val="002C6270"/>
    <w:rsid w:val="002D13A1"/>
    <w:rsid w:val="002E4AAF"/>
    <w:rsid w:val="002E5B17"/>
    <w:rsid w:val="002F1F26"/>
    <w:rsid w:val="002F6B89"/>
    <w:rsid w:val="002F6BFF"/>
    <w:rsid w:val="003219D8"/>
    <w:rsid w:val="00322B21"/>
    <w:rsid w:val="00341407"/>
    <w:rsid w:val="003558E2"/>
    <w:rsid w:val="003617E3"/>
    <w:rsid w:val="00376B55"/>
    <w:rsid w:val="0038743F"/>
    <w:rsid w:val="003A13C9"/>
    <w:rsid w:val="003A6C27"/>
    <w:rsid w:val="003B2496"/>
    <w:rsid w:val="003D1924"/>
    <w:rsid w:val="003D4058"/>
    <w:rsid w:val="00441D9F"/>
    <w:rsid w:val="004920CA"/>
    <w:rsid w:val="004A6121"/>
    <w:rsid w:val="004E5603"/>
    <w:rsid w:val="00524334"/>
    <w:rsid w:val="00527EB4"/>
    <w:rsid w:val="005450CB"/>
    <w:rsid w:val="005548FD"/>
    <w:rsid w:val="00572925"/>
    <w:rsid w:val="00573972"/>
    <w:rsid w:val="0057446E"/>
    <w:rsid w:val="00576D08"/>
    <w:rsid w:val="0057745F"/>
    <w:rsid w:val="00587859"/>
    <w:rsid w:val="005A09D4"/>
    <w:rsid w:val="005D04A2"/>
    <w:rsid w:val="005D2ED9"/>
    <w:rsid w:val="005E1822"/>
    <w:rsid w:val="005E1FB3"/>
    <w:rsid w:val="005E3D54"/>
    <w:rsid w:val="005E77D2"/>
    <w:rsid w:val="005F1487"/>
    <w:rsid w:val="00610F53"/>
    <w:rsid w:val="00623BD3"/>
    <w:rsid w:val="00646C33"/>
    <w:rsid w:val="00652DED"/>
    <w:rsid w:val="006555D6"/>
    <w:rsid w:val="00655DF4"/>
    <w:rsid w:val="00660D35"/>
    <w:rsid w:val="00663AA6"/>
    <w:rsid w:val="0066505D"/>
    <w:rsid w:val="00666C48"/>
    <w:rsid w:val="006939AA"/>
    <w:rsid w:val="006A2060"/>
    <w:rsid w:val="006A58B0"/>
    <w:rsid w:val="006B4202"/>
    <w:rsid w:val="006C3F9E"/>
    <w:rsid w:val="006F4520"/>
    <w:rsid w:val="00704C5D"/>
    <w:rsid w:val="00705C53"/>
    <w:rsid w:val="00726165"/>
    <w:rsid w:val="00741854"/>
    <w:rsid w:val="007502AB"/>
    <w:rsid w:val="00755CC0"/>
    <w:rsid w:val="00756732"/>
    <w:rsid w:val="00786BC7"/>
    <w:rsid w:val="00796700"/>
    <w:rsid w:val="007A6F38"/>
    <w:rsid w:val="007C4A61"/>
    <w:rsid w:val="007E2E24"/>
    <w:rsid w:val="007E763D"/>
    <w:rsid w:val="0086127F"/>
    <w:rsid w:val="0086524D"/>
    <w:rsid w:val="00880E09"/>
    <w:rsid w:val="008B5B86"/>
    <w:rsid w:val="008D0A41"/>
    <w:rsid w:val="008D3436"/>
    <w:rsid w:val="008E7CA0"/>
    <w:rsid w:val="0095259E"/>
    <w:rsid w:val="00972454"/>
    <w:rsid w:val="0098752B"/>
    <w:rsid w:val="00994BAD"/>
    <w:rsid w:val="009B0985"/>
    <w:rsid w:val="009B4279"/>
    <w:rsid w:val="009B4493"/>
    <w:rsid w:val="009C7075"/>
    <w:rsid w:val="009D0B2E"/>
    <w:rsid w:val="009E0672"/>
    <w:rsid w:val="009E4D50"/>
    <w:rsid w:val="009E657D"/>
    <w:rsid w:val="00A109DA"/>
    <w:rsid w:val="00A44297"/>
    <w:rsid w:val="00A55D08"/>
    <w:rsid w:val="00A6302F"/>
    <w:rsid w:val="00A655E6"/>
    <w:rsid w:val="00AB6C9E"/>
    <w:rsid w:val="00AC1D0E"/>
    <w:rsid w:val="00AC730E"/>
    <w:rsid w:val="00AC75ED"/>
    <w:rsid w:val="00AD317A"/>
    <w:rsid w:val="00AD5173"/>
    <w:rsid w:val="00AD6DF0"/>
    <w:rsid w:val="00AF07E3"/>
    <w:rsid w:val="00AF34C2"/>
    <w:rsid w:val="00AF7EA4"/>
    <w:rsid w:val="00B018A3"/>
    <w:rsid w:val="00B14504"/>
    <w:rsid w:val="00B278B2"/>
    <w:rsid w:val="00B52477"/>
    <w:rsid w:val="00B87E4F"/>
    <w:rsid w:val="00B903D3"/>
    <w:rsid w:val="00B963E8"/>
    <w:rsid w:val="00BA0E55"/>
    <w:rsid w:val="00BB2966"/>
    <w:rsid w:val="00BB2ECD"/>
    <w:rsid w:val="00BE0F41"/>
    <w:rsid w:val="00C3099A"/>
    <w:rsid w:val="00C337A5"/>
    <w:rsid w:val="00C422B8"/>
    <w:rsid w:val="00C638FC"/>
    <w:rsid w:val="00C73F4F"/>
    <w:rsid w:val="00C75CA4"/>
    <w:rsid w:val="00C90BA2"/>
    <w:rsid w:val="00CD53E6"/>
    <w:rsid w:val="00CE777C"/>
    <w:rsid w:val="00CF3517"/>
    <w:rsid w:val="00CF471C"/>
    <w:rsid w:val="00D12066"/>
    <w:rsid w:val="00D316D9"/>
    <w:rsid w:val="00D43CDA"/>
    <w:rsid w:val="00D53AF9"/>
    <w:rsid w:val="00D73CE5"/>
    <w:rsid w:val="00D821A1"/>
    <w:rsid w:val="00D94D3B"/>
    <w:rsid w:val="00D966ED"/>
    <w:rsid w:val="00D97D0D"/>
    <w:rsid w:val="00DC4C91"/>
    <w:rsid w:val="00DE0DE1"/>
    <w:rsid w:val="00DE4BE7"/>
    <w:rsid w:val="00E11205"/>
    <w:rsid w:val="00E22E94"/>
    <w:rsid w:val="00E3018B"/>
    <w:rsid w:val="00E37859"/>
    <w:rsid w:val="00E52FC6"/>
    <w:rsid w:val="00E54DD3"/>
    <w:rsid w:val="00E86ABA"/>
    <w:rsid w:val="00E9326C"/>
    <w:rsid w:val="00EB2F38"/>
    <w:rsid w:val="00ED67F4"/>
    <w:rsid w:val="00ED7F7E"/>
    <w:rsid w:val="00EE2EDC"/>
    <w:rsid w:val="00EE7FD5"/>
    <w:rsid w:val="00EF5348"/>
    <w:rsid w:val="00F073ED"/>
    <w:rsid w:val="00F13322"/>
    <w:rsid w:val="00F46233"/>
    <w:rsid w:val="00F900B0"/>
    <w:rsid w:val="00F93812"/>
    <w:rsid w:val="00FA179B"/>
    <w:rsid w:val="00FA650C"/>
    <w:rsid w:val="14883E42"/>
    <w:rsid w:val="1537775D"/>
    <w:rsid w:val="183819D4"/>
    <w:rsid w:val="2DA47589"/>
    <w:rsid w:val="669746DA"/>
    <w:rsid w:val="6FDB1131"/>
    <w:rsid w:val="759E5A72"/>
    <w:rsid w:val="7BF736D2"/>
    <w:rsid w:val="7D186A0C"/>
    <w:rsid w:val="7EFDD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98DD3"/>
  <w15:docId w15:val="{FB5A2E67-17D1-4220-AD50-C32132BE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semiHidden/>
    <w:unhideWhenUsed/>
    <w:pPr>
      <w:jc w:val="left"/>
    </w:pPr>
    <w:rPr>
      <w:rFonts w:cs="Times New Roman"/>
      <w:kern w:val="0"/>
      <w:szCs w:val="21"/>
    </w:rPr>
  </w:style>
  <w:style w:type="character" w:styleId="aa">
    <w:name w:val="Strong"/>
    <w:basedOn w:val="a0"/>
    <w:uiPriority w:val="22"/>
    <w:qFormat/>
    <w:rPr>
      <w:b/>
    </w:rPr>
  </w:style>
  <w:style w:type="character" w:styleId="ab">
    <w:name w:val="FollowedHyperlink"/>
    <w:basedOn w:val="a0"/>
    <w:semiHidden/>
    <w:unhideWhenUsed/>
    <w:qFormat/>
    <w:rPr>
      <w:color w:val="555555"/>
      <w:u w:val="none"/>
    </w:rPr>
  </w:style>
  <w:style w:type="character" w:styleId="ac">
    <w:name w:val="Emphasis"/>
    <w:basedOn w:val="a0"/>
    <w:uiPriority w:val="20"/>
    <w:qFormat/>
  </w:style>
  <w:style w:type="character" w:styleId="ad">
    <w:name w:val="Hyperlink"/>
    <w:basedOn w:val="a0"/>
    <w:semiHidden/>
    <w:unhideWhenUsed/>
    <w:rPr>
      <w:color w:val="555555"/>
      <w:u w:val="none"/>
    </w:rPr>
  </w:style>
  <w:style w:type="paragraph" w:customStyle="1" w:styleId="1">
    <w:name w:val="列出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semiHidden/>
    <w:qFormat/>
    <w:rPr>
      <w:rFonts w:ascii="Calibri" w:hAnsi="Calibri" w:cs="黑体"/>
      <w:kern w:val="2"/>
      <w:sz w:val="18"/>
      <w:szCs w:val="18"/>
    </w:rPr>
  </w:style>
  <w:style w:type="paragraph" w:styleId="ae">
    <w:name w:val="List Paragraph"/>
    <w:basedOn w:val="a"/>
    <w:uiPriority w:val="99"/>
    <w:unhideWhenUsed/>
    <w:pPr>
      <w:ind w:firstLineChars="200" w:firstLine="420"/>
    </w:pPr>
  </w:style>
  <w:style w:type="character" w:customStyle="1" w:styleId="hover8">
    <w:name w:val="hover8"/>
    <w:basedOn w:val="a0"/>
    <w:qFormat/>
    <w:rPr>
      <w:color w:val="FFFFFF"/>
      <w:shd w:val="clear" w:color="auto" w:fill="F1430E"/>
    </w:rPr>
  </w:style>
  <w:style w:type="character" w:customStyle="1" w:styleId="on">
    <w:name w:val="on"/>
    <w:basedOn w:val="a0"/>
    <w:rPr>
      <w:color w:val="FFFFFF"/>
      <w:shd w:val="clear" w:color="auto" w:fill="F1430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7FD30-F4A1-41D7-92A9-83FC4702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1052</Words>
  <Characters>6000</Characters>
  <Application>Microsoft Office Word</Application>
  <DocSecurity>0</DocSecurity>
  <Lines>50</Lines>
  <Paragraphs>14</Paragraphs>
  <ScaleCrop>false</ScaleCrop>
  <Company>HP</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32</cp:revision>
  <cp:lastPrinted>2022-02-24T01:36:00Z</cp:lastPrinted>
  <dcterms:created xsi:type="dcterms:W3CDTF">2022-02-25T04:05:00Z</dcterms:created>
  <dcterms:modified xsi:type="dcterms:W3CDTF">2024-07-26T08:12:00Z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FBDE059AA2EF4589A1467D24A9AE1029</vt:lpwstr>
  </property>
</Properties>
</file>