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EC7" w:rsidRDefault="00B16EC7" w:rsidP="00B16EC7">
      <w:pPr>
        <w:spacing w:before="100" w:beforeAutospacing="1" w:after="100" w:afterAutospacing="1"/>
        <w:rPr>
          <w:rFonts w:ascii="黑体" w:eastAsia="黑体"/>
          <w:sz w:val="32"/>
          <w:szCs w:val="32"/>
        </w:rPr>
      </w:pPr>
    </w:p>
    <w:p w:rsidR="00B16EC7" w:rsidRDefault="00B16EC7" w:rsidP="00B16EC7">
      <w:pPr>
        <w:spacing w:before="100" w:beforeAutospacing="1" w:after="100" w:afterAutospacing="1"/>
        <w:rPr>
          <w:sz w:val="30"/>
          <w:szCs w:val="30"/>
        </w:rPr>
      </w:pPr>
    </w:p>
    <w:p w:rsidR="00B16EC7" w:rsidRDefault="00B16EC7" w:rsidP="00B16EC7">
      <w:pPr>
        <w:spacing w:before="100" w:beforeAutospacing="1" w:after="100" w:afterAutospacing="1"/>
        <w:jc w:val="center"/>
        <w:rPr>
          <w:rFonts w:ascii="黑体" w:eastAsia="黑体" w:hAnsi="ˎ̥"/>
          <w:sz w:val="44"/>
          <w:szCs w:val="44"/>
        </w:rPr>
      </w:pPr>
      <w:r>
        <w:rPr>
          <w:rFonts w:ascii="黑体" w:eastAsia="黑体" w:hAnsi="ˎ̥" w:hint="eastAsia"/>
          <w:sz w:val="44"/>
          <w:szCs w:val="44"/>
        </w:rPr>
        <w:t>海南省海南软件职业技术学院</w:t>
      </w:r>
    </w:p>
    <w:p w:rsidR="00B16EC7" w:rsidRDefault="00B16EC7" w:rsidP="00B16EC7">
      <w:pPr>
        <w:spacing w:before="100" w:beforeAutospacing="1" w:after="100" w:afterAutospacing="1"/>
        <w:jc w:val="center"/>
        <w:rPr>
          <w:rFonts w:ascii="黑体" w:eastAsia="黑体" w:hAnsi="ˎ̥"/>
          <w:sz w:val="44"/>
          <w:szCs w:val="44"/>
        </w:rPr>
      </w:pPr>
      <w:r>
        <w:rPr>
          <w:rFonts w:ascii="黑体" w:eastAsia="黑体" w:hAnsi="ˎ̥" w:hint="eastAsia"/>
          <w:sz w:val="44"/>
          <w:szCs w:val="44"/>
        </w:rPr>
        <w:t>2021年度部门决算</w:t>
      </w:r>
    </w:p>
    <w:p w:rsidR="00B16EC7" w:rsidRDefault="00B16EC7" w:rsidP="00B16EC7">
      <w:pPr>
        <w:spacing w:before="100" w:beforeAutospacing="1" w:after="100" w:afterAutospacing="1"/>
        <w:rPr>
          <w:rFonts w:ascii="黑体" w:eastAsia="黑体" w:hAnsi="ˎ̥"/>
          <w:b/>
          <w:sz w:val="32"/>
          <w:szCs w:val="32"/>
        </w:rPr>
      </w:pPr>
    </w:p>
    <w:p w:rsidR="00B16EC7" w:rsidRDefault="00B16EC7" w:rsidP="00B16EC7">
      <w:pPr>
        <w:spacing w:before="100" w:beforeAutospacing="1" w:after="100" w:afterAutospacing="1"/>
        <w:jc w:val="center"/>
        <w:rPr>
          <w:rFonts w:ascii="黑体" w:eastAsia="黑体" w:hAnsi="黑体" w:cs="黑体"/>
          <w:sz w:val="44"/>
          <w:szCs w:val="44"/>
        </w:rPr>
      </w:pPr>
      <w:bookmarkStart w:id="0" w:name="_Toc11440_WPSOffice_Type2"/>
      <w:r>
        <w:rPr>
          <w:rFonts w:ascii="黑体" w:eastAsia="黑体" w:hAnsi="黑体" w:cs="黑体" w:hint="eastAsia"/>
          <w:sz w:val="44"/>
          <w:szCs w:val="44"/>
        </w:rPr>
        <w:t>目  录</w:t>
      </w:r>
    </w:p>
    <w:p w:rsidR="00B16EC7" w:rsidRDefault="00B16EC7" w:rsidP="00B16EC7">
      <w:pPr>
        <w:pStyle w:val="wpsoffice1"/>
        <w:tabs>
          <w:tab w:val="right" w:leader="dot" w:pos="8306"/>
        </w:tabs>
        <w:rPr>
          <w:sz w:val="32"/>
          <w:szCs w:val="32"/>
        </w:rPr>
      </w:pPr>
      <w:r>
        <w:rPr>
          <w:rFonts w:ascii="黑体" w:eastAsia="黑体" w:hAnsi="ˎ̥" w:hint="eastAsia"/>
          <w:sz w:val="32"/>
          <w:szCs w:val="32"/>
        </w:rPr>
        <w:t>第一部分  海南软件职业技术学院概况</w:t>
      </w:r>
      <w:r>
        <w:rPr>
          <w:rFonts w:hint="eastAsia"/>
          <w:sz w:val="32"/>
          <w:szCs w:val="32"/>
        </w:rPr>
        <w:tab/>
        <w:t>4</w:t>
      </w:r>
    </w:p>
    <w:p w:rsidR="00B16EC7" w:rsidRDefault="00B16EC7" w:rsidP="00B16EC7">
      <w:pPr>
        <w:pStyle w:val="wpsoffice2"/>
        <w:tabs>
          <w:tab w:val="right" w:leader="dot" w:pos="8306"/>
        </w:tabs>
        <w:rPr>
          <w:rFonts w:ascii="仿宋" w:eastAsia="仿宋" w:hAnsi="仿宋" w:cs="仿宋"/>
          <w:sz w:val="32"/>
          <w:szCs w:val="32"/>
        </w:rPr>
      </w:pPr>
      <w:r>
        <w:rPr>
          <w:rFonts w:ascii="仿宋" w:eastAsia="仿宋" w:hAnsi="仿宋" w:cs="仿宋" w:hint="eastAsia"/>
          <w:sz w:val="32"/>
          <w:szCs w:val="32"/>
        </w:rPr>
        <w:t>一、部门职责</w:t>
      </w:r>
      <w:r>
        <w:rPr>
          <w:rFonts w:ascii="仿宋" w:eastAsia="仿宋" w:hAnsi="仿宋" w:cs="仿宋" w:hint="eastAsia"/>
          <w:sz w:val="32"/>
          <w:szCs w:val="32"/>
        </w:rPr>
        <w:tab/>
        <w:t>4</w:t>
      </w:r>
    </w:p>
    <w:p w:rsidR="00B16EC7" w:rsidRDefault="00B16EC7" w:rsidP="00B16EC7">
      <w:pPr>
        <w:pStyle w:val="wpsoffice2"/>
        <w:tabs>
          <w:tab w:val="right" w:leader="dot" w:pos="8306"/>
        </w:tabs>
        <w:rPr>
          <w:rFonts w:ascii="仿宋" w:eastAsia="仿宋" w:hAnsi="仿宋" w:cs="仿宋"/>
          <w:sz w:val="32"/>
          <w:szCs w:val="32"/>
        </w:rPr>
      </w:pPr>
      <w:r>
        <w:rPr>
          <w:rFonts w:ascii="仿宋" w:eastAsia="仿宋" w:hAnsi="仿宋" w:cs="仿宋" w:hint="eastAsia"/>
          <w:sz w:val="32"/>
          <w:szCs w:val="32"/>
        </w:rPr>
        <w:t>二、机构设置</w:t>
      </w:r>
      <w:r>
        <w:rPr>
          <w:rFonts w:ascii="仿宋" w:eastAsia="仿宋" w:hAnsi="仿宋" w:cs="仿宋" w:hint="eastAsia"/>
          <w:sz w:val="32"/>
          <w:szCs w:val="32"/>
        </w:rPr>
        <w:tab/>
        <w:t>4</w:t>
      </w:r>
    </w:p>
    <w:p w:rsidR="00B16EC7" w:rsidRDefault="00B16EC7" w:rsidP="00B16EC7">
      <w:pPr>
        <w:pStyle w:val="wpsoffice1"/>
        <w:tabs>
          <w:tab w:val="right" w:leader="dot" w:pos="8306"/>
        </w:tabs>
        <w:rPr>
          <w:sz w:val="32"/>
          <w:szCs w:val="32"/>
        </w:rPr>
      </w:pPr>
      <w:r>
        <w:rPr>
          <w:rFonts w:ascii="黑体" w:eastAsia="黑体" w:hAnsi="ˎ̥" w:hint="eastAsia"/>
          <w:sz w:val="32"/>
          <w:szCs w:val="32"/>
        </w:rPr>
        <w:t>第二部分  海南软件职业技术学院2021年度部门决算公开表</w:t>
      </w:r>
      <w:r>
        <w:rPr>
          <w:rFonts w:hint="eastAsia"/>
          <w:sz w:val="32"/>
          <w:szCs w:val="32"/>
        </w:rPr>
        <w:tab/>
        <w:t>4</w:t>
      </w:r>
    </w:p>
    <w:p w:rsidR="00B16EC7" w:rsidRDefault="00B16EC7" w:rsidP="00B16EC7">
      <w:pPr>
        <w:pStyle w:val="wpsoffice2"/>
        <w:tabs>
          <w:tab w:val="right" w:leader="dot" w:pos="8306"/>
        </w:tabs>
        <w:rPr>
          <w:rFonts w:ascii="仿宋" w:eastAsia="仿宋" w:hAnsi="仿宋" w:cs="仿宋"/>
          <w:sz w:val="32"/>
          <w:szCs w:val="32"/>
        </w:rPr>
      </w:pPr>
      <w:r>
        <w:rPr>
          <w:rFonts w:ascii="仿宋" w:eastAsia="仿宋" w:hAnsi="仿宋" w:cs="仿宋" w:hint="eastAsia"/>
          <w:sz w:val="32"/>
          <w:szCs w:val="32"/>
        </w:rPr>
        <w:t>一、收入支出决算公开表</w:t>
      </w:r>
      <w:r>
        <w:rPr>
          <w:rFonts w:ascii="仿宋" w:eastAsia="仿宋" w:hAnsi="仿宋" w:cs="仿宋" w:hint="eastAsia"/>
          <w:sz w:val="32"/>
          <w:szCs w:val="32"/>
        </w:rPr>
        <w:tab/>
        <w:t>4</w:t>
      </w:r>
    </w:p>
    <w:p w:rsidR="00B16EC7" w:rsidRDefault="00B16EC7" w:rsidP="00B16EC7">
      <w:pPr>
        <w:pStyle w:val="wpsoffice2"/>
        <w:tabs>
          <w:tab w:val="right" w:leader="dot" w:pos="8306"/>
        </w:tabs>
        <w:rPr>
          <w:rFonts w:ascii="仿宋" w:eastAsia="仿宋" w:hAnsi="仿宋" w:cs="仿宋"/>
          <w:sz w:val="32"/>
          <w:szCs w:val="32"/>
        </w:rPr>
      </w:pPr>
      <w:r>
        <w:rPr>
          <w:rFonts w:ascii="仿宋" w:eastAsia="仿宋" w:hAnsi="仿宋" w:cs="仿宋" w:hint="eastAsia"/>
          <w:sz w:val="32"/>
          <w:szCs w:val="32"/>
        </w:rPr>
        <w:t>二、收入决算公开表</w:t>
      </w:r>
      <w:r>
        <w:rPr>
          <w:rFonts w:ascii="仿宋" w:eastAsia="仿宋" w:hAnsi="仿宋" w:cs="仿宋" w:hint="eastAsia"/>
          <w:sz w:val="32"/>
          <w:szCs w:val="32"/>
        </w:rPr>
        <w:tab/>
        <w:t>5</w:t>
      </w:r>
    </w:p>
    <w:p w:rsidR="00B16EC7" w:rsidRDefault="00B16EC7" w:rsidP="00B16EC7">
      <w:pPr>
        <w:pStyle w:val="wpsoffice2"/>
        <w:tabs>
          <w:tab w:val="right" w:leader="dot" w:pos="8306"/>
        </w:tabs>
        <w:rPr>
          <w:rFonts w:ascii="仿宋" w:eastAsia="仿宋" w:hAnsi="仿宋" w:cs="仿宋"/>
          <w:sz w:val="32"/>
          <w:szCs w:val="32"/>
        </w:rPr>
      </w:pPr>
      <w:r>
        <w:rPr>
          <w:rFonts w:ascii="仿宋" w:eastAsia="仿宋" w:hAnsi="仿宋" w:cs="仿宋" w:hint="eastAsia"/>
          <w:sz w:val="32"/>
          <w:szCs w:val="32"/>
        </w:rPr>
        <w:t>三、支出决算公开表</w:t>
      </w:r>
      <w:r>
        <w:rPr>
          <w:rFonts w:ascii="仿宋" w:eastAsia="仿宋" w:hAnsi="仿宋" w:cs="仿宋" w:hint="eastAsia"/>
          <w:sz w:val="32"/>
          <w:szCs w:val="32"/>
        </w:rPr>
        <w:tab/>
        <w:t>5</w:t>
      </w:r>
    </w:p>
    <w:p w:rsidR="00B16EC7" w:rsidRDefault="00B16EC7" w:rsidP="00B16EC7">
      <w:pPr>
        <w:pStyle w:val="wpsoffice2"/>
        <w:tabs>
          <w:tab w:val="right" w:leader="dot" w:pos="8306"/>
        </w:tabs>
        <w:rPr>
          <w:rFonts w:ascii="仿宋" w:eastAsia="仿宋" w:hAnsi="仿宋" w:cs="仿宋"/>
          <w:sz w:val="32"/>
          <w:szCs w:val="32"/>
        </w:rPr>
      </w:pPr>
      <w:r>
        <w:rPr>
          <w:rFonts w:ascii="仿宋" w:eastAsia="仿宋" w:hAnsi="仿宋" w:cs="仿宋" w:hint="eastAsia"/>
          <w:sz w:val="32"/>
          <w:szCs w:val="32"/>
        </w:rPr>
        <w:t>四、财政拨款收入支出决算公开表</w:t>
      </w:r>
      <w:r>
        <w:rPr>
          <w:rFonts w:ascii="仿宋" w:eastAsia="仿宋" w:hAnsi="仿宋" w:cs="仿宋" w:hint="eastAsia"/>
          <w:sz w:val="32"/>
          <w:szCs w:val="32"/>
        </w:rPr>
        <w:tab/>
        <w:t>5</w:t>
      </w:r>
    </w:p>
    <w:p w:rsidR="00B16EC7" w:rsidRDefault="00B16EC7" w:rsidP="00B16EC7">
      <w:pPr>
        <w:pStyle w:val="wpsoffice2"/>
        <w:tabs>
          <w:tab w:val="right" w:leader="dot" w:pos="8306"/>
        </w:tabs>
        <w:rPr>
          <w:rFonts w:ascii="仿宋" w:eastAsia="仿宋" w:hAnsi="仿宋" w:cs="仿宋"/>
          <w:sz w:val="32"/>
          <w:szCs w:val="32"/>
        </w:rPr>
      </w:pPr>
      <w:r>
        <w:rPr>
          <w:rFonts w:ascii="仿宋" w:eastAsia="仿宋" w:hAnsi="仿宋" w:cs="仿宋" w:hint="eastAsia"/>
          <w:sz w:val="32"/>
          <w:szCs w:val="32"/>
        </w:rPr>
        <w:t>五、一般公共预算财政拨款收入支出决算公开表</w:t>
      </w:r>
      <w:r>
        <w:rPr>
          <w:rFonts w:ascii="仿宋" w:eastAsia="仿宋" w:hAnsi="仿宋" w:cs="仿宋" w:hint="eastAsia"/>
          <w:sz w:val="32"/>
          <w:szCs w:val="32"/>
        </w:rPr>
        <w:tab/>
        <w:t>5</w:t>
      </w:r>
    </w:p>
    <w:p w:rsidR="00B16EC7" w:rsidRDefault="00B16EC7" w:rsidP="00B16EC7">
      <w:pPr>
        <w:pStyle w:val="wpsoffice2"/>
        <w:tabs>
          <w:tab w:val="right" w:leader="dot" w:pos="8306"/>
        </w:tabs>
        <w:rPr>
          <w:rFonts w:ascii="仿宋" w:eastAsia="仿宋" w:hAnsi="仿宋" w:cs="仿宋"/>
          <w:sz w:val="32"/>
          <w:szCs w:val="32"/>
        </w:rPr>
      </w:pPr>
      <w:r>
        <w:rPr>
          <w:rFonts w:ascii="仿宋" w:eastAsia="仿宋" w:hAnsi="仿宋" w:cs="仿宋" w:hint="eastAsia"/>
          <w:sz w:val="32"/>
          <w:szCs w:val="32"/>
        </w:rPr>
        <w:lastRenderedPageBreak/>
        <w:t>六、一般公共预算财政拨款基本支出决算公开表</w:t>
      </w:r>
      <w:r>
        <w:rPr>
          <w:rFonts w:ascii="仿宋" w:eastAsia="仿宋" w:hAnsi="仿宋" w:cs="仿宋" w:hint="eastAsia"/>
          <w:sz w:val="32"/>
          <w:szCs w:val="32"/>
        </w:rPr>
        <w:tab/>
        <w:t>5</w:t>
      </w:r>
    </w:p>
    <w:p w:rsidR="00B16EC7" w:rsidRDefault="00B16EC7" w:rsidP="00B16EC7">
      <w:pPr>
        <w:pStyle w:val="wpsoffice2"/>
        <w:tabs>
          <w:tab w:val="right" w:leader="dot" w:pos="8306"/>
        </w:tabs>
        <w:rPr>
          <w:rFonts w:ascii="仿宋" w:eastAsia="仿宋" w:hAnsi="仿宋" w:cs="仿宋"/>
          <w:sz w:val="32"/>
          <w:szCs w:val="32"/>
        </w:rPr>
      </w:pPr>
      <w:r>
        <w:rPr>
          <w:rFonts w:ascii="仿宋" w:eastAsia="仿宋" w:hAnsi="仿宋" w:cs="仿宋" w:hint="eastAsia"/>
          <w:sz w:val="32"/>
          <w:szCs w:val="32"/>
        </w:rPr>
        <w:t>七、政府性基金预算财政拨款收入支出决算公开表</w:t>
      </w:r>
      <w:r>
        <w:rPr>
          <w:rFonts w:ascii="仿宋" w:eastAsia="仿宋" w:hAnsi="仿宋" w:cs="仿宋" w:hint="eastAsia"/>
          <w:sz w:val="32"/>
          <w:szCs w:val="32"/>
        </w:rPr>
        <w:tab/>
        <w:t>5</w:t>
      </w:r>
    </w:p>
    <w:p w:rsidR="00B16EC7" w:rsidRDefault="00B16EC7" w:rsidP="00B16EC7">
      <w:pPr>
        <w:pStyle w:val="wpsoffice2"/>
        <w:tabs>
          <w:tab w:val="right" w:leader="dot" w:pos="8306"/>
        </w:tabs>
        <w:rPr>
          <w:rFonts w:ascii="仿宋" w:eastAsia="仿宋" w:hAnsi="仿宋" w:cs="仿宋"/>
          <w:sz w:val="32"/>
          <w:szCs w:val="32"/>
        </w:rPr>
      </w:pPr>
      <w:r>
        <w:rPr>
          <w:rFonts w:ascii="仿宋" w:eastAsia="仿宋" w:hAnsi="仿宋" w:cs="仿宋" w:hint="eastAsia"/>
          <w:sz w:val="32"/>
          <w:szCs w:val="32"/>
        </w:rPr>
        <w:t>八、国有资本经营预算财政拨款收入支出决算公开表</w:t>
      </w:r>
      <w:r>
        <w:rPr>
          <w:rFonts w:ascii="仿宋" w:eastAsia="仿宋" w:hAnsi="仿宋" w:cs="仿宋" w:hint="eastAsia"/>
          <w:sz w:val="32"/>
          <w:szCs w:val="32"/>
        </w:rPr>
        <w:tab/>
        <w:t>5</w:t>
      </w:r>
    </w:p>
    <w:p w:rsidR="00B16EC7" w:rsidRDefault="00B16EC7" w:rsidP="00B16EC7">
      <w:pPr>
        <w:pStyle w:val="wpsoffice2"/>
        <w:tabs>
          <w:tab w:val="right" w:leader="dot" w:pos="8306"/>
        </w:tabs>
        <w:rPr>
          <w:rFonts w:ascii="仿宋" w:eastAsia="仿宋" w:hAnsi="仿宋" w:cs="仿宋"/>
          <w:sz w:val="32"/>
          <w:szCs w:val="32"/>
        </w:rPr>
      </w:pPr>
      <w:r>
        <w:rPr>
          <w:rFonts w:ascii="仿宋" w:eastAsia="仿宋" w:hAnsi="仿宋" w:cs="仿宋" w:hint="eastAsia"/>
          <w:sz w:val="32"/>
          <w:szCs w:val="32"/>
        </w:rPr>
        <w:t>九、一般公共预算财政拨款“三公”经费支出决算公开表</w:t>
      </w:r>
      <w:r>
        <w:rPr>
          <w:rFonts w:ascii="仿宋" w:eastAsia="仿宋" w:hAnsi="仿宋" w:cs="仿宋" w:hint="eastAsia"/>
          <w:sz w:val="32"/>
          <w:szCs w:val="32"/>
        </w:rPr>
        <w:tab/>
        <w:t>5</w:t>
      </w:r>
    </w:p>
    <w:p w:rsidR="00B16EC7" w:rsidRDefault="00B16EC7" w:rsidP="00B16EC7">
      <w:pPr>
        <w:pStyle w:val="wpsoffice2"/>
        <w:tabs>
          <w:tab w:val="right" w:leader="dot" w:pos="8306"/>
        </w:tabs>
        <w:rPr>
          <w:rFonts w:ascii="仿宋" w:eastAsia="仿宋" w:hAnsi="仿宋" w:cs="仿宋"/>
          <w:sz w:val="32"/>
          <w:szCs w:val="32"/>
        </w:rPr>
      </w:pPr>
      <w:r>
        <w:rPr>
          <w:rFonts w:ascii="仿宋" w:eastAsia="仿宋" w:hAnsi="仿宋" w:cs="仿宋" w:hint="eastAsia"/>
          <w:sz w:val="32"/>
          <w:szCs w:val="32"/>
        </w:rPr>
        <w:t>十、政府性基金预算财政拨款“三公”经费支出决算公开表</w:t>
      </w:r>
      <w:r>
        <w:rPr>
          <w:rFonts w:ascii="仿宋" w:eastAsia="仿宋" w:hAnsi="仿宋" w:cs="仿宋" w:hint="eastAsia"/>
          <w:sz w:val="32"/>
          <w:szCs w:val="32"/>
        </w:rPr>
        <w:tab/>
        <w:t>5</w:t>
      </w:r>
    </w:p>
    <w:p w:rsidR="00B16EC7" w:rsidRDefault="00B16EC7" w:rsidP="00B16EC7">
      <w:pPr>
        <w:pStyle w:val="wpsoffice2"/>
        <w:tabs>
          <w:tab w:val="right" w:leader="dot" w:pos="8306"/>
        </w:tabs>
        <w:rPr>
          <w:rFonts w:ascii="仿宋" w:eastAsia="仿宋" w:hAnsi="仿宋" w:cs="仿宋"/>
          <w:sz w:val="32"/>
          <w:szCs w:val="32"/>
        </w:rPr>
      </w:pPr>
      <w:r>
        <w:rPr>
          <w:rFonts w:ascii="仿宋" w:eastAsia="仿宋" w:hAnsi="仿宋" w:cs="仿宋" w:hint="eastAsia"/>
          <w:sz w:val="32"/>
          <w:szCs w:val="32"/>
        </w:rPr>
        <w:t>十一、国有资本经营预算财政拨款“三公”经费支出决算公开表</w:t>
      </w:r>
      <w:r>
        <w:rPr>
          <w:rFonts w:ascii="仿宋" w:eastAsia="仿宋" w:hAnsi="仿宋" w:cs="仿宋" w:hint="eastAsia"/>
          <w:sz w:val="32"/>
          <w:szCs w:val="32"/>
        </w:rPr>
        <w:tab/>
        <w:t>5</w:t>
      </w:r>
    </w:p>
    <w:p w:rsidR="00B16EC7" w:rsidRDefault="00B16EC7" w:rsidP="00B16EC7">
      <w:pPr>
        <w:pStyle w:val="wpsoffice1"/>
        <w:tabs>
          <w:tab w:val="right" w:leader="dot" w:pos="8306"/>
        </w:tabs>
        <w:rPr>
          <w:sz w:val="32"/>
          <w:szCs w:val="32"/>
        </w:rPr>
      </w:pPr>
      <w:r>
        <w:rPr>
          <w:rFonts w:ascii="黑体" w:eastAsia="黑体" w:hAnsi="黑体" w:cs="黑体" w:hint="eastAsia"/>
          <w:sz w:val="32"/>
          <w:szCs w:val="32"/>
        </w:rPr>
        <w:t>第三部分</w:t>
      </w:r>
      <w:r>
        <w:rPr>
          <w:rFonts w:hint="eastAsia"/>
          <w:sz w:val="32"/>
          <w:szCs w:val="32"/>
        </w:rPr>
        <w:t xml:space="preserve">  </w:t>
      </w:r>
      <w:r>
        <w:rPr>
          <w:rFonts w:ascii="黑体" w:eastAsia="黑体" w:hAnsi="ˎ̥" w:hint="eastAsia"/>
          <w:sz w:val="32"/>
          <w:szCs w:val="32"/>
        </w:rPr>
        <w:t>海南软件职业技术学院2021年度部门决算情况说明</w:t>
      </w:r>
      <w:r>
        <w:rPr>
          <w:rFonts w:hint="eastAsia"/>
          <w:sz w:val="32"/>
          <w:szCs w:val="32"/>
        </w:rPr>
        <w:tab/>
        <w:t>6</w:t>
      </w:r>
    </w:p>
    <w:p w:rsidR="00B16EC7" w:rsidRDefault="00B16EC7" w:rsidP="00B16EC7">
      <w:pPr>
        <w:pStyle w:val="wpsoffice2"/>
        <w:tabs>
          <w:tab w:val="right" w:leader="dot" w:pos="8306"/>
        </w:tabs>
        <w:rPr>
          <w:rFonts w:ascii="仿宋" w:eastAsia="仿宋" w:hAnsi="仿宋" w:cs="仿宋"/>
          <w:sz w:val="32"/>
          <w:szCs w:val="32"/>
        </w:rPr>
      </w:pPr>
      <w:r>
        <w:rPr>
          <w:rFonts w:ascii="仿宋" w:eastAsia="仿宋" w:hAnsi="仿宋" w:cs="仿宋" w:hint="eastAsia"/>
          <w:bCs/>
          <w:sz w:val="32"/>
          <w:szCs w:val="32"/>
        </w:rPr>
        <w:t>一、收入支出决算总体情况说明</w:t>
      </w:r>
      <w:r>
        <w:rPr>
          <w:rFonts w:ascii="仿宋" w:eastAsia="仿宋" w:hAnsi="仿宋" w:cs="仿宋" w:hint="eastAsia"/>
          <w:sz w:val="32"/>
          <w:szCs w:val="32"/>
        </w:rPr>
        <w:tab/>
        <w:t>6</w:t>
      </w:r>
    </w:p>
    <w:p w:rsidR="00B16EC7" w:rsidRDefault="00B16EC7" w:rsidP="00B16EC7">
      <w:pPr>
        <w:pStyle w:val="wpsoffice2"/>
        <w:tabs>
          <w:tab w:val="right" w:leader="dot" w:pos="8306"/>
        </w:tabs>
        <w:rPr>
          <w:rFonts w:ascii="仿宋" w:eastAsia="仿宋" w:hAnsi="仿宋" w:cs="仿宋"/>
          <w:sz w:val="32"/>
          <w:szCs w:val="32"/>
        </w:rPr>
      </w:pPr>
      <w:r>
        <w:rPr>
          <w:rFonts w:ascii="仿宋" w:eastAsia="仿宋" w:hAnsi="仿宋" w:cs="仿宋" w:hint="eastAsia"/>
          <w:bCs/>
          <w:sz w:val="32"/>
          <w:szCs w:val="32"/>
        </w:rPr>
        <w:t>二、收入决算情况说明</w:t>
      </w:r>
      <w:r>
        <w:rPr>
          <w:rFonts w:ascii="仿宋" w:eastAsia="仿宋" w:hAnsi="仿宋" w:cs="仿宋" w:hint="eastAsia"/>
          <w:sz w:val="32"/>
          <w:szCs w:val="32"/>
        </w:rPr>
        <w:tab/>
        <w:t>6</w:t>
      </w:r>
    </w:p>
    <w:p w:rsidR="00B16EC7" w:rsidRDefault="00B16EC7" w:rsidP="00B16EC7">
      <w:pPr>
        <w:pStyle w:val="wpsoffice2"/>
        <w:tabs>
          <w:tab w:val="right" w:leader="dot" w:pos="8306"/>
        </w:tabs>
        <w:rPr>
          <w:rFonts w:ascii="仿宋" w:eastAsia="仿宋" w:hAnsi="仿宋" w:cs="仿宋"/>
          <w:sz w:val="32"/>
          <w:szCs w:val="32"/>
        </w:rPr>
      </w:pPr>
      <w:r>
        <w:rPr>
          <w:rFonts w:ascii="仿宋" w:eastAsia="仿宋" w:hAnsi="仿宋" w:cs="仿宋" w:hint="eastAsia"/>
          <w:bCs/>
          <w:sz w:val="32"/>
          <w:szCs w:val="32"/>
        </w:rPr>
        <w:t>三、支出决算情况说明</w:t>
      </w:r>
      <w:r>
        <w:rPr>
          <w:rFonts w:ascii="仿宋" w:eastAsia="仿宋" w:hAnsi="仿宋" w:cs="仿宋" w:hint="eastAsia"/>
          <w:sz w:val="32"/>
          <w:szCs w:val="32"/>
        </w:rPr>
        <w:tab/>
        <w:t>7</w:t>
      </w:r>
    </w:p>
    <w:p w:rsidR="00B16EC7" w:rsidRDefault="00B16EC7" w:rsidP="00B16EC7">
      <w:pPr>
        <w:pStyle w:val="wpsoffice2"/>
        <w:tabs>
          <w:tab w:val="right" w:leader="dot" w:pos="8306"/>
        </w:tabs>
        <w:rPr>
          <w:rFonts w:ascii="仿宋" w:eastAsia="仿宋" w:hAnsi="仿宋" w:cs="仿宋"/>
          <w:sz w:val="32"/>
          <w:szCs w:val="32"/>
        </w:rPr>
      </w:pPr>
      <w:r>
        <w:rPr>
          <w:rFonts w:ascii="仿宋" w:eastAsia="仿宋" w:hAnsi="仿宋" w:cs="仿宋" w:hint="eastAsia"/>
          <w:bCs/>
          <w:sz w:val="32"/>
          <w:szCs w:val="32"/>
        </w:rPr>
        <w:t>四、财政拨款收入支出决算情况说明</w:t>
      </w:r>
      <w:r>
        <w:rPr>
          <w:rFonts w:ascii="仿宋" w:eastAsia="仿宋" w:hAnsi="仿宋" w:cs="仿宋" w:hint="eastAsia"/>
          <w:sz w:val="32"/>
          <w:szCs w:val="32"/>
        </w:rPr>
        <w:tab/>
        <w:t>7</w:t>
      </w:r>
    </w:p>
    <w:p w:rsidR="00B16EC7" w:rsidRDefault="00B16EC7" w:rsidP="00B16EC7">
      <w:pPr>
        <w:pStyle w:val="wpsoffice2"/>
        <w:tabs>
          <w:tab w:val="right" w:leader="dot" w:pos="8306"/>
        </w:tabs>
        <w:rPr>
          <w:rFonts w:ascii="仿宋" w:eastAsia="仿宋" w:hAnsi="仿宋" w:cs="仿宋"/>
          <w:sz w:val="32"/>
          <w:szCs w:val="32"/>
        </w:rPr>
      </w:pPr>
      <w:r>
        <w:rPr>
          <w:rFonts w:ascii="仿宋" w:eastAsia="仿宋" w:hAnsi="仿宋" w:cs="仿宋" w:hint="eastAsia"/>
          <w:bCs/>
          <w:sz w:val="32"/>
          <w:szCs w:val="32"/>
        </w:rPr>
        <w:t>五、一般公共预算财政拨款支出决算情况说明</w:t>
      </w:r>
      <w:r>
        <w:rPr>
          <w:rFonts w:ascii="仿宋" w:eastAsia="仿宋" w:hAnsi="仿宋" w:cs="仿宋" w:hint="eastAsia"/>
          <w:sz w:val="32"/>
          <w:szCs w:val="32"/>
        </w:rPr>
        <w:tab/>
        <w:t>8</w:t>
      </w:r>
    </w:p>
    <w:p w:rsidR="00B16EC7" w:rsidRDefault="00B16EC7" w:rsidP="00B16EC7">
      <w:pPr>
        <w:pStyle w:val="wpsoffice2"/>
        <w:numPr>
          <w:ilvl w:val="0"/>
          <w:numId w:val="1"/>
        </w:numPr>
        <w:tabs>
          <w:tab w:val="right" w:leader="dot" w:pos="8306"/>
        </w:tabs>
        <w:rPr>
          <w:rFonts w:ascii="仿宋" w:eastAsia="仿宋" w:hAnsi="仿宋" w:cs="仿宋"/>
          <w:sz w:val="32"/>
          <w:szCs w:val="32"/>
        </w:rPr>
      </w:pPr>
      <w:r>
        <w:rPr>
          <w:rFonts w:ascii="仿宋" w:eastAsia="仿宋" w:hAnsi="仿宋" w:cs="仿宋" w:hint="eastAsia"/>
          <w:bCs/>
          <w:sz w:val="32"/>
          <w:szCs w:val="32"/>
        </w:rPr>
        <w:t>一般公共预算财政拨款基本支出决算情况说明</w:t>
      </w:r>
      <w:r>
        <w:rPr>
          <w:rFonts w:ascii="仿宋" w:eastAsia="仿宋" w:hAnsi="仿宋" w:cs="仿宋" w:hint="eastAsia"/>
          <w:sz w:val="32"/>
          <w:szCs w:val="32"/>
        </w:rPr>
        <w:t>.....12</w:t>
      </w:r>
    </w:p>
    <w:p w:rsidR="00B16EC7" w:rsidRDefault="00B16EC7" w:rsidP="00B16EC7">
      <w:pPr>
        <w:pStyle w:val="wpsoffice2"/>
        <w:numPr>
          <w:ilvl w:val="0"/>
          <w:numId w:val="1"/>
        </w:numPr>
        <w:tabs>
          <w:tab w:val="right" w:leader="dot" w:pos="8306"/>
        </w:tabs>
        <w:rPr>
          <w:rFonts w:ascii="仿宋" w:eastAsia="仿宋" w:hAnsi="仿宋" w:cs="仿宋"/>
          <w:sz w:val="32"/>
          <w:szCs w:val="32"/>
        </w:rPr>
      </w:pPr>
      <w:r>
        <w:rPr>
          <w:rFonts w:ascii="仿宋" w:eastAsia="仿宋" w:hAnsi="仿宋" w:cs="仿宋" w:hint="eastAsia"/>
          <w:bCs/>
          <w:sz w:val="32"/>
          <w:szCs w:val="32"/>
        </w:rPr>
        <w:t>政府性基金预算财政拨款收入支出决算情况说明...</w:t>
      </w:r>
      <w:r>
        <w:rPr>
          <w:rFonts w:ascii="仿宋" w:eastAsia="仿宋" w:hAnsi="仿宋" w:cs="仿宋" w:hint="eastAsia"/>
          <w:sz w:val="32"/>
          <w:szCs w:val="32"/>
        </w:rPr>
        <w:t>12</w:t>
      </w:r>
    </w:p>
    <w:p w:rsidR="00B16EC7" w:rsidRDefault="00B16EC7" w:rsidP="00B16EC7">
      <w:pPr>
        <w:pStyle w:val="wpsoffice2"/>
        <w:tabs>
          <w:tab w:val="right" w:leader="dot" w:pos="8306"/>
        </w:tabs>
        <w:rPr>
          <w:rFonts w:ascii="仿宋" w:eastAsia="仿宋" w:hAnsi="仿宋" w:cs="仿宋"/>
          <w:sz w:val="32"/>
          <w:szCs w:val="32"/>
        </w:rPr>
      </w:pPr>
      <w:r>
        <w:rPr>
          <w:rFonts w:ascii="仿宋" w:eastAsia="仿宋" w:hAnsi="仿宋" w:cs="仿宋" w:hint="eastAsia"/>
          <w:bCs/>
          <w:sz w:val="32"/>
          <w:szCs w:val="32"/>
        </w:rPr>
        <w:lastRenderedPageBreak/>
        <w:t>八、国有资本经营预算财政拨款收入支出决算情况明</w:t>
      </w:r>
      <w:r>
        <w:rPr>
          <w:rFonts w:ascii="仿宋" w:eastAsia="仿宋" w:hAnsi="仿宋" w:cs="仿宋" w:hint="eastAsia"/>
          <w:sz w:val="32"/>
          <w:szCs w:val="32"/>
        </w:rPr>
        <w:t>...13</w:t>
      </w:r>
    </w:p>
    <w:p w:rsidR="00B16EC7" w:rsidRDefault="00B16EC7" w:rsidP="00B16EC7">
      <w:pPr>
        <w:spacing w:before="100" w:beforeAutospacing="1" w:after="100" w:afterAutospacing="1"/>
        <w:rPr>
          <w:rFonts w:ascii="仿宋" w:eastAsia="仿宋" w:hAnsi="仿宋" w:cs="仿宋"/>
          <w:sz w:val="32"/>
          <w:szCs w:val="32"/>
        </w:rPr>
      </w:pPr>
      <w:r>
        <w:rPr>
          <w:rFonts w:ascii="仿宋" w:eastAsia="仿宋" w:hAnsi="仿宋" w:cs="仿宋" w:hint="eastAsia"/>
          <w:bCs/>
          <w:sz w:val="32"/>
          <w:szCs w:val="32"/>
        </w:rPr>
        <w:t>九、一般公共预算财政拨款“三公”经费支出决算情况说明</w:t>
      </w:r>
    </w:p>
    <w:p w:rsidR="00B16EC7" w:rsidRDefault="00B16EC7" w:rsidP="00B16EC7">
      <w:pPr>
        <w:pStyle w:val="wpsoffice2"/>
        <w:tabs>
          <w:tab w:val="right" w:leader="dot" w:pos="8306"/>
        </w:tabs>
        <w:rPr>
          <w:rFonts w:ascii="仿宋" w:eastAsia="仿宋" w:hAnsi="仿宋" w:cs="仿宋"/>
          <w:sz w:val="32"/>
          <w:szCs w:val="32"/>
        </w:rPr>
      </w:pPr>
      <w:r>
        <w:rPr>
          <w:rFonts w:ascii="仿宋" w:eastAsia="仿宋" w:hAnsi="仿宋" w:cs="仿宋" w:hint="eastAsia"/>
          <w:sz w:val="32"/>
          <w:szCs w:val="32"/>
        </w:rPr>
        <w:tab/>
        <w:t>13</w:t>
      </w:r>
    </w:p>
    <w:p w:rsidR="00B16EC7" w:rsidRDefault="00B16EC7" w:rsidP="00B16EC7">
      <w:pPr>
        <w:spacing w:before="100" w:beforeAutospacing="1" w:after="100" w:afterAutospacing="1"/>
        <w:rPr>
          <w:rFonts w:ascii="仿宋" w:eastAsia="仿宋" w:hAnsi="仿宋" w:cs="仿宋"/>
          <w:sz w:val="32"/>
          <w:szCs w:val="32"/>
        </w:rPr>
      </w:pPr>
      <w:r>
        <w:rPr>
          <w:rFonts w:ascii="仿宋" w:eastAsia="仿宋" w:hAnsi="仿宋" w:cs="仿宋" w:hint="eastAsia"/>
          <w:bCs/>
          <w:sz w:val="32"/>
          <w:szCs w:val="32"/>
        </w:rPr>
        <w:t>十、政府性基金预算财政拨款“三公”经费支出决算情况说明</w:t>
      </w:r>
    </w:p>
    <w:p w:rsidR="00B16EC7" w:rsidRDefault="00B16EC7" w:rsidP="00B16EC7">
      <w:pPr>
        <w:pStyle w:val="wpsoffice2"/>
        <w:tabs>
          <w:tab w:val="right" w:leader="dot" w:pos="8306"/>
        </w:tabs>
        <w:rPr>
          <w:rFonts w:ascii="仿宋" w:eastAsia="仿宋" w:hAnsi="仿宋" w:cs="仿宋"/>
          <w:sz w:val="32"/>
          <w:szCs w:val="32"/>
        </w:rPr>
      </w:pPr>
      <w:r>
        <w:rPr>
          <w:rFonts w:ascii="仿宋" w:eastAsia="仿宋" w:hAnsi="仿宋" w:cs="仿宋" w:hint="eastAsia"/>
          <w:sz w:val="32"/>
          <w:szCs w:val="32"/>
        </w:rPr>
        <w:tab/>
        <w:t>15</w:t>
      </w:r>
    </w:p>
    <w:p w:rsidR="00B16EC7" w:rsidRDefault="00B16EC7" w:rsidP="00B16EC7">
      <w:pPr>
        <w:spacing w:before="100" w:beforeAutospacing="1" w:after="100" w:afterAutospacing="1"/>
        <w:rPr>
          <w:rFonts w:ascii="仿宋" w:eastAsia="仿宋" w:hAnsi="仿宋" w:cs="仿宋"/>
          <w:sz w:val="32"/>
          <w:szCs w:val="32"/>
        </w:rPr>
      </w:pPr>
      <w:r>
        <w:rPr>
          <w:rFonts w:ascii="仿宋" w:eastAsia="仿宋" w:hAnsi="仿宋" w:cs="仿宋" w:hint="eastAsia"/>
          <w:bCs/>
          <w:sz w:val="32"/>
          <w:szCs w:val="32"/>
        </w:rPr>
        <w:t>十一、国有资本经营预算财政拨款“三公”经费支出决算情况说明</w:t>
      </w:r>
    </w:p>
    <w:p w:rsidR="00B16EC7" w:rsidRDefault="00B16EC7" w:rsidP="00B16EC7">
      <w:pPr>
        <w:pStyle w:val="wpsoffice2"/>
        <w:tabs>
          <w:tab w:val="right" w:leader="dot" w:pos="8306"/>
        </w:tabs>
        <w:rPr>
          <w:rFonts w:ascii="仿宋" w:eastAsia="仿宋" w:hAnsi="仿宋" w:cs="仿宋"/>
          <w:sz w:val="32"/>
          <w:szCs w:val="32"/>
        </w:rPr>
      </w:pPr>
      <w:r>
        <w:rPr>
          <w:rFonts w:ascii="仿宋" w:eastAsia="仿宋" w:hAnsi="仿宋" w:cs="仿宋" w:hint="eastAsia"/>
          <w:sz w:val="32"/>
          <w:szCs w:val="32"/>
        </w:rPr>
        <w:tab/>
        <w:t>16</w:t>
      </w:r>
    </w:p>
    <w:p w:rsidR="00B16EC7" w:rsidRDefault="00B16EC7" w:rsidP="00B16EC7">
      <w:pPr>
        <w:pStyle w:val="wpsoffice2"/>
        <w:tabs>
          <w:tab w:val="right" w:leader="dot" w:pos="8306"/>
        </w:tabs>
        <w:rPr>
          <w:rFonts w:ascii="仿宋" w:eastAsia="仿宋" w:hAnsi="仿宋" w:cs="仿宋"/>
          <w:sz w:val="32"/>
          <w:szCs w:val="32"/>
        </w:rPr>
      </w:pPr>
      <w:r>
        <w:rPr>
          <w:rFonts w:ascii="仿宋" w:eastAsia="仿宋" w:hAnsi="仿宋" w:cs="仿宋" w:hint="eastAsia"/>
          <w:bCs/>
          <w:sz w:val="32"/>
          <w:szCs w:val="32"/>
        </w:rPr>
        <w:t>十二、预算绩效情况说明</w:t>
      </w:r>
      <w:r>
        <w:rPr>
          <w:rFonts w:ascii="仿宋" w:eastAsia="仿宋" w:hAnsi="仿宋" w:cs="仿宋" w:hint="eastAsia"/>
          <w:sz w:val="32"/>
          <w:szCs w:val="32"/>
        </w:rPr>
        <w:tab/>
        <w:t>16</w:t>
      </w:r>
    </w:p>
    <w:p w:rsidR="00B16EC7" w:rsidRDefault="00B16EC7" w:rsidP="00B16EC7">
      <w:pPr>
        <w:pStyle w:val="wpsoffice2"/>
        <w:tabs>
          <w:tab w:val="right" w:leader="dot" w:pos="8306"/>
        </w:tabs>
        <w:rPr>
          <w:rFonts w:ascii="仿宋" w:eastAsia="仿宋" w:hAnsi="仿宋" w:cs="仿宋"/>
          <w:sz w:val="32"/>
          <w:szCs w:val="32"/>
        </w:rPr>
      </w:pPr>
      <w:r>
        <w:rPr>
          <w:rFonts w:ascii="仿宋" w:eastAsia="仿宋" w:hAnsi="仿宋" w:cs="仿宋" w:hint="eastAsia"/>
          <w:bCs/>
          <w:sz w:val="32"/>
          <w:szCs w:val="32"/>
        </w:rPr>
        <w:t>十三、其他重要事项情况说明</w:t>
      </w:r>
      <w:r>
        <w:rPr>
          <w:rFonts w:ascii="仿宋" w:eastAsia="仿宋" w:hAnsi="仿宋" w:cs="仿宋" w:hint="eastAsia"/>
          <w:sz w:val="32"/>
          <w:szCs w:val="32"/>
        </w:rPr>
        <w:tab/>
        <w:t>17</w:t>
      </w:r>
    </w:p>
    <w:p w:rsidR="00B16EC7" w:rsidRDefault="00B16EC7" w:rsidP="00B16EC7">
      <w:pPr>
        <w:pStyle w:val="wpsoffice1"/>
        <w:tabs>
          <w:tab w:val="right" w:leader="dot" w:pos="8306"/>
        </w:tabs>
        <w:rPr>
          <w:sz w:val="32"/>
          <w:szCs w:val="32"/>
        </w:rPr>
      </w:pPr>
      <w:r>
        <w:rPr>
          <w:rFonts w:ascii="黑体" w:eastAsia="黑体" w:hAnsi="ˎ̥" w:hint="eastAsia"/>
          <w:sz w:val="32"/>
          <w:szCs w:val="32"/>
        </w:rPr>
        <w:t>第四部分  名词解释</w:t>
      </w:r>
      <w:r>
        <w:rPr>
          <w:rFonts w:hint="eastAsia"/>
          <w:sz w:val="32"/>
          <w:szCs w:val="32"/>
        </w:rPr>
        <w:tab/>
      </w:r>
      <w:bookmarkEnd w:id="0"/>
      <w:r>
        <w:rPr>
          <w:rFonts w:hint="eastAsia"/>
          <w:sz w:val="32"/>
          <w:szCs w:val="32"/>
        </w:rPr>
        <w:t>18</w:t>
      </w:r>
    </w:p>
    <w:p w:rsidR="00B16EC7" w:rsidRDefault="00B16EC7" w:rsidP="00B16EC7">
      <w:pPr>
        <w:spacing w:before="100" w:beforeAutospacing="1" w:after="100" w:afterAutospacing="1"/>
        <w:rPr>
          <w:rFonts w:ascii="黑体" w:eastAsia="黑体" w:hAnsi="黑体" w:cs="黑体"/>
          <w:sz w:val="32"/>
          <w:szCs w:val="32"/>
        </w:rPr>
      </w:pPr>
    </w:p>
    <w:p w:rsidR="00B16EC7" w:rsidRDefault="00B16EC7" w:rsidP="00B16EC7">
      <w:pPr>
        <w:spacing w:before="100" w:beforeAutospacing="1" w:after="100" w:afterAutospacing="1"/>
        <w:jc w:val="center"/>
        <w:rPr>
          <w:rFonts w:ascii="黑体" w:eastAsia="黑体" w:hAnsi="ˎ̥"/>
          <w:b/>
          <w:sz w:val="32"/>
          <w:szCs w:val="32"/>
        </w:rPr>
      </w:pPr>
    </w:p>
    <w:p w:rsidR="00B16EC7" w:rsidRDefault="00B16EC7" w:rsidP="00B16EC7">
      <w:pPr>
        <w:spacing w:before="100" w:beforeAutospacing="1" w:after="100" w:afterAutospacing="1"/>
        <w:jc w:val="center"/>
        <w:rPr>
          <w:rFonts w:ascii="黑体" w:eastAsia="黑体" w:hAnsi="ˎ̥"/>
          <w:b/>
          <w:sz w:val="32"/>
          <w:szCs w:val="32"/>
        </w:rPr>
      </w:pPr>
    </w:p>
    <w:p w:rsidR="00B16EC7" w:rsidRDefault="00B16EC7" w:rsidP="00B16EC7">
      <w:pPr>
        <w:spacing w:before="100" w:beforeAutospacing="1" w:after="100" w:afterAutospacing="1"/>
        <w:jc w:val="center"/>
        <w:rPr>
          <w:rFonts w:ascii="黑体" w:eastAsia="黑体" w:hAnsi="ˎ̥"/>
          <w:b/>
          <w:sz w:val="32"/>
          <w:szCs w:val="32"/>
        </w:rPr>
      </w:pPr>
    </w:p>
    <w:p w:rsidR="00B16EC7" w:rsidRDefault="00B16EC7" w:rsidP="00B16EC7">
      <w:pPr>
        <w:spacing w:before="100" w:beforeAutospacing="1" w:after="100" w:afterAutospacing="1"/>
        <w:jc w:val="center"/>
        <w:rPr>
          <w:rFonts w:ascii="黑体" w:eastAsia="黑体" w:hAnsi="ˎ̥"/>
          <w:sz w:val="32"/>
          <w:szCs w:val="32"/>
        </w:rPr>
      </w:pPr>
      <w:bookmarkStart w:id="1" w:name="_Toc10049_WPSOffice_Level1"/>
      <w:bookmarkStart w:id="2" w:name="_Toc32433_WPSOffice_Level1"/>
      <w:bookmarkStart w:id="3" w:name="_Toc22941_WPSOffice_Level1"/>
      <w:bookmarkStart w:id="4" w:name="_Toc1704_WPSOffice_Level1"/>
      <w:bookmarkStart w:id="5" w:name="_Toc10720_WPSOffice_Level1"/>
      <w:bookmarkStart w:id="6" w:name="_Toc23465_WPSOffice_Level1"/>
      <w:bookmarkStart w:id="7" w:name="_Toc24238_WPSOffice_Level2"/>
      <w:bookmarkStart w:id="8" w:name="_Toc26580_WPSOffice_Level2"/>
      <w:bookmarkStart w:id="9" w:name="_Toc20205_WPSOffice_Level2"/>
      <w:bookmarkStart w:id="10" w:name="_Toc20274_WPSOffice_Level2"/>
      <w:bookmarkStart w:id="11" w:name="_Toc14159_WPSOffice_Level2"/>
      <w:bookmarkStart w:id="12" w:name="_Toc32622_WPSOffice_Level2"/>
      <w:r>
        <w:rPr>
          <w:rFonts w:ascii="黑体" w:eastAsia="黑体" w:hAnsi="ˎ̥" w:hint="eastAsia"/>
          <w:sz w:val="32"/>
          <w:szCs w:val="32"/>
        </w:rPr>
        <w:lastRenderedPageBreak/>
        <w:t>第一部分  海南软件职业技术学院概况</w:t>
      </w:r>
      <w:bookmarkEnd w:id="1"/>
      <w:bookmarkEnd w:id="2"/>
      <w:bookmarkEnd w:id="3"/>
      <w:bookmarkEnd w:id="4"/>
      <w:bookmarkEnd w:id="5"/>
      <w:bookmarkEnd w:id="6"/>
    </w:p>
    <w:bookmarkEnd w:id="7"/>
    <w:p w:rsidR="00B16EC7" w:rsidRDefault="00B16EC7" w:rsidP="00B16EC7">
      <w:pPr>
        <w:pStyle w:val="a5"/>
        <w:numPr>
          <w:ilvl w:val="0"/>
          <w:numId w:val="2"/>
        </w:numPr>
        <w:spacing w:before="100" w:beforeAutospacing="1" w:after="100" w:afterAutospacing="1"/>
        <w:ind w:firstLineChars="0"/>
        <w:rPr>
          <w:rFonts w:ascii="黑体" w:eastAsia="黑体" w:hAnsi="黑体" w:cs="黑体"/>
          <w:sz w:val="32"/>
          <w:szCs w:val="32"/>
        </w:rPr>
      </w:pPr>
      <w:r>
        <w:rPr>
          <w:rFonts w:ascii="黑体" w:eastAsia="黑体" w:hAnsi="黑体" w:cs="黑体" w:hint="eastAsia"/>
          <w:sz w:val="32"/>
          <w:szCs w:val="32"/>
        </w:rPr>
        <w:t>单位职责</w:t>
      </w:r>
      <w:bookmarkEnd w:id="8"/>
      <w:bookmarkEnd w:id="9"/>
      <w:bookmarkEnd w:id="10"/>
      <w:bookmarkEnd w:id="11"/>
      <w:bookmarkEnd w:id="12"/>
    </w:p>
    <w:p w:rsidR="00634403" w:rsidRPr="00634403" w:rsidRDefault="00634403" w:rsidP="00634403">
      <w:pPr>
        <w:spacing w:before="100" w:beforeAutospacing="1" w:after="100" w:afterAutospacing="1"/>
        <w:ind w:firstLineChars="200" w:firstLine="640"/>
        <w:rPr>
          <w:rFonts w:ascii="仿宋_GB2312" w:eastAsia="仿宋_GB2312" w:hAnsi="ˎ̥" w:cs="仿宋_GB2312"/>
          <w:sz w:val="32"/>
          <w:szCs w:val="32"/>
          <w:shd w:val="clear" w:color="auto" w:fill="FFFFFF"/>
        </w:rPr>
      </w:pPr>
      <w:r w:rsidRPr="00634403">
        <w:rPr>
          <w:rFonts w:ascii="仿宋_GB2312" w:eastAsia="仿宋_GB2312" w:hAnsi="ˎ̥" w:cs="仿宋_GB2312" w:hint="eastAsia"/>
          <w:sz w:val="32"/>
          <w:szCs w:val="32"/>
          <w:shd w:val="clear" w:color="auto" w:fill="FFFFFF"/>
        </w:rPr>
        <w:t>（一）按照《中华人民共和国高等教育法》《中华人民共和国职业教育法》等法律法规规定开展高等教育工作。</w:t>
      </w:r>
    </w:p>
    <w:p w:rsidR="00634403" w:rsidRPr="00634403" w:rsidRDefault="00634403" w:rsidP="00634403">
      <w:pPr>
        <w:spacing w:before="100" w:beforeAutospacing="1" w:after="100" w:afterAutospacing="1"/>
        <w:ind w:firstLineChars="200" w:firstLine="640"/>
        <w:rPr>
          <w:rFonts w:ascii="仿宋_GB2312" w:eastAsia="仿宋_GB2312" w:hAnsi="ˎ̥" w:cs="仿宋_GB2312"/>
          <w:sz w:val="32"/>
          <w:szCs w:val="32"/>
          <w:shd w:val="clear" w:color="auto" w:fill="FFFFFF"/>
        </w:rPr>
      </w:pPr>
      <w:r w:rsidRPr="00634403">
        <w:rPr>
          <w:rFonts w:ascii="仿宋_GB2312" w:eastAsia="仿宋_GB2312" w:hAnsi="ˎ̥" w:cs="仿宋_GB2312" w:hint="eastAsia"/>
          <w:sz w:val="32"/>
          <w:szCs w:val="32"/>
          <w:shd w:val="clear" w:color="auto" w:fill="FFFFFF"/>
        </w:rPr>
        <w:t>（二）承担软件技术人才和我省小学信息技术教师师资的培养、培训工作。</w:t>
      </w:r>
    </w:p>
    <w:p w:rsidR="00B16EC7" w:rsidRPr="00634403" w:rsidRDefault="00634403" w:rsidP="00634403">
      <w:pPr>
        <w:spacing w:before="100" w:beforeAutospacing="1" w:after="100" w:afterAutospacing="1"/>
        <w:ind w:firstLineChars="200" w:firstLine="640"/>
        <w:rPr>
          <w:rFonts w:ascii="仿宋_GB2312" w:eastAsia="仿宋_GB2312" w:hAnsi="ˎ̥" w:cs="仿宋_GB2312"/>
          <w:sz w:val="32"/>
          <w:szCs w:val="32"/>
          <w:shd w:val="clear" w:color="auto" w:fill="FFFFFF"/>
        </w:rPr>
      </w:pPr>
      <w:r w:rsidRPr="00634403">
        <w:rPr>
          <w:rFonts w:ascii="仿宋_GB2312" w:eastAsia="仿宋_GB2312" w:hAnsi="ˎ̥" w:cs="仿宋_GB2312" w:hint="eastAsia"/>
          <w:sz w:val="32"/>
          <w:szCs w:val="32"/>
          <w:shd w:val="clear" w:color="auto" w:fill="FFFFFF"/>
        </w:rPr>
        <w:t>（三）承办上级主管部门交办的其他工作。</w:t>
      </w:r>
    </w:p>
    <w:p w:rsidR="00B16EC7" w:rsidRDefault="00B16EC7" w:rsidP="00B16EC7">
      <w:pPr>
        <w:spacing w:before="100" w:beforeAutospacing="1" w:after="100" w:afterAutospacing="1"/>
        <w:ind w:firstLineChars="200" w:firstLine="640"/>
        <w:rPr>
          <w:rFonts w:ascii="黑体" w:eastAsia="黑体" w:hAnsi="黑体" w:cs="黑体"/>
          <w:sz w:val="32"/>
          <w:szCs w:val="32"/>
        </w:rPr>
      </w:pPr>
      <w:bookmarkStart w:id="13" w:name="_Toc6572_WPSOffice_Level2"/>
      <w:bookmarkStart w:id="14" w:name="_Toc4833_WPSOffice_Level2"/>
      <w:bookmarkStart w:id="15" w:name="_Toc24059_WPSOffice_Level2"/>
      <w:bookmarkStart w:id="16" w:name="_Toc24474_WPSOffice_Level2"/>
      <w:bookmarkStart w:id="17" w:name="_Toc17796_WPSOffice_Level2"/>
      <w:r>
        <w:rPr>
          <w:rFonts w:ascii="黑体" w:eastAsia="黑体" w:hAnsi="黑体" w:cs="黑体" w:hint="eastAsia"/>
          <w:sz w:val="32"/>
          <w:szCs w:val="32"/>
        </w:rPr>
        <w:t>二、机构设置</w:t>
      </w:r>
      <w:bookmarkEnd w:id="13"/>
      <w:bookmarkEnd w:id="14"/>
      <w:bookmarkEnd w:id="15"/>
      <w:bookmarkEnd w:id="16"/>
      <w:bookmarkEnd w:id="17"/>
    </w:p>
    <w:p w:rsidR="00A76217" w:rsidRDefault="002077D5" w:rsidP="00B16EC7">
      <w:pPr>
        <w:spacing w:before="100" w:beforeAutospacing="1" w:after="100" w:afterAutospacing="1"/>
        <w:ind w:firstLineChars="200" w:firstLine="640"/>
        <w:rPr>
          <w:rFonts w:ascii="仿宋_GB2312" w:eastAsia="仿宋_GB2312" w:hAnsi="ˎ̥" w:cs="仿宋_GB2312" w:hint="eastAsia"/>
          <w:sz w:val="32"/>
          <w:szCs w:val="32"/>
          <w:shd w:val="clear" w:color="auto" w:fill="FFFFFF"/>
        </w:rPr>
      </w:pPr>
      <w:r w:rsidRPr="006C5CEB">
        <w:rPr>
          <w:rFonts w:ascii="仿宋_GB2312" w:eastAsia="仿宋_GB2312" w:hAnsi="ˎ̥" w:cs="仿宋_GB2312" w:hint="eastAsia"/>
          <w:sz w:val="32"/>
          <w:szCs w:val="32"/>
          <w:shd w:val="clear" w:color="auto" w:fill="FFFFFF"/>
        </w:rPr>
        <w:t>纳入202</w:t>
      </w:r>
      <w:r>
        <w:rPr>
          <w:rFonts w:ascii="仿宋_GB2312" w:eastAsia="仿宋_GB2312" w:hAnsi="ˎ̥" w:cs="仿宋_GB2312" w:hint="eastAsia"/>
          <w:sz w:val="32"/>
          <w:szCs w:val="32"/>
          <w:shd w:val="clear" w:color="auto" w:fill="FFFFFF"/>
        </w:rPr>
        <w:t>1</w:t>
      </w:r>
      <w:r w:rsidRPr="006C5CEB">
        <w:rPr>
          <w:rFonts w:ascii="仿宋_GB2312" w:eastAsia="仿宋_GB2312" w:hAnsi="ˎ̥" w:cs="仿宋_GB2312" w:hint="eastAsia"/>
          <w:sz w:val="32"/>
          <w:szCs w:val="32"/>
          <w:shd w:val="clear" w:color="auto" w:fill="FFFFFF"/>
        </w:rPr>
        <w:t>年度部门决算编制范围的单位共1个：海南软件职业技术学院</w:t>
      </w:r>
      <w:r w:rsidR="00A76217">
        <w:rPr>
          <w:rFonts w:ascii="仿宋_GB2312" w:eastAsia="仿宋_GB2312" w:hAnsi="ˎ̥" w:cs="仿宋_GB2312" w:hint="eastAsia"/>
          <w:sz w:val="32"/>
          <w:szCs w:val="32"/>
          <w:shd w:val="clear" w:color="auto" w:fill="FFFFFF"/>
        </w:rPr>
        <w:t>。</w:t>
      </w:r>
    </w:p>
    <w:p w:rsidR="00B16EC7" w:rsidRDefault="00A76217" w:rsidP="00B16EC7">
      <w:pPr>
        <w:spacing w:before="100" w:beforeAutospacing="1" w:after="100" w:afterAutospacing="1"/>
        <w:ind w:firstLineChars="200" w:firstLine="640"/>
        <w:rPr>
          <w:rFonts w:ascii="仿宋_GB2312" w:eastAsia="仿宋_GB2312" w:hAnsi="ˎ̥" w:cs="仿宋_GB2312"/>
          <w:sz w:val="32"/>
          <w:szCs w:val="32"/>
          <w:shd w:val="clear" w:color="auto" w:fill="FFFFFF"/>
        </w:rPr>
      </w:pPr>
      <w:r w:rsidRPr="00036438">
        <w:rPr>
          <w:rFonts w:ascii="仿宋_GB2312" w:eastAsia="仿宋_GB2312" w:hAnsi="ˎ̥" w:cs="仿宋_GB2312" w:hint="eastAsia"/>
          <w:sz w:val="32"/>
          <w:szCs w:val="32"/>
          <w:shd w:val="clear" w:color="auto" w:fill="FFFFFF"/>
        </w:rPr>
        <w:t xml:space="preserve">学校内设管理机构数为 10 </w:t>
      </w:r>
      <w:proofErr w:type="gramStart"/>
      <w:r w:rsidRPr="00036438">
        <w:rPr>
          <w:rFonts w:ascii="仿宋_GB2312" w:eastAsia="仿宋_GB2312" w:hAnsi="ˎ̥" w:cs="仿宋_GB2312" w:hint="eastAsia"/>
          <w:sz w:val="32"/>
          <w:szCs w:val="32"/>
          <w:shd w:val="clear" w:color="auto" w:fill="FFFFFF"/>
        </w:rPr>
        <w:t>个</w:t>
      </w:r>
      <w:proofErr w:type="gramEnd"/>
      <w:r w:rsidRPr="00036438">
        <w:rPr>
          <w:rFonts w:ascii="仿宋_GB2312" w:eastAsia="仿宋_GB2312" w:hAnsi="ˎ̥" w:cs="仿宋_GB2312" w:hint="eastAsia"/>
          <w:sz w:val="32"/>
          <w:szCs w:val="32"/>
          <w:shd w:val="clear" w:color="auto" w:fill="FFFFFF"/>
        </w:rPr>
        <w:t xml:space="preserve">，分别为党政办公室（审计处）、组织人事处（教师发展中心）、宣传统战部、学生工作部（学生工作处、人民武装部、学生资助管理中心）、纪检监察处、教务处、财务处、招生与就业创业处（校友办公室、就业指导中心、创业中心）、产学研合作处、后勤处。群团组织为2个，分别为工会和团委。学校教辅机构为 7 </w:t>
      </w:r>
      <w:proofErr w:type="gramStart"/>
      <w:r w:rsidRPr="00036438">
        <w:rPr>
          <w:rFonts w:ascii="仿宋_GB2312" w:eastAsia="仿宋_GB2312" w:hAnsi="ˎ̥" w:cs="仿宋_GB2312" w:hint="eastAsia"/>
          <w:sz w:val="32"/>
          <w:szCs w:val="32"/>
          <w:shd w:val="clear" w:color="auto" w:fill="FFFFFF"/>
        </w:rPr>
        <w:t>个</w:t>
      </w:r>
      <w:proofErr w:type="gramEnd"/>
      <w:r w:rsidRPr="00036438">
        <w:rPr>
          <w:rFonts w:ascii="仿宋_GB2312" w:eastAsia="仿宋_GB2312" w:hAnsi="ˎ̥" w:cs="仿宋_GB2312" w:hint="eastAsia"/>
          <w:sz w:val="32"/>
          <w:szCs w:val="32"/>
          <w:shd w:val="clear" w:color="auto" w:fill="FFFFFF"/>
        </w:rPr>
        <w:t>，分别为发展规划中心、质量监控中心（高等职业教育研究所）、继续教育部、信息技术中心、资产管理中心（采购管理办公室）、图书馆、国际合作交流中心。</w:t>
      </w:r>
      <w:bookmarkStart w:id="18" w:name="_GoBack"/>
      <w:bookmarkEnd w:id="18"/>
    </w:p>
    <w:p w:rsidR="00B72C7E" w:rsidRDefault="00B72C7E" w:rsidP="00B16EC7">
      <w:pPr>
        <w:spacing w:before="100" w:beforeAutospacing="1" w:after="100" w:afterAutospacing="1"/>
        <w:jc w:val="center"/>
        <w:rPr>
          <w:rFonts w:ascii="黑体" w:eastAsia="黑体" w:hAnsi="ˎ̥"/>
          <w:sz w:val="32"/>
          <w:szCs w:val="32"/>
        </w:rPr>
      </w:pPr>
      <w:bookmarkStart w:id="19" w:name="_Toc30451_WPSOffice_Level1"/>
      <w:bookmarkStart w:id="20" w:name="_Toc8164_WPSOffice_Level1"/>
      <w:bookmarkStart w:id="21" w:name="_Toc28253_WPSOffice_Level1"/>
      <w:bookmarkStart w:id="22" w:name="_Toc30690_WPSOffice_Level1"/>
      <w:bookmarkStart w:id="23" w:name="_Toc6234_WPSOffice_Level1"/>
      <w:bookmarkStart w:id="24" w:name="_Toc15521_WPSOffice_Level1"/>
      <w:bookmarkStart w:id="25" w:name="_Toc6211_WPSOffice_Level2"/>
      <w:bookmarkStart w:id="26" w:name="_Toc32695_WPSOffice_Level2"/>
      <w:bookmarkStart w:id="27" w:name="_Toc8867_WPSOffice_Level2"/>
      <w:bookmarkStart w:id="28" w:name="_Toc4029_WPSOffice_Level2"/>
      <w:bookmarkStart w:id="29" w:name="_Toc32472_WPSOffice_Level2"/>
      <w:bookmarkStart w:id="30" w:name="_Toc11518_WPSOffice_Level2"/>
    </w:p>
    <w:p w:rsidR="00B16EC7" w:rsidRDefault="00B16EC7" w:rsidP="00B16EC7">
      <w:pPr>
        <w:spacing w:before="100" w:beforeAutospacing="1" w:after="100" w:afterAutospacing="1"/>
        <w:jc w:val="center"/>
        <w:rPr>
          <w:rFonts w:ascii="黑体" w:eastAsia="黑体" w:hAnsi="ˎ̥"/>
          <w:sz w:val="32"/>
          <w:szCs w:val="32"/>
        </w:rPr>
      </w:pPr>
      <w:r>
        <w:rPr>
          <w:rFonts w:ascii="黑体" w:eastAsia="黑体" w:hAnsi="ˎ̥" w:hint="eastAsia"/>
          <w:sz w:val="32"/>
          <w:szCs w:val="32"/>
        </w:rPr>
        <w:t>第二部分  海南软件职业技术学院2021年度部门决算公开报表</w:t>
      </w:r>
      <w:bookmarkEnd w:id="19"/>
      <w:bookmarkEnd w:id="20"/>
      <w:bookmarkEnd w:id="21"/>
      <w:bookmarkEnd w:id="22"/>
      <w:bookmarkEnd w:id="23"/>
      <w:bookmarkEnd w:id="24"/>
    </w:p>
    <w:p w:rsidR="00B16EC7" w:rsidRDefault="00B16EC7" w:rsidP="00B16EC7">
      <w:pPr>
        <w:spacing w:before="100" w:beforeAutospacing="1" w:after="100" w:afterAutospacing="1"/>
        <w:ind w:firstLine="645"/>
        <w:rPr>
          <w:rFonts w:ascii="黑体" w:eastAsia="黑体" w:hAnsi="黑体" w:cs="黑体"/>
          <w:sz w:val="32"/>
          <w:szCs w:val="32"/>
        </w:rPr>
      </w:pPr>
      <w:r>
        <w:rPr>
          <w:rFonts w:ascii="黑体" w:eastAsia="黑体" w:hAnsi="黑体" w:cs="黑体" w:hint="eastAsia"/>
          <w:sz w:val="32"/>
          <w:szCs w:val="32"/>
        </w:rPr>
        <w:t>一、收入支出决算公开表（见正文附件）</w:t>
      </w:r>
      <w:bookmarkEnd w:id="25"/>
      <w:bookmarkEnd w:id="26"/>
      <w:bookmarkEnd w:id="27"/>
      <w:r>
        <w:rPr>
          <w:rFonts w:ascii="黑体" w:eastAsia="黑体" w:hAnsi="黑体" w:cs="黑体" w:hint="eastAsia"/>
          <w:sz w:val="32"/>
          <w:szCs w:val="32"/>
        </w:rPr>
        <w:t>。</w:t>
      </w:r>
      <w:bookmarkEnd w:id="28"/>
      <w:bookmarkEnd w:id="29"/>
      <w:bookmarkEnd w:id="30"/>
    </w:p>
    <w:p w:rsidR="00B16EC7" w:rsidRDefault="00B16EC7" w:rsidP="00B16EC7">
      <w:pPr>
        <w:spacing w:before="100" w:beforeAutospacing="1" w:after="100" w:afterAutospacing="1"/>
        <w:ind w:firstLine="645"/>
        <w:rPr>
          <w:rFonts w:ascii="黑体" w:eastAsia="黑体" w:hAnsi="黑体" w:cs="黑体"/>
          <w:sz w:val="32"/>
          <w:szCs w:val="32"/>
        </w:rPr>
      </w:pPr>
      <w:bookmarkStart w:id="31" w:name="_Toc25608_WPSOffice_Level2"/>
      <w:bookmarkStart w:id="32" w:name="_Toc26621_WPSOffice_Level2"/>
      <w:bookmarkStart w:id="33" w:name="_Toc23139_WPSOffice_Level2"/>
      <w:bookmarkStart w:id="34" w:name="_Toc14349_WPSOffice_Level2"/>
      <w:bookmarkStart w:id="35" w:name="_Toc30334_WPSOffice_Level2"/>
      <w:bookmarkStart w:id="36" w:name="_Toc28622_WPSOffice_Level2"/>
      <w:r>
        <w:rPr>
          <w:rFonts w:ascii="黑体" w:eastAsia="黑体" w:hAnsi="黑体" w:cs="黑体" w:hint="eastAsia"/>
          <w:sz w:val="32"/>
          <w:szCs w:val="32"/>
        </w:rPr>
        <w:t>二、收入决算公开表（见正文附件）</w:t>
      </w:r>
      <w:bookmarkEnd w:id="31"/>
      <w:bookmarkEnd w:id="32"/>
      <w:bookmarkEnd w:id="33"/>
      <w:r>
        <w:rPr>
          <w:rFonts w:ascii="黑体" w:eastAsia="黑体" w:hAnsi="黑体" w:cs="黑体" w:hint="eastAsia"/>
          <w:sz w:val="32"/>
          <w:szCs w:val="32"/>
        </w:rPr>
        <w:t>。</w:t>
      </w:r>
      <w:bookmarkEnd w:id="34"/>
      <w:bookmarkEnd w:id="35"/>
      <w:bookmarkEnd w:id="36"/>
    </w:p>
    <w:p w:rsidR="00B16EC7" w:rsidRDefault="00B16EC7" w:rsidP="00B16EC7">
      <w:pPr>
        <w:spacing w:before="100" w:beforeAutospacing="1" w:after="100" w:afterAutospacing="1"/>
        <w:ind w:firstLine="645"/>
        <w:rPr>
          <w:rFonts w:ascii="黑体" w:eastAsia="黑体" w:hAnsi="黑体" w:cs="黑体"/>
          <w:sz w:val="32"/>
          <w:szCs w:val="32"/>
        </w:rPr>
      </w:pPr>
      <w:bookmarkStart w:id="37" w:name="_Toc3262_WPSOffice_Level2"/>
      <w:bookmarkStart w:id="38" w:name="_Toc17626_WPSOffice_Level2"/>
      <w:bookmarkStart w:id="39" w:name="_Toc17858_WPSOffice_Level2"/>
      <w:bookmarkStart w:id="40" w:name="_Toc5489_WPSOffice_Level2"/>
      <w:bookmarkStart w:id="41" w:name="_Toc13854_WPSOffice_Level2"/>
      <w:bookmarkStart w:id="42" w:name="_Toc14658_WPSOffice_Level2"/>
      <w:r>
        <w:rPr>
          <w:rFonts w:ascii="黑体" w:eastAsia="黑体" w:hAnsi="黑体" w:cs="黑体" w:hint="eastAsia"/>
          <w:sz w:val="32"/>
          <w:szCs w:val="32"/>
        </w:rPr>
        <w:t>三、支出决算公开表（见正文附件）</w:t>
      </w:r>
      <w:bookmarkEnd w:id="37"/>
      <w:bookmarkEnd w:id="38"/>
      <w:bookmarkEnd w:id="39"/>
      <w:r>
        <w:rPr>
          <w:rFonts w:ascii="黑体" w:eastAsia="黑体" w:hAnsi="黑体" w:cs="黑体" w:hint="eastAsia"/>
          <w:sz w:val="32"/>
          <w:szCs w:val="32"/>
        </w:rPr>
        <w:t>。</w:t>
      </w:r>
      <w:bookmarkEnd w:id="40"/>
      <w:bookmarkEnd w:id="41"/>
      <w:bookmarkEnd w:id="42"/>
    </w:p>
    <w:p w:rsidR="00B16EC7" w:rsidRDefault="00B16EC7" w:rsidP="00B16EC7">
      <w:pPr>
        <w:spacing w:before="100" w:beforeAutospacing="1" w:after="100" w:afterAutospacing="1"/>
        <w:ind w:firstLine="645"/>
        <w:rPr>
          <w:rFonts w:ascii="黑体" w:eastAsia="黑体" w:hAnsi="黑体" w:cs="黑体"/>
          <w:sz w:val="32"/>
          <w:szCs w:val="32"/>
        </w:rPr>
      </w:pPr>
      <w:bookmarkStart w:id="43" w:name="_Toc23591_WPSOffice_Level2"/>
      <w:bookmarkStart w:id="44" w:name="_Toc13701_WPSOffice_Level2"/>
      <w:bookmarkStart w:id="45" w:name="_Toc21415_WPSOffice_Level2"/>
      <w:bookmarkStart w:id="46" w:name="_Toc7988_WPSOffice_Level2"/>
      <w:bookmarkStart w:id="47" w:name="_Toc23493_WPSOffice_Level2"/>
      <w:bookmarkStart w:id="48" w:name="_Toc4265_WPSOffice_Level2"/>
      <w:r>
        <w:rPr>
          <w:rFonts w:ascii="黑体" w:eastAsia="黑体" w:hAnsi="黑体" w:cs="黑体" w:hint="eastAsia"/>
          <w:sz w:val="32"/>
          <w:szCs w:val="32"/>
        </w:rPr>
        <w:t>四、财政拨款收入支出决算公开表（见正文附件）</w:t>
      </w:r>
      <w:bookmarkEnd w:id="43"/>
      <w:bookmarkEnd w:id="44"/>
      <w:bookmarkEnd w:id="45"/>
      <w:r>
        <w:rPr>
          <w:rFonts w:ascii="黑体" w:eastAsia="黑体" w:hAnsi="黑体" w:cs="黑体" w:hint="eastAsia"/>
          <w:sz w:val="32"/>
          <w:szCs w:val="32"/>
        </w:rPr>
        <w:t>。</w:t>
      </w:r>
      <w:bookmarkEnd w:id="46"/>
      <w:bookmarkEnd w:id="47"/>
      <w:bookmarkEnd w:id="48"/>
    </w:p>
    <w:p w:rsidR="00B16EC7" w:rsidRDefault="00B16EC7" w:rsidP="00B16EC7">
      <w:pPr>
        <w:spacing w:before="100" w:beforeAutospacing="1" w:after="100" w:afterAutospacing="1"/>
        <w:ind w:firstLine="645"/>
        <w:rPr>
          <w:rFonts w:ascii="黑体" w:eastAsia="黑体" w:hAnsi="黑体" w:cs="黑体"/>
          <w:sz w:val="32"/>
          <w:szCs w:val="32"/>
        </w:rPr>
      </w:pPr>
      <w:bookmarkStart w:id="49" w:name="_Toc7879_WPSOffice_Level2"/>
      <w:bookmarkStart w:id="50" w:name="_Toc25166_WPSOffice_Level2"/>
      <w:bookmarkStart w:id="51" w:name="_Toc23829_WPSOffice_Level2"/>
      <w:bookmarkStart w:id="52" w:name="_Toc22783_WPSOffice_Level2"/>
      <w:bookmarkStart w:id="53" w:name="_Toc13516_WPSOffice_Level2"/>
      <w:bookmarkStart w:id="54" w:name="_Toc2158_WPSOffice_Level2"/>
      <w:r>
        <w:rPr>
          <w:rFonts w:ascii="黑体" w:eastAsia="黑体" w:hAnsi="黑体" w:cs="黑体" w:hint="eastAsia"/>
          <w:sz w:val="32"/>
          <w:szCs w:val="32"/>
        </w:rPr>
        <w:t>五、一般公共预算财政拨款收入支出决算</w:t>
      </w:r>
      <w:bookmarkEnd w:id="49"/>
      <w:bookmarkEnd w:id="50"/>
      <w:bookmarkEnd w:id="51"/>
      <w:bookmarkEnd w:id="52"/>
      <w:r>
        <w:rPr>
          <w:rFonts w:ascii="黑体" w:eastAsia="黑体" w:hAnsi="黑体" w:cs="黑体" w:hint="eastAsia"/>
          <w:sz w:val="32"/>
          <w:szCs w:val="32"/>
        </w:rPr>
        <w:t>公开表（见正文附件）</w:t>
      </w:r>
      <w:bookmarkEnd w:id="53"/>
      <w:bookmarkEnd w:id="54"/>
      <w:r>
        <w:rPr>
          <w:rFonts w:ascii="黑体" w:eastAsia="黑体" w:hAnsi="黑体" w:cs="黑体" w:hint="eastAsia"/>
          <w:sz w:val="32"/>
          <w:szCs w:val="32"/>
        </w:rPr>
        <w:t>。</w:t>
      </w:r>
    </w:p>
    <w:p w:rsidR="00B16EC7" w:rsidRDefault="00B16EC7" w:rsidP="00B16EC7">
      <w:pPr>
        <w:spacing w:before="100" w:beforeAutospacing="1" w:after="100" w:afterAutospacing="1"/>
        <w:ind w:firstLine="645"/>
        <w:rPr>
          <w:rFonts w:ascii="黑体" w:eastAsia="黑体" w:hAnsi="黑体" w:cs="黑体"/>
          <w:sz w:val="32"/>
          <w:szCs w:val="32"/>
        </w:rPr>
      </w:pPr>
      <w:bookmarkStart w:id="55" w:name="_Toc2632_WPSOffice_Level2"/>
      <w:bookmarkStart w:id="56" w:name="_Toc8373_WPSOffice_Level2"/>
      <w:bookmarkStart w:id="57" w:name="_Toc17283_WPSOffice_Level2"/>
      <w:bookmarkStart w:id="58" w:name="_Toc25362_WPSOffice_Level2"/>
      <w:bookmarkStart w:id="59" w:name="_Toc17833_WPSOffice_Level2"/>
      <w:bookmarkStart w:id="60" w:name="_Toc5343_WPSOffice_Level2"/>
      <w:r>
        <w:rPr>
          <w:rFonts w:ascii="黑体" w:eastAsia="黑体" w:hAnsi="黑体" w:cs="黑体" w:hint="eastAsia"/>
          <w:sz w:val="32"/>
          <w:szCs w:val="32"/>
        </w:rPr>
        <w:t>六、一般公共预算财政拨款基本支出决算</w:t>
      </w:r>
      <w:bookmarkEnd w:id="55"/>
      <w:bookmarkEnd w:id="56"/>
      <w:bookmarkEnd w:id="57"/>
      <w:bookmarkEnd w:id="58"/>
      <w:bookmarkEnd w:id="59"/>
      <w:bookmarkEnd w:id="60"/>
      <w:r>
        <w:rPr>
          <w:rFonts w:ascii="黑体" w:eastAsia="黑体" w:hAnsi="黑体" w:cs="黑体" w:hint="eastAsia"/>
          <w:sz w:val="32"/>
          <w:szCs w:val="32"/>
        </w:rPr>
        <w:t>公开表（见正文附件）。</w:t>
      </w:r>
    </w:p>
    <w:p w:rsidR="00B16EC7" w:rsidRDefault="00B16EC7" w:rsidP="00B16EC7">
      <w:pPr>
        <w:spacing w:before="100" w:beforeAutospacing="1" w:after="100" w:afterAutospacing="1"/>
        <w:ind w:firstLine="645"/>
        <w:rPr>
          <w:rFonts w:ascii="黑体" w:eastAsia="黑体" w:hAnsi="黑体" w:cs="黑体"/>
          <w:sz w:val="32"/>
          <w:szCs w:val="32"/>
        </w:rPr>
      </w:pPr>
      <w:bookmarkStart w:id="61" w:name="_Toc6020_WPSOffice_Level2"/>
      <w:bookmarkStart w:id="62" w:name="_Toc11799_WPSOffice_Level2"/>
      <w:bookmarkStart w:id="63" w:name="_Toc13345_WPSOffice_Level2"/>
      <w:bookmarkStart w:id="64" w:name="_Toc5594_WPSOffice_Level2"/>
      <w:bookmarkStart w:id="65" w:name="_Toc21310_WPSOffice_Level2"/>
      <w:bookmarkStart w:id="66" w:name="_Toc1533_WPSOffice_Level2"/>
      <w:r>
        <w:rPr>
          <w:rFonts w:ascii="黑体" w:eastAsia="黑体" w:hAnsi="黑体" w:cs="黑体" w:hint="eastAsia"/>
          <w:sz w:val="32"/>
          <w:szCs w:val="32"/>
        </w:rPr>
        <w:t>七、政府性基金预算财政拨款收入支出决算</w:t>
      </w:r>
      <w:bookmarkEnd w:id="61"/>
      <w:bookmarkEnd w:id="62"/>
      <w:bookmarkEnd w:id="63"/>
      <w:bookmarkEnd w:id="64"/>
      <w:bookmarkEnd w:id="65"/>
      <w:bookmarkEnd w:id="66"/>
      <w:r>
        <w:rPr>
          <w:rFonts w:ascii="黑体" w:eastAsia="黑体" w:hAnsi="黑体" w:cs="黑体" w:hint="eastAsia"/>
          <w:sz w:val="32"/>
          <w:szCs w:val="32"/>
        </w:rPr>
        <w:t>公开表（见正文附件）。</w:t>
      </w:r>
    </w:p>
    <w:p w:rsidR="00B16EC7" w:rsidRDefault="00B16EC7" w:rsidP="00B16EC7">
      <w:pPr>
        <w:spacing w:before="100" w:beforeAutospacing="1" w:after="100" w:afterAutospacing="1"/>
        <w:ind w:firstLine="645"/>
        <w:rPr>
          <w:rFonts w:ascii="黑体" w:eastAsia="黑体" w:hAnsi="黑体" w:cs="黑体"/>
          <w:sz w:val="32"/>
          <w:szCs w:val="32"/>
        </w:rPr>
      </w:pPr>
      <w:r>
        <w:rPr>
          <w:rFonts w:ascii="黑体" w:eastAsia="黑体" w:hAnsi="黑体" w:cs="黑体" w:hint="eastAsia"/>
          <w:sz w:val="32"/>
          <w:szCs w:val="32"/>
        </w:rPr>
        <w:t>八、国有资本经营预算财政拨款收入支出决算公开表（见正文附件）。</w:t>
      </w:r>
    </w:p>
    <w:p w:rsidR="00B16EC7" w:rsidRDefault="00B16EC7" w:rsidP="00B16EC7">
      <w:pPr>
        <w:spacing w:before="100" w:beforeAutospacing="1" w:after="100" w:afterAutospacing="1"/>
        <w:rPr>
          <w:rFonts w:ascii="黑体" w:eastAsia="黑体" w:hAnsi="黑体" w:cs="黑体"/>
          <w:sz w:val="32"/>
          <w:szCs w:val="32"/>
        </w:rPr>
      </w:pPr>
      <w:bookmarkStart w:id="67" w:name="_Toc29886_WPSOffice_Level2"/>
      <w:bookmarkStart w:id="68" w:name="_Toc19961_WPSOffice_Level2"/>
      <w:bookmarkStart w:id="69" w:name="_Toc1820_WPSOffice_Level2"/>
      <w:bookmarkStart w:id="70" w:name="_Toc9377_WPSOffice_Level2"/>
      <w:r>
        <w:rPr>
          <w:rFonts w:ascii="黑体" w:eastAsia="黑体" w:hAnsi="黑体" w:cs="黑体" w:hint="eastAsia"/>
          <w:sz w:val="32"/>
          <w:szCs w:val="32"/>
        </w:rPr>
        <w:t xml:space="preserve">    九、一般公共预算财政拨款“三公”经费支出决算</w:t>
      </w:r>
      <w:bookmarkEnd w:id="67"/>
      <w:bookmarkEnd w:id="68"/>
      <w:bookmarkEnd w:id="69"/>
      <w:bookmarkEnd w:id="70"/>
      <w:r>
        <w:rPr>
          <w:rFonts w:ascii="黑体" w:eastAsia="黑体" w:hAnsi="黑体" w:cs="黑体" w:hint="eastAsia"/>
          <w:sz w:val="32"/>
          <w:szCs w:val="32"/>
        </w:rPr>
        <w:t>公开表（见正文附件）。</w:t>
      </w:r>
    </w:p>
    <w:p w:rsidR="00B16EC7" w:rsidRDefault="00B16EC7" w:rsidP="00B16EC7">
      <w:pPr>
        <w:spacing w:before="100" w:beforeAutospacing="1" w:after="100" w:afterAutospacing="1"/>
        <w:rPr>
          <w:rFonts w:ascii="黑体" w:eastAsia="黑体" w:hAnsi="黑体" w:cs="黑体"/>
          <w:sz w:val="32"/>
          <w:szCs w:val="32"/>
        </w:rPr>
      </w:pPr>
      <w:r>
        <w:rPr>
          <w:rFonts w:ascii="黑体" w:eastAsia="黑体" w:hAnsi="黑体" w:cs="黑体" w:hint="eastAsia"/>
          <w:sz w:val="32"/>
          <w:szCs w:val="32"/>
        </w:rPr>
        <w:lastRenderedPageBreak/>
        <w:t xml:space="preserve">    十、政府性基金预算财政拨款“三公”经费支出决算公开表（见正文附件）。</w:t>
      </w:r>
    </w:p>
    <w:p w:rsidR="00B16EC7" w:rsidRDefault="00B16EC7" w:rsidP="00B16EC7">
      <w:pPr>
        <w:spacing w:before="100" w:beforeAutospacing="1" w:after="100" w:afterAutospacing="1"/>
        <w:rPr>
          <w:rFonts w:ascii="黑体" w:eastAsia="黑体" w:hAnsi="黑体" w:cs="黑体"/>
          <w:sz w:val="32"/>
          <w:szCs w:val="32"/>
        </w:rPr>
      </w:pPr>
      <w:r>
        <w:rPr>
          <w:rFonts w:ascii="黑体" w:eastAsia="黑体" w:hAnsi="黑体" w:cs="黑体" w:hint="eastAsia"/>
          <w:sz w:val="32"/>
          <w:szCs w:val="32"/>
        </w:rPr>
        <w:t xml:space="preserve">    十一、国有资本经营预算财政拨款“三公”经费支出决算公开表（见正文附件）。</w:t>
      </w:r>
    </w:p>
    <w:p w:rsidR="00B16EC7" w:rsidRDefault="00B16EC7" w:rsidP="00B16EC7">
      <w:pPr>
        <w:spacing w:before="100" w:beforeAutospacing="1" w:after="100" w:afterAutospacing="1"/>
        <w:rPr>
          <w:rFonts w:ascii="黑体" w:eastAsia="黑体" w:hAnsi="黑体" w:cs="黑体"/>
          <w:sz w:val="32"/>
          <w:szCs w:val="32"/>
        </w:rPr>
      </w:pPr>
    </w:p>
    <w:p w:rsidR="00B16EC7" w:rsidRDefault="00B16EC7" w:rsidP="00B16EC7">
      <w:pPr>
        <w:spacing w:before="100" w:beforeAutospacing="1" w:after="100" w:afterAutospacing="1"/>
        <w:jc w:val="center"/>
        <w:rPr>
          <w:rFonts w:ascii="黑体" w:eastAsia="黑体" w:hAnsi="ˎ̥"/>
          <w:sz w:val="32"/>
          <w:szCs w:val="32"/>
        </w:rPr>
      </w:pPr>
      <w:bookmarkStart w:id="71" w:name="_Toc4402_WPSOffice_Level1"/>
      <w:bookmarkStart w:id="72" w:name="_Toc31264_WPSOffice_Level1"/>
      <w:bookmarkStart w:id="73" w:name="_Toc16686_WPSOffice_Level1"/>
      <w:bookmarkStart w:id="74" w:name="_Toc28629_WPSOffice_Level1"/>
      <w:bookmarkStart w:id="75" w:name="_Toc27590_WPSOffice_Level1"/>
      <w:bookmarkStart w:id="76" w:name="_Toc29683_WPSOffice_Level1"/>
      <w:r>
        <w:rPr>
          <w:rFonts w:ascii="黑体" w:eastAsia="黑体" w:hAnsi="ˎ̥" w:hint="eastAsia"/>
          <w:sz w:val="32"/>
          <w:szCs w:val="32"/>
        </w:rPr>
        <w:t>第三部分  海南软件职业技术学院2021年度部门决算情况说明</w:t>
      </w:r>
      <w:bookmarkEnd w:id="71"/>
      <w:bookmarkEnd w:id="72"/>
      <w:bookmarkEnd w:id="73"/>
      <w:bookmarkEnd w:id="74"/>
      <w:bookmarkEnd w:id="75"/>
      <w:bookmarkEnd w:id="76"/>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黑体" w:eastAsia="黑体" w:hAnsi="黑体" w:cs="黑体" w:hint="eastAsia"/>
          <w:bCs/>
          <w:sz w:val="32"/>
          <w:szCs w:val="32"/>
        </w:rPr>
        <w:t>一、收入支出决算总体情况说明</w:t>
      </w:r>
      <w:r>
        <w:rPr>
          <w:rFonts w:ascii="黑体" w:eastAsia="黑体" w:hAnsi="黑体" w:cs="黑体" w:hint="eastAsia"/>
          <w:bCs/>
          <w:sz w:val="32"/>
          <w:szCs w:val="32"/>
        </w:rPr>
        <w:br/>
      </w:r>
      <w:r>
        <w:rPr>
          <w:rFonts w:ascii="楷体_GB2312" w:eastAsia="楷体_GB2312" w:hAnsi="ˎ̥" w:hint="eastAsia"/>
          <w:sz w:val="32"/>
          <w:szCs w:val="32"/>
        </w:rPr>
        <w:t xml:space="preserve">    </w:t>
      </w:r>
      <w:r>
        <w:rPr>
          <w:rFonts w:ascii="仿宋_GB2312" w:eastAsia="仿宋_GB2312" w:hAnsi="ˎ̥" w:hint="eastAsia"/>
          <w:sz w:val="32"/>
          <w:szCs w:val="32"/>
        </w:rPr>
        <w:t>2021年度收入总计</w:t>
      </w:r>
      <w:r>
        <w:rPr>
          <w:rFonts w:ascii="仿宋_GB2312" w:eastAsia="仿宋_GB2312" w:hint="eastAsia"/>
          <w:sz w:val="32"/>
          <w:szCs w:val="32"/>
        </w:rPr>
        <w:t>22,342.46</w:t>
      </w:r>
      <w:r>
        <w:rPr>
          <w:rFonts w:ascii="仿宋_GB2312" w:eastAsia="仿宋_GB2312" w:hAnsi="ˎ̥" w:hint="eastAsia"/>
          <w:sz w:val="32"/>
          <w:szCs w:val="32"/>
        </w:rPr>
        <w:t>万元，支出总计</w:t>
      </w:r>
      <w:r>
        <w:rPr>
          <w:rFonts w:ascii="仿宋_GB2312" w:eastAsia="仿宋_GB2312" w:hint="eastAsia"/>
          <w:sz w:val="32"/>
          <w:szCs w:val="32"/>
        </w:rPr>
        <w:t>22,342.46</w:t>
      </w:r>
      <w:r>
        <w:rPr>
          <w:rFonts w:ascii="仿宋_GB2312" w:eastAsia="仿宋_GB2312" w:hAnsi="ˎ̥" w:hint="eastAsia"/>
          <w:sz w:val="32"/>
          <w:szCs w:val="32"/>
        </w:rPr>
        <w:t>万元，与2020年度相比，收入、支出总计各增加4</w:t>
      </w:r>
      <w:r>
        <w:rPr>
          <w:rFonts w:ascii="仿宋_GB2312" w:eastAsia="仿宋_GB2312" w:hint="eastAsia"/>
          <w:sz w:val="32"/>
          <w:szCs w:val="32"/>
        </w:rPr>
        <w:t>,</w:t>
      </w:r>
      <w:r>
        <w:rPr>
          <w:rFonts w:ascii="仿宋_GB2312" w:eastAsia="仿宋_GB2312" w:hAnsi="ˎ̥" w:hint="eastAsia"/>
          <w:sz w:val="32"/>
          <w:szCs w:val="32"/>
        </w:rPr>
        <w:t>741.15万元，增长26.94%。主要原因：一是学生人数增长，生均拨款相应增加；二是学费收入增加。年初结转结余</w:t>
      </w:r>
      <w:r>
        <w:rPr>
          <w:rFonts w:ascii="仿宋_GB2312" w:eastAsia="仿宋_GB2312" w:hint="eastAsia"/>
          <w:sz w:val="32"/>
          <w:szCs w:val="32"/>
        </w:rPr>
        <w:t>93.63</w:t>
      </w:r>
      <w:r>
        <w:rPr>
          <w:rFonts w:ascii="仿宋_GB2312" w:eastAsia="仿宋_GB2312" w:hAnsi="ˎ̥" w:hint="eastAsia"/>
          <w:sz w:val="32"/>
          <w:szCs w:val="32"/>
        </w:rPr>
        <w:t>万元，主要是财政拨款结转56.12万元和非财政拨款结转37.50万元，较2020年度决算数减少122.57万元，下降56.69%，主要原因是项目支出结转和结余较上年有所下降。结余分配</w:t>
      </w:r>
      <w:r>
        <w:rPr>
          <w:rFonts w:ascii="仿宋_GB2312" w:eastAsia="仿宋_GB2312" w:hint="eastAsia"/>
          <w:sz w:val="32"/>
          <w:szCs w:val="32"/>
        </w:rPr>
        <w:t>4.08</w:t>
      </w:r>
      <w:r>
        <w:rPr>
          <w:rFonts w:ascii="仿宋_GB2312" w:eastAsia="仿宋_GB2312" w:hAnsi="ˎ̥" w:hint="eastAsia"/>
          <w:sz w:val="32"/>
          <w:szCs w:val="32"/>
        </w:rPr>
        <w:t>万元，主要是年终将其他结余转非财政拨款结余分配</w:t>
      </w:r>
      <w:r>
        <w:rPr>
          <w:rFonts w:hint="eastAsia"/>
        </w:rPr>
        <w:t>，</w:t>
      </w:r>
      <w:r>
        <w:rPr>
          <w:rFonts w:ascii="仿宋_GB2312" w:eastAsia="仿宋_GB2312" w:hAnsi="ˎ̥" w:hint="eastAsia"/>
          <w:sz w:val="32"/>
          <w:szCs w:val="32"/>
        </w:rPr>
        <w:t>较2020年度决算数减少4.55万元，下降52.72%，主要原因是其他收入减少。年末结转结余</w:t>
      </w:r>
      <w:r>
        <w:rPr>
          <w:rFonts w:ascii="仿宋_GB2312" w:eastAsia="仿宋_GB2312" w:hint="eastAsia"/>
          <w:sz w:val="32"/>
          <w:szCs w:val="32"/>
        </w:rPr>
        <w:t>147.38</w:t>
      </w:r>
      <w:r>
        <w:rPr>
          <w:rFonts w:ascii="仿宋_GB2312" w:eastAsia="仿宋_GB2312" w:hAnsi="ˎ̥" w:hint="eastAsia"/>
          <w:sz w:val="32"/>
          <w:szCs w:val="32"/>
        </w:rPr>
        <w:t>万元，主要是财政拨款结转127.01万元，非财政拨款结转20.37万</w:t>
      </w:r>
      <w:r>
        <w:rPr>
          <w:rFonts w:ascii="仿宋_GB2312" w:eastAsia="仿宋_GB2312" w:hAnsi="ˎ̥" w:hint="eastAsia"/>
          <w:sz w:val="32"/>
          <w:szCs w:val="32"/>
        </w:rPr>
        <w:lastRenderedPageBreak/>
        <w:t>元，较2020年度决算数增加19.66万元，上升15.39%，主要原因是项目结转增加。</w:t>
      </w:r>
    </w:p>
    <w:p w:rsidR="00B16EC7" w:rsidRDefault="00B16EC7" w:rsidP="00B16EC7">
      <w:pPr>
        <w:spacing w:before="100" w:beforeAutospacing="1" w:after="100" w:afterAutospacing="1"/>
        <w:rPr>
          <w:rFonts w:ascii="仿宋_GB2312" w:eastAsia="仿宋_GB2312" w:hAnsi="ˎ̥"/>
          <w:sz w:val="32"/>
          <w:szCs w:val="32"/>
        </w:rPr>
      </w:pPr>
      <w:r>
        <w:rPr>
          <w:rFonts w:ascii="仿宋_GB2312" w:eastAsia="仿宋_GB2312" w:hAnsi="ˎ̥" w:hint="eastAsia"/>
          <w:sz w:val="32"/>
          <w:szCs w:val="32"/>
        </w:rPr>
        <w:t xml:space="preserve">    </w:t>
      </w:r>
      <w:r>
        <w:rPr>
          <w:rFonts w:ascii="黑体" w:eastAsia="黑体" w:hAnsi="黑体" w:cs="黑体" w:hint="eastAsia"/>
          <w:bCs/>
          <w:sz w:val="32"/>
          <w:szCs w:val="32"/>
        </w:rPr>
        <w:t>二、收入决算情况说明</w:t>
      </w:r>
      <w:r>
        <w:rPr>
          <w:rFonts w:ascii="黑体" w:eastAsia="黑体" w:hAnsi="黑体" w:cs="黑体" w:hint="eastAsia"/>
          <w:bCs/>
          <w:sz w:val="32"/>
          <w:szCs w:val="32"/>
        </w:rPr>
        <w:br/>
      </w:r>
      <w:r>
        <w:rPr>
          <w:rFonts w:ascii="仿宋_GB2312" w:eastAsia="仿宋_GB2312" w:hAnsi="ˎ̥" w:hint="eastAsia"/>
          <w:sz w:val="32"/>
          <w:szCs w:val="32"/>
        </w:rPr>
        <w:t xml:space="preserve">    本年收入合计</w:t>
      </w:r>
      <w:r>
        <w:rPr>
          <w:rFonts w:ascii="仿宋_GB2312" w:eastAsia="仿宋_GB2312" w:hint="eastAsia"/>
          <w:sz w:val="32"/>
          <w:szCs w:val="32"/>
        </w:rPr>
        <w:t>22,248.84</w:t>
      </w:r>
      <w:r>
        <w:rPr>
          <w:rFonts w:ascii="仿宋_GB2312" w:eastAsia="仿宋_GB2312" w:hAnsi="ˎ̥" w:hint="eastAsia"/>
          <w:sz w:val="32"/>
          <w:szCs w:val="32"/>
        </w:rPr>
        <w:t>万元，其中：财政拨款收入</w:t>
      </w:r>
      <w:r>
        <w:rPr>
          <w:rFonts w:ascii="仿宋_GB2312" w:eastAsia="仿宋_GB2312" w:hint="eastAsia"/>
          <w:sz w:val="32"/>
          <w:szCs w:val="32"/>
        </w:rPr>
        <w:t>18,133.62</w:t>
      </w:r>
      <w:r>
        <w:rPr>
          <w:rFonts w:ascii="仿宋_GB2312" w:eastAsia="仿宋_GB2312" w:hAnsi="ˎ̥" w:hint="eastAsia"/>
          <w:sz w:val="32"/>
          <w:szCs w:val="32"/>
        </w:rPr>
        <w:t>万元，占81.50%；事业收入</w:t>
      </w:r>
      <w:r>
        <w:rPr>
          <w:rFonts w:ascii="仿宋_GB2312" w:eastAsia="仿宋_GB2312" w:hint="eastAsia"/>
          <w:sz w:val="32"/>
          <w:szCs w:val="32"/>
        </w:rPr>
        <w:t>3,777.57</w:t>
      </w:r>
      <w:r>
        <w:rPr>
          <w:rFonts w:ascii="仿宋_GB2312" w:eastAsia="仿宋_GB2312" w:hAnsi="ˎ̥" w:hint="eastAsia"/>
          <w:sz w:val="32"/>
          <w:szCs w:val="32"/>
        </w:rPr>
        <w:t>万元，占16.98%；其他收入</w:t>
      </w:r>
      <w:r>
        <w:rPr>
          <w:rFonts w:ascii="仿宋_GB2312" w:eastAsia="仿宋_GB2312" w:hint="eastAsia"/>
          <w:sz w:val="32"/>
          <w:szCs w:val="32"/>
        </w:rPr>
        <w:t>337.64</w:t>
      </w:r>
      <w:r>
        <w:rPr>
          <w:rFonts w:ascii="仿宋_GB2312" w:eastAsia="仿宋_GB2312" w:hAnsi="ˎ̥" w:hint="eastAsia"/>
          <w:sz w:val="32"/>
          <w:szCs w:val="32"/>
        </w:rPr>
        <w:t>万元，占1.52%。</w:t>
      </w:r>
    </w:p>
    <w:p w:rsidR="00B16EC7" w:rsidRDefault="00B16EC7" w:rsidP="00B16EC7">
      <w:pPr>
        <w:spacing w:before="100" w:beforeAutospacing="1" w:after="100" w:afterAutospacing="1"/>
        <w:ind w:firstLineChars="200" w:firstLine="640"/>
        <w:rPr>
          <w:rFonts w:ascii="黑体" w:eastAsia="黑体" w:hAnsi="黑体" w:cs="黑体"/>
          <w:bCs/>
          <w:sz w:val="32"/>
          <w:szCs w:val="32"/>
        </w:rPr>
      </w:pPr>
      <w:r>
        <w:rPr>
          <w:rFonts w:ascii="黑体" w:eastAsia="黑体" w:hAnsi="黑体" w:cs="黑体" w:hint="eastAsia"/>
          <w:bCs/>
          <w:sz w:val="32"/>
          <w:szCs w:val="32"/>
        </w:rPr>
        <w:t>三、支出决算情况说明</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本年支出合计22,191.01万元，其中：基本支出10,765.03万元，占48.51%；项目支出11,425.98万元，占51.49%；上缴上级支出0.00万元，占0.00%；经营支出0.00万元，占0.00%；对附属单位补助支出0.00万元，占0.00%。</w:t>
      </w:r>
    </w:p>
    <w:p w:rsidR="00B16EC7" w:rsidRDefault="00B16EC7" w:rsidP="00B16EC7">
      <w:pPr>
        <w:spacing w:before="100" w:beforeAutospacing="1" w:after="100" w:afterAutospacing="1"/>
        <w:ind w:firstLineChars="200" w:firstLine="640"/>
        <w:rPr>
          <w:rFonts w:ascii="黑体" w:eastAsia="黑体" w:hAnsi="黑体" w:cs="黑体"/>
          <w:bCs/>
          <w:sz w:val="32"/>
          <w:szCs w:val="32"/>
        </w:rPr>
      </w:pPr>
      <w:r>
        <w:rPr>
          <w:rFonts w:ascii="黑体" w:eastAsia="黑体" w:hAnsi="黑体" w:cs="黑体" w:hint="eastAsia"/>
          <w:bCs/>
          <w:sz w:val="32"/>
          <w:szCs w:val="32"/>
        </w:rPr>
        <w:t>四、财政拨款收入支出决算总体情况说明</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2021年度财政拨款收入总计18,189.74万元，支出总计18,189.74万元。与2020年度相比，财政拨款收入、支出总计各增加4,802.72万元，增长35.88%。主要原因是学生人数增长，教育投入相应增加。</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财政拨款年初结转结余56.12万元，主要是部分项目资金未能支出，较2020年度决算数减少82.05万元，下降</w:t>
      </w:r>
      <w:r>
        <w:rPr>
          <w:rFonts w:ascii="仿宋_GB2312" w:eastAsia="仿宋_GB2312" w:hAnsi="ˎ̥" w:hint="eastAsia"/>
          <w:sz w:val="32"/>
          <w:szCs w:val="32"/>
        </w:rPr>
        <w:lastRenderedPageBreak/>
        <w:t>59.38%，主要原因是一般公共预算财政拨款年初结转和结余减少。</w:t>
      </w:r>
    </w:p>
    <w:p w:rsidR="00B16EC7" w:rsidRDefault="00B16EC7" w:rsidP="00B16EC7">
      <w:pPr>
        <w:spacing w:before="100" w:beforeAutospacing="1" w:after="100" w:afterAutospacing="1"/>
        <w:ind w:firstLineChars="200" w:firstLine="640"/>
        <w:rPr>
          <w:rFonts w:ascii="仿宋" w:eastAsia="仿宋" w:hAnsi="仿宋"/>
          <w:sz w:val="32"/>
          <w:szCs w:val="32"/>
        </w:rPr>
      </w:pPr>
      <w:r>
        <w:rPr>
          <w:rFonts w:ascii="仿宋" w:eastAsia="仿宋" w:hAnsi="仿宋" w:hint="eastAsia"/>
          <w:sz w:val="32"/>
          <w:szCs w:val="32"/>
        </w:rPr>
        <w:t>年末财政拨款结转结余127.01万元，主要是现代职业教育质量提升专项资金99.78万元、学生资助补助经费3.96万元、自然科学基金5.35万元、高新技术产业发展专项资金6.89万元、科技创新发展计划专项资金11.03万元，较2020年度年</w:t>
      </w:r>
      <w:proofErr w:type="gramStart"/>
      <w:r>
        <w:rPr>
          <w:rFonts w:ascii="仿宋" w:eastAsia="仿宋" w:hAnsi="仿宋" w:hint="eastAsia"/>
          <w:sz w:val="32"/>
          <w:szCs w:val="32"/>
        </w:rPr>
        <w:t>末决</w:t>
      </w:r>
      <w:proofErr w:type="gramEnd"/>
      <w:r>
        <w:rPr>
          <w:rFonts w:ascii="仿宋" w:eastAsia="仿宋" w:hAnsi="仿宋" w:hint="eastAsia"/>
          <w:sz w:val="32"/>
          <w:szCs w:val="32"/>
        </w:rPr>
        <w:t>算数增加36.79万元，增长40.78%，主要原因是中央资金结转。</w:t>
      </w:r>
    </w:p>
    <w:p w:rsidR="00B16EC7" w:rsidRDefault="00B16EC7" w:rsidP="00B16EC7">
      <w:pPr>
        <w:spacing w:before="100" w:beforeAutospacing="1" w:after="100" w:afterAutospacing="1"/>
        <w:ind w:firstLineChars="200" w:firstLine="640"/>
        <w:rPr>
          <w:rFonts w:ascii="黑体" w:eastAsia="黑体" w:hAnsi="黑体" w:cs="黑体"/>
          <w:bCs/>
          <w:sz w:val="32"/>
          <w:szCs w:val="32"/>
        </w:rPr>
      </w:pPr>
      <w:r>
        <w:rPr>
          <w:rFonts w:ascii="黑体" w:eastAsia="黑体" w:hAnsi="黑体" w:cs="黑体" w:hint="eastAsia"/>
          <w:bCs/>
          <w:sz w:val="32"/>
          <w:szCs w:val="32"/>
        </w:rPr>
        <w:t>五、一般公共预算财政拨款支出决算情况说明</w:t>
      </w:r>
    </w:p>
    <w:p w:rsidR="00B16EC7" w:rsidRDefault="00B16EC7" w:rsidP="00B16EC7">
      <w:pPr>
        <w:spacing w:before="100" w:beforeAutospacing="1" w:after="100" w:afterAutospacing="1"/>
        <w:ind w:firstLineChars="200" w:firstLine="640"/>
        <w:rPr>
          <w:rFonts w:ascii="仿宋_GB2312" w:eastAsia="仿宋_GB2312" w:hAnsi="ˎ̥"/>
          <w:sz w:val="32"/>
          <w:szCs w:val="32"/>
        </w:rPr>
      </w:pPr>
      <w:bookmarkStart w:id="77" w:name="_Toc17398_WPSOffice_Level2"/>
      <w:bookmarkStart w:id="78" w:name="_Toc13694_WPSOffice_Level2"/>
      <w:bookmarkStart w:id="79" w:name="_Toc19665_WPSOffice_Level2"/>
      <w:bookmarkStart w:id="80" w:name="_Toc9989_WPSOffice_Level2"/>
      <w:bookmarkStart w:id="81" w:name="_Toc23005_WPSOffice_Level2"/>
      <w:bookmarkStart w:id="82" w:name="_Toc21737_WPSOffice_Level2"/>
      <w:r>
        <w:rPr>
          <w:rFonts w:ascii="仿宋_GB2312" w:eastAsia="仿宋_GB2312" w:hAnsi="ˎ̥" w:hint="eastAsia"/>
          <w:sz w:val="32"/>
          <w:szCs w:val="32"/>
        </w:rPr>
        <w:t>（一）一般公共预算财政拨款支出决算总体情况</w:t>
      </w:r>
      <w:bookmarkEnd w:id="77"/>
      <w:bookmarkEnd w:id="78"/>
      <w:r>
        <w:rPr>
          <w:rFonts w:ascii="仿宋_GB2312" w:eastAsia="仿宋_GB2312" w:hAnsi="ˎ̥" w:hint="eastAsia"/>
          <w:sz w:val="32"/>
          <w:szCs w:val="32"/>
        </w:rPr>
        <w:t>。</w:t>
      </w:r>
      <w:bookmarkEnd w:id="79"/>
      <w:bookmarkEnd w:id="80"/>
      <w:bookmarkEnd w:id="81"/>
      <w:bookmarkEnd w:id="82"/>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2021年度一般公共预算财政拨款支出18,062.73万元，占本年支出合计的81.40%。与2020年度相比，一般公共预算财政拨款支出增加4,765.92万元，增长35.84%，主要原因是学生人数增加，教育投入加大。</w:t>
      </w:r>
    </w:p>
    <w:p w:rsidR="00B16EC7" w:rsidRDefault="00B16EC7" w:rsidP="00B16EC7">
      <w:pPr>
        <w:spacing w:before="100" w:beforeAutospacing="1" w:after="100" w:afterAutospacing="1"/>
        <w:ind w:firstLineChars="200" w:firstLine="640"/>
        <w:rPr>
          <w:rFonts w:ascii="仿宋_GB2312" w:eastAsia="仿宋_GB2312" w:hAnsi="ˎ̥"/>
          <w:sz w:val="32"/>
          <w:szCs w:val="32"/>
        </w:rPr>
      </w:pPr>
      <w:bookmarkStart w:id="83" w:name="_Toc2711_WPSOffice_Level2"/>
      <w:bookmarkStart w:id="84" w:name="_Toc18793_WPSOffice_Level2"/>
      <w:bookmarkStart w:id="85" w:name="_Toc19535_WPSOffice_Level2"/>
      <w:bookmarkStart w:id="86" w:name="_Toc27767_WPSOffice_Level2"/>
      <w:bookmarkStart w:id="87" w:name="_Toc19075_WPSOffice_Level2"/>
      <w:bookmarkStart w:id="88" w:name="_Toc23864_WPSOffice_Level2"/>
      <w:r>
        <w:rPr>
          <w:rFonts w:ascii="仿宋_GB2312" w:eastAsia="仿宋_GB2312" w:hAnsi="ˎ̥" w:hint="eastAsia"/>
          <w:sz w:val="32"/>
          <w:szCs w:val="32"/>
        </w:rPr>
        <w:t>（二）一般公共预算财政拨款支出决算结构情况</w:t>
      </w:r>
      <w:bookmarkEnd w:id="83"/>
      <w:bookmarkEnd w:id="84"/>
      <w:r>
        <w:rPr>
          <w:rFonts w:ascii="仿宋_GB2312" w:eastAsia="仿宋_GB2312" w:hAnsi="ˎ̥" w:hint="eastAsia"/>
          <w:sz w:val="32"/>
          <w:szCs w:val="32"/>
        </w:rPr>
        <w:t>。</w:t>
      </w:r>
      <w:bookmarkEnd w:id="85"/>
      <w:bookmarkEnd w:id="86"/>
      <w:bookmarkEnd w:id="87"/>
      <w:bookmarkEnd w:id="88"/>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2021年度一般公共预算财政拨款支出18,062.73万元，主要用于以下方面：教育（类）支出16,732.60万元，占92.64%；科学技术（类）支出12.34万元，占0.07%；社会保障和就业（类）支出737.94万元，占4.09%；卫生健康（类）支出</w:t>
      </w:r>
      <w:r>
        <w:rPr>
          <w:rFonts w:ascii="仿宋_GB2312" w:eastAsia="仿宋_GB2312" w:hAnsi="ˎ̥" w:hint="eastAsia"/>
          <w:sz w:val="32"/>
          <w:szCs w:val="32"/>
        </w:rPr>
        <w:lastRenderedPageBreak/>
        <w:t>240.43万元，占1.33%；住房保障（类）支出339.43万元，占1.88%。</w:t>
      </w:r>
    </w:p>
    <w:p w:rsidR="00B16EC7" w:rsidRDefault="00B16EC7" w:rsidP="00B16EC7">
      <w:pPr>
        <w:spacing w:before="100" w:beforeAutospacing="1" w:after="100" w:afterAutospacing="1"/>
        <w:ind w:firstLineChars="200" w:firstLine="640"/>
        <w:rPr>
          <w:rFonts w:ascii="仿宋_GB2312" w:eastAsia="仿宋_GB2312" w:hAnsi="ˎ̥"/>
          <w:sz w:val="32"/>
          <w:szCs w:val="32"/>
        </w:rPr>
      </w:pPr>
      <w:bookmarkStart w:id="89" w:name="_Toc25136_WPSOffice_Level2"/>
      <w:bookmarkStart w:id="90" w:name="_Toc29364_WPSOffice_Level2"/>
      <w:bookmarkStart w:id="91" w:name="_Toc21701_WPSOffice_Level2"/>
      <w:bookmarkStart w:id="92" w:name="_Toc22318_WPSOffice_Level2"/>
      <w:bookmarkStart w:id="93" w:name="_Toc15415_WPSOffice_Level2"/>
      <w:bookmarkStart w:id="94" w:name="_Toc9502_WPSOffice_Level2"/>
      <w:r>
        <w:rPr>
          <w:rFonts w:ascii="仿宋_GB2312" w:eastAsia="仿宋_GB2312" w:hAnsi="ˎ̥" w:hint="eastAsia"/>
          <w:sz w:val="32"/>
          <w:szCs w:val="32"/>
        </w:rPr>
        <w:t>（三）一般公共预算财政拨款支出决算具体情况。</w:t>
      </w:r>
      <w:bookmarkEnd w:id="89"/>
      <w:bookmarkEnd w:id="90"/>
      <w:bookmarkEnd w:id="91"/>
      <w:bookmarkEnd w:id="92"/>
      <w:bookmarkEnd w:id="93"/>
      <w:bookmarkEnd w:id="94"/>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2021年度一般公共预算财政拨款支出年初预算为17,894.86万元，支出决算为18,062.73万元，完成年初预算的100.94%。其中：</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1.教育支出（类）职业教育（款）中等职业教（项）。</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年初预算为403.20万元，支出决算为454.67万元，完成年初预算的112.77%。决算数大于预算数的主要原因是预算执行过程中上级部门拨入资金。</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2. 教育支出（类）职业教育（款）高等职业教（项）。</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年初预算为16,197.54万元，支出决算为16,277.93万元，完成年初预算的100.5%。决算数大于预算数的主要原因：一是历年结转和结余无法在年初预算数中体现；二是预算执行过程中上级部门拨入资金。</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3.科学技术支出（类）基础研究（款）自然科学基金（项）。</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lastRenderedPageBreak/>
        <w:t>年初预算为0万元，支出决算为7.34万元。决算数大于预算数的主要原因是历年结转和结余无法在年初预算数中体现。</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4. 科学技术支出（类）其他科学技术支出（款）科技奖励（项）。</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年初预算为0万元，支出决算为5万元。决算数大于预算数的主要原因是历年结转和结余无法在年初预算数中体现。。</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5.社会保障和就业支出（类）行政事业单位养老支出（款）事业单位离退休（项）。</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年初预算为32.28万元，支出决算为34.11万元，完成年初预算的105.67%。决算数大于预算数的主要原因是追加预算资金。</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6. 社会保障和就业支出（类）行政事业单位养老支出（款）机关事业单位基本养老保险缴费支出（项）。</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年初预算为452.58万元，支出决算为452.58万元，完成年初预算的100.00%。</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7. 社会保障和就业支出（类）行政事业单位养老支出（款）机关事业单位职业年金缴费支出（项）。</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lastRenderedPageBreak/>
        <w:t>年初预算为226.29万元，支出决算为226.29万元，完成年初预算的100.00%。</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8. 社会保障和就业支出（类）抚恤（款）死亡抚恤（项）。</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年初预算为0万元，支出决算为21.85万元。决算数大于预算数的主要原因是追加预算资金。</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9. 社会保障和就业支出（类）抚恤（款）其他优抚支出（项）。</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年初预算为3.11万元，支出决算为3.11万元，完成年初预算的100.00%。</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10. 卫生健康支出（类）行政事业单位医疗（款）事业单位医疗（项）。</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年初预算为240.43万元，支出决算为240.43万元，完成年初预算的100.00%。</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11. 住房保障支出（类）住房改革支出（款）住房公积金（项）。</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年初预算为339.43万元，支出决算为339.43万元，完成年初预算的100.00%。</w:t>
      </w:r>
    </w:p>
    <w:p w:rsidR="00B16EC7" w:rsidRDefault="00B16EC7" w:rsidP="00B16EC7">
      <w:pPr>
        <w:spacing w:before="100" w:beforeAutospacing="1" w:after="100" w:afterAutospacing="1"/>
        <w:ind w:firstLineChars="200" w:firstLine="640"/>
        <w:rPr>
          <w:rFonts w:ascii="黑体" w:eastAsia="黑体" w:hAnsi="黑体" w:cs="黑体"/>
          <w:bCs/>
          <w:sz w:val="32"/>
          <w:szCs w:val="32"/>
        </w:rPr>
      </w:pPr>
      <w:r>
        <w:rPr>
          <w:rFonts w:ascii="黑体" w:eastAsia="黑体" w:hAnsi="黑体" w:cs="黑体" w:hint="eastAsia"/>
          <w:bCs/>
          <w:sz w:val="32"/>
          <w:szCs w:val="32"/>
        </w:rPr>
        <w:t>六、一般公共预算财政拨款基本支出决算情况说明。</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lastRenderedPageBreak/>
        <w:t>2021年度财政拨款基本支出6,968.59万元，其中：人员经费5,775.77万元，主要包括：工资福利支出中的基本工资、津贴补贴、绩效工资、机关事业单位基本养老保险缴费、职业年金缴费、职工基本医疗保险缴费、其他社会保障缴费、住房公积金、医疗费、其他工资福利支出；对个人和家庭的补助中的离休费、抚恤金、生活补助、助学金、奖励金、其他对个人和家庭的补助。公用经费1,192.82万元，主要包括：商品和服务支出中的办公费、印刷费、手续费、水费、电费、邮电费、物业管理费、差旅费、维修（护）费、租赁费、培训费、公务接待费、专用材料费、专用燃料费、劳务费、委托业务费、工会经费、公务用车运行维护费、其他交通费用、税金及附加费用、其他商品和服务支出；资本性支出中的办公设备购置、专用设备购置。</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黑体" w:eastAsia="黑体" w:hAnsi="黑体" w:cs="黑体" w:hint="eastAsia"/>
          <w:bCs/>
          <w:sz w:val="32"/>
          <w:szCs w:val="32"/>
        </w:rPr>
        <w:t>七、政府性基金预算财政拨款支出决算情况说明</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（一）政府性基金预算财政拨款支出决算总体情况。</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2021年度政府性基金预算财政拨款支出0.00万元，占本年支出合计的0.00%。</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（二）政府性基金预算财政拨款支出决算结构情况。</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2021年度政府性基金预算财政拨款支出0.00万元。</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lastRenderedPageBreak/>
        <w:t>（三）政府性基金预算财政拨款支出决算具体情况。</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2021年度政府性基金预算财政拨款支出年初预算为0.00万元。</w:t>
      </w:r>
    </w:p>
    <w:p w:rsidR="00B16EC7" w:rsidRDefault="00B16EC7" w:rsidP="00B16EC7">
      <w:pPr>
        <w:spacing w:before="100" w:beforeAutospacing="1" w:after="100" w:afterAutospacing="1"/>
        <w:ind w:firstLineChars="200" w:firstLine="640"/>
        <w:rPr>
          <w:rFonts w:ascii="黑体" w:eastAsia="黑体" w:hAnsi="黑体" w:cs="黑体"/>
          <w:bCs/>
          <w:sz w:val="32"/>
          <w:szCs w:val="32"/>
        </w:rPr>
      </w:pPr>
      <w:r>
        <w:rPr>
          <w:rFonts w:ascii="黑体" w:eastAsia="黑体" w:hAnsi="黑体" w:cs="黑体" w:hint="eastAsia"/>
          <w:bCs/>
          <w:sz w:val="32"/>
          <w:szCs w:val="32"/>
        </w:rPr>
        <w:t>八、国有资本经营预算财政拨款支出决算情况说明</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（一）国有资本经营预算财政拨款支出决算总体情况。</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2021年度国有资本经营预算财政拨款支出0.00万元，占本年支出合计的0.00%。</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（二）国有资本经营预算财政拨款支出决算结构情况。</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2021年度国有资本经营预算财政拨款支出0.00万元。</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（三）国有资本经营预算财政拨款支出决算具体情况。</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2021年度国有资本经营预算财政拨款支出年初预算为0万元。</w:t>
      </w:r>
    </w:p>
    <w:p w:rsidR="00B16EC7" w:rsidRDefault="00B16EC7" w:rsidP="00B16EC7">
      <w:pPr>
        <w:spacing w:before="100" w:beforeAutospacing="1" w:after="100" w:afterAutospacing="1"/>
        <w:ind w:firstLineChars="200" w:firstLine="640"/>
        <w:rPr>
          <w:rFonts w:ascii="黑体" w:eastAsia="黑体" w:hAnsi="黑体" w:cs="黑体"/>
          <w:bCs/>
          <w:sz w:val="32"/>
          <w:szCs w:val="32"/>
        </w:rPr>
      </w:pPr>
      <w:r>
        <w:rPr>
          <w:rFonts w:ascii="黑体" w:eastAsia="黑体" w:hAnsi="黑体" w:cs="黑体" w:hint="eastAsia"/>
          <w:bCs/>
          <w:sz w:val="32"/>
          <w:szCs w:val="32"/>
        </w:rPr>
        <w:t>九、一般公共预算财政拨款“三公”经费支出决算情况说明</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（一）一般公共预算财政拨款“三公”经费支出决算总体情况说明。</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lastRenderedPageBreak/>
        <w:t>2021年度一般公共预算财政拨款“三公”经费支出预算为26.96万元，支出决算为18.92万元，完成预算的70.18%。</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（二）一般公共预算财政拨款“三公”经费支出决算具体情况说明。</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2021年度一般公共预算财政拨款“三公”经费支出决算中，因公出国（境）费支出决算0.00万元，占0.00%；公务用车购置及运行维护费支出决算12.18万元，占64.38%；公务接待费支出决算6.74万元，占35.62%。具体情况如下：</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1.因公出国（境）费支出0.00万元。全年安排因公出国（境）团组0个，因公出国（境）0人次。</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2.公务用车购置及运行维护费支出12.18万元。其中：</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公务用车购置支出0.00万元，全年购置公务用车0辆，年末公务用车保有量4辆。</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公务用车运行维护费支出12.18万元，主要用于燃料费、维修费、年审费、保险费等项目。</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公务用车购置及运行费支出决算数比预算数减少0.02万元，下降0.16%。主要原因是公务用车报废两辆，车辆运行维护费下降。</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lastRenderedPageBreak/>
        <w:t>国内接待费支出6.74万元，国内公务接待92批次，接待699人次；主要用于其他院校及企业来校洽谈校企合作等事宜、邀请专家来校讲座等。</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国（境）外接待费支出0万元，国（境）外公务接待0批次，接待0人次。</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公务接待费支出决算数比预算数减少8.02万元，下降54.34%。主要原因是厉行节约，严格控制支出。</w:t>
      </w:r>
    </w:p>
    <w:p w:rsidR="00B16EC7" w:rsidRDefault="00B16EC7" w:rsidP="00B16EC7">
      <w:pPr>
        <w:spacing w:before="100" w:beforeAutospacing="1" w:after="100" w:afterAutospacing="1"/>
        <w:ind w:firstLineChars="200" w:firstLine="640"/>
        <w:rPr>
          <w:rFonts w:ascii="黑体" w:eastAsia="黑体" w:hAnsi="黑体" w:cs="黑体"/>
          <w:bCs/>
          <w:sz w:val="32"/>
          <w:szCs w:val="32"/>
        </w:rPr>
      </w:pPr>
      <w:r>
        <w:rPr>
          <w:rFonts w:ascii="黑体" w:eastAsia="黑体" w:hAnsi="黑体" w:cs="黑体" w:hint="eastAsia"/>
          <w:bCs/>
          <w:sz w:val="32"/>
          <w:szCs w:val="32"/>
        </w:rPr>
        <w:t>十、政府性基金预算财政拨款“三公”经费支出决算情况说明</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2021年度政府性基金预算财政拨款“三公”经费支出合计0.00万元。其中：因公出国（境）费支出决算0.00万元，占0.00%；公务用车购置及运行维护费支出决算0.00万元，占0.00%；公务接待费支出决算0.00万元，占0.00%。</w:t>
      </w:r>
    </w:p>
    <w:p w:rsidR="00B16EC7" w:rsidRDefault="00B16EC7" w:rsidP="00B16EC7">
      <w:pPr>
        <w:spacing w:before="100" w:beforeAutospacing="1" w:after="100" w:afterAutospacing="1"/>
        <w:ind w:firstLineChars="200" w:firstLine="640"/>
        <w:rPr>
          <w:rFonts w:ascii="黑体" w:eastAsia="黑体" w:hAnsi="黑体" w:cs="黑体"/>
          <w:bCs/>
          <w:sz w:val="32"/>
          <w:szCs w:val="32"/>
        </w:rPr>
      </w:pPr>
      <w:r>
        <w:rPr>
          <w:rFonts w:ascii="黑体" w:eastAsia="黑体" w:hAnsi="黑体" w:cs="黑体" w:hint="eastAsia"/>
          <w:bCs/>
          <w:sz w:val="32"/>
          <w:szCs w:val="32"/>
        </w:rPr>
        <w:t>十一、国有资本经营预算财政拨款“三公”经费支出决算情况说明</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2021年度国有资本经营预算财政拨款“三公”经费支出合计0.00万元。其中：因公出国（境）费支出决算0.00万元，占0.00%；公务用车购置及运行维护费支出决算0.00万元，占0.00%；公务接待费支出决算0.00万元，占0.00%。</w:t>
      </w:r>
    </w:p>
    <w:p w:rsidR="00B16EC7" w:rsidRDefault="00B16EC7" w:rsidP="00B16EC7">
      <w:pPr>
        <w:spacing w:before="100" w:beforeAutospacing="1" w:after="100" w:afterAutospacing="1"/>
        <w:ind w:firstLineChars="200" w:firstLine="640"/>
        <w:rPr>
          <w:rFonts w:ascii="黑体" w:eastAsia="黑体" w:hAnsi="黑体" w:cs="黑体"/>
          <w:bCs/>
          <w:sz w:val="32"/>
          <w:szCs w:val="32"/>
        </w:rPr>
      </w:pPr>
      <w:r>
        <w:rPr>
          <w:rFonts w:ascii="黑体" w:eastAsia="黑体" w:hAnsi="黑体" w:cs="黑体" w:hint="eastAsia"/>
          <w:bCs/>
          <w:sz w:val="32"/>
          <w:szCs w:val="32"/>
        </w:rPr>
        <w:lastRenderedPageBreak/>
        <w:t>十二、预算绩效情况说明。</w:t>
      </w:r>
    </w:p>
    <w:p w:rsidR="00FF63F6" w:rsidRPr="00B72C7E" w:rsidRDefault="00FF63F6" w:rsidP="00B72C7E">
      <w:pPr>
        <w:spacing w:before="100" w:beforeAutospacing="1" w:after="100" w:afterAutospacing="1"/>
        <w:ind w:firstLineChars="200" w:firstLine="643"/>
        <w:rPr>
          <w:rFonts w:ascii="楷体" w:eastAsia="楷体" w:hAnsi="楷体" w:cs="楷体"/>
          <w:b/>
          <w:sz w:val="32"/>
          <w:szCs w:val="32"/>
        </w:rPr>
      </w:pPr>
      <w:r w:rsidRPr="00B72C7E">
        <w:rPr>
          <w:rFonts w:ascii="楷体" w:eastAsia="楷体" w:hAnsi="楷体" w:cs="楷体" w:hint="eastAsia"/>
          <w:b/>
          <w:sz w:val="32"/>
          <w:szCs w:val="32"/>
        </w:rPr>
        <w:t>（一）绩效管理工作开展情况。</w:t>
      </w:r>
    </w:p>
    <w:p w:rsidR="00F37B38" w:rsidRDefault="00F37B38" w:rsidP="003162C0">
      <w:pPr>
        <w:spacing w:before="100" w:beforeAutospacing="1" w:after="100" w:afterAutospacing="1"/>
        <w:ind w:firstLineChars="200" w:firstLine="640"/>
        <w:rPr>
          <w:rFonts w:ascii="仿宋_GB2312" w:eastAsia="仿宋_GB2312" w:hAnsi="ˎ̥"/>
          <w:sz w:val="32"/>
          <w:szCs w:val="32"/>
        </w:rPr>
      </w:pPr>
      <w:r w:rsidRPr="00F37B38">
        <w:rPr>
          <w:rFonts w:ascii="仿宋_GB2312" w:eastAsia="仿宋_GB2312" w:hAnsi="ˎ̥" w:hint="eastAsia"/>
          <w:sz w:val="32"/>
          <w:szCs w:val="32"/>
        </w:rPr>
        <w:t>根据财政预算管理要求，我单位组织对2021年度一般公共预算项目支出全面开展绩效自评。自评项目</w:t>
      </w:r>
      <w:r w:rsidRPr="006D5355">
        <w:rPr>
          <w:rFonts w:ascii="仿宋_GB2312" w:eastAsia="仿宋_GB2312" w:hAnsi="ˎ̥" w:hint="eastAsia"/>
          <w:sz w:val="32"/>
          <w:szCs w:val="32"/>
        </w:rPr>
        <w:t>7</w:t>
      </w:r>
      <w:r w:rsidRPr="00F37B38">
        <w:rPr>
          <w:rFonts w:ascii="仿宋_GB2312" w:eastAsia="仿宋_GB2312" w:hAnsi="ˎ̥" w:hint="eastAsia"/>
          <w:sz w:val="32"/>
          <w:szCs w:val="32"/>
        </w:rPr>
        <w:t>个，共涉及资金</w:t>
      </w:r>
      <w:r w:rsidRPr="006D5355">
        <w:rPr>
          <w:rFonts w:ascii="仿宋_GB2312" w:eastAsia="仿宋_GB2312" w:hAnsi="ˎ̥" w:hint="eastAsia"/>
          <w:sz w:val="32"/>
          <w:szCs w:val="32"/>
        </w:rPr>
        <w:t>8</w:t>
      </w:r>
      <w:r>
        <w:rPr>
          <w:rFonts w:ascii="仿宋_GB2312" w:eastAsia="仿宋_GB2312" w:hAnsi="ˎ̥" w:hint="eastAsia"/>
          <w:sz w:val="32"/>
          <w:szCs w:val="32"/>
        </w:rPr>
        <w:t>,</w:t>
      </w:r>
      <w:r w:rsidRPr="006D5355">
        <w:rPr>
          <w:rFonts w:ascii="仿宋_GB2312" w:eastAsia="仿宋_GB2312" w:hAnsi="ˎ̥" w:hint="eastAsia"/>
          <w:sz w:val="32"/>
          <w:szCs w:val="32"/>
        </w:rPr>
        <w:t>161.13</w:t>
      </w:r>
      <w:r w:rsidRPr="00F37B38">
        <w:rPr>
          <w:rFonts w:ascii="仿宋_GB2312" w:eastAsia="仿宋_GB2312" w:hAnsi="ˎ̥" w:hint="eastAsia"/>
          <w:sz w:val="32"/>
          <w:szCs w:val="32"/>
        </w:rPr>
        <w:t>万元，自评覆盖率达到</w:t>
      </w:r>
      <w:r w:rsidRPr="006D5355">
        <w:rPr>
          <w:rFonts w:ascii="仿宋_GB2312" w:eastAsia="仿宋_GB2312" w:hAnsi="ˎ̥" w:hint="eastAsia"/>
          <w:sz w:val="32"/>
          <w:szCs w:val="32"/>
        </w:rPr>
        <w:t>100</w:t>
      </w:r>
      <w:r w:rsidRPr="00F37B38">
        <w:rPr>
          <w:rFonts w:ascii="仿宋_GB2312" w:eastAsia="仿宋_GB2312" w:hAnsi="ˎ̥" w:hint="eastAsia"/>
          <w:sz w:val="32"/>
          <w:szCs w:val="32"/>
        </w:rPr>
        <w:t>%。</w:t>
      </w:r>
    </w:p>
    <w:p w:rsidR="00D84456" w:rsidRPr="00B72C7E" w:rsidRDefault="0096377D" w:rsidP="00B72C7E">
      <w:pPr>
        <w:spacing w:before="100" w:beforeAutospacing="1" w:after="100" w:afterAutospacing="1"/>
        <w:ind w:firstLineChars="200" w:firstLine="643"/>
        <w:rPr>
          <w:rFonts w:ascii="楷体" w:eastAsia="楷体" w:hAnsi="楷体" w:cs="楷体"/>
          <w:b/>
          <w:sz w:val="32"/>
          <w:szCs w:val="32"/>
        </w:rPr>
      </w:pPr>
      <w:r w:rsidRPr="00B72C7E">
        <w:rPr>
          <w:rFonts w:ascii="楷体" w:eastAsia="楷体" w:hAnsi="楷体" w:cs="楷体" w:hint="eastAsia"/>
          <w:b/>
          <w:sz w:val="32"/>
          <w:szCs w:val="32"/>
        </w:rPr>
        <w:t>（二）部门决算</w:t>
      </w:r>
      <w:proofErr w:type="gramStart"/>
      <w:r w:rsidRPr="00B72C7E">
        <w:rPr>
          <w:rFonts w:ascii="楷体" w:eastAsia="楷体" w:hAnsi="楷体" w:cs="楷体" w:hint="eastAsia"/>
          <w:b/>
          <w:sz w:val="32"/>
          <w:szCs w:val="32"/>
        </w:rPr>
        <w:t>中项目</w:t>
      </w:r>
      <w:proofErr w:type="gramEnd"/>
      <w:r w:rsidRPr="00B72C7E">
        <w:rPr>
          <w:rFonts w:ascii="楷体" w:eastAsia="楷体" w:hAnsi="楷体" w:cs="楷体" w:hint="eastAsia"/>
          <w:b/>
          <w:sz w:val="32"/>
          <w:szCs w:val="32"/>
        </w:rPr>
        <w:t>绩效自评结果。</w:t>
      </w:r>
    </w:p>
    <w:p w:rsidR="00CB06FB" w:rsidRDefault="008B74A9" w:rsidP="008B74A9">
      <w:pPr>
        <w:spacing w:before="100" w:beforeAutospacing="1" w:after="100" w:afterAutospacing="1"/>
        <w:ind w:firstLineChars="200" w:firstLine="640"/>
        <w:rPr>
          <w:rFonts w:ascii="仿宋_GB2312" w:eastAsia="仿宋_GB2312" w:hAnsi="ˎ̥"/>
          <w:sz w:val="32"/>
          <w:szCs w:val="32"/>
        </w:rPr>
      </w:pPr>
      <w:r>
        <w:rPr>
          <w:rFonts w:ascii="仿宋_GB2312" w:eastAsia="仿宋_GB2312" w:hint="eastAsia"/>
          <w:sz w:val="32"/>
          <w:szCs w:val="32"/>
        </w:rPr>
        <w:t>我单位在部门决算中</w:t>
      </w:r>
      <w:r w:rsidR="00B72C7E">
        <w:rPr>
          <w:rFonts w:ascii="仿宋_GB2312" w:eastAsia="仿宋_GB2312" w:hint="eastAsia"/>
          <w:sz w:val="32"/>
          <w:szCs w:val="32"/>
        </w:rPr>
        <w:t>对</w:t>
      </w:r>
      <w:r>
        <w:rPr>
          <w:rFonts w:ascii="仿宋_GB2312" w:eastAsia="仿宋_GB2312" w:hAnsi="ˎ̥" w:hint="eastAsia"/>
          <w:sz w:val="32"/>
          <w:szCs w:val="32"/>
        </w:rPr>
        <w:t>“</w:t>
      </w:r>
      <w:r w:rsidR="00CB06FB" w:rsidRPr="006D5355">
        <w:rPr>
          <w:rFonts w:ascii="仿宋_GB2312" w:eastAsia="仿宋_GB2312" w:hAnsi="ˎ̥" w:hint="eastAsia"/>
          <w:sz w:val="32"/>
          <w:szCs w:val="32"/>
        </w:rPr>
        <w:t>教育发展专项资金、现代职业教育质量提升资金、学生资助补助经费</w:t>
      </w:r>
      <w:r w:rsidR="00CB06FB" w:rsidRPr="00F37B38">
        <w:rPr>
          <w:rFonts w:ascii="仿宋_GB2312" w:eastAsia="仿宋_GB2312" w:hAnsi="ˎ̥" w:hint="eastAsia"/>
          <w:sz w:val="32"/>
          <w:szCs w:val="32"/>
        </w:rPr>
        <w:t>”等</w:t>
      </w:r>
      <w:r w:rsidR="00CB06FB" w:rsidRPr="006D5355">
        <w:rPr>
          <w:rFonts w:ascii="仿宋_GB2312" w:eastAsia="仿宋_GB2312" w:hAnsi="ˎ̥" w:hint="eastAsia"/>
          <w:sz w:val="32"/>
          <w:szCs w:val="32"/>
        </w:rPr>
        <w:t>3</w:t>
      </w:r>
      <w:r w:rsidR="00CB06FB" w:rsidRPr="00F37B38">
        <w:rPr>
          <w:rFonts w:ascii="仿宋_GB2312" w:eastAsia="仿宋_GB2312" w:hAnsi="ˎ̥" w:hint="eastAsia"/>
          <w:sz w:val="32"/>
          <w:szCs w:val="32"/>
        </w:rPr>
        <w:t>个项目开展了部门评价，涉及资金</w:t>
      </w:r>
      <w:r w:rsidR="00CB06FB">
        <w:rPr>
          <w:rFonts w:ascii="仿宋_GB2312" w:eastAsia="仿宋_GB2312" w:hAnsi="ˎ̥" w:hint="eastAsia"/>
          <w:sz w:val="32"/>
          <w:szCs w:val="32"/>
        </w:rPr>
        <w:t>7657.18</w:t>
      </w:r>
      <w:r w:rsidR="00CB06FB" w:rsidRPr="00F37B38">
        <w:rPr>
          <w:rFonts w:ascii="仿宋_GB2312" w:eastAsia="仿宋_GB2312" w:hAnsi="ˎ̥" w:hint="eastAsia"/>
          <w:sz w:val="32"/>
          <w:szCs w:val="32"/>
        </w:rPr>
        <w:t>万元。从评价情况来看，</w:t>
      </w:r>
      <w:r w:rsidR="00CB06FB" w:rsidRPr="006D5355">
        <w:rPr>
          <w:rFonts w:ascii="仿宋_GB2312" w:eastAsia="仿宋_GB2312" w:hAnsi="ˎ̥" w:hint="eastAsia"/>
          <w:sz w:val="32"/>
          <w:szCs w:val="32"/>
        </w:rPr>
        <w:t>教育发展专项资金</w:t>
      </w:r>
      <w:r w:rsidR="00CB06FB">
        <w:rPr>
          <w:rFonts w:ascii="仿宋_GB2312" w:eastAsia="仿宋_GB2312" w:hAnsi="ˎ̥" w:hint="eastAsia"/>
          <w:sz w:val="32"/>
          <w:szCs w:val="32"/>
        </w:rPr>
        <w:t>、</w:t>
      </w:r>
      <w:r w:rsidR="00CB06FB" w:rsidRPr="006D5355">
        <w:rPr>
          <w:rFonts w:ascii="仿宋_GB2312" w:eastAsia="仿宋_GB2312" w:hAnsi="ˎ̥" w:hint="eastAsia"/>
          <w:sz w:val="32"/>
          <w:szCs w:val="32"/>
        </w:rPr>
        <w:t>现代职业教育质量提升资金</w:t>
      </w:r>
      <w:r w:rsidR="00CB06FB" w:rsidRPr="003162C0">
        <w:rPr>
          <w:rFonts w:ascii="仿宋_GB2312" w:eastAsia="仿宋_GB2312" w:hAnsi="ˎ̥" w:hint="eastAsia"/>
          <w:sz w:val="32"/>
          <w:szCs w:val="32"/>
        </w:rPr>
        <w:t>专项具有明确的目标，项目实施过程中严格按照海南省相关项目管理和经费管理的规定执行，资金到位及时，使用得当；项目已经按计划完成，并具有较好的经济和社会评价。综合评价：优秀</w:t>
      </w:r>
      <w:r w:rsidR="00CB06FB" w:rsidRPr="00F37B38">
        <w:rPr>
          <w:rFonts w:ascii="仿宋_GB2312" w:eastAsia="仿宋_GB2312" w:hAnsi="ˎ̥" w:hint="eastAsia"/>
          <w:sz w:val="32"/>
          <w:szCs w:val="32"/>
        </w:rPr>
        <w:t>。</w:t>
      </w:r>
      <w:r w:rsidR="00CB06FB" w:rsidRPr="006D5355">
        <w:rPr>
          <w:rFonts w:ascii="仿宋_GB2312" w:eastAsia="仿宋_GB2312" w:hAnsi="ˎ̥" w:hint="eastAsia"/>
          <w:sz w:val="32"/>
          <w:szCs w:val="32"/>
        </w:rPr>
        <w:t>学生资助补助经费</w:t>
      </w:r>
      <w:r w:rsidR="00CB06FB" w:rsidRPr="003162C0">
        <w:rPr>
          <w:rFonts w:ascii="仿宋_GB2312" w:eastAsia="仿宋_GB2312" w:hAnsi="ˎ̥" w:hint="eastAsia"/>
          <w:sz w:val="32"/>
          <w:szCs w:val="32"/>
        </w:rPr>
        <w:t>项目从可持续发展角度而言，整体发挥的社会效益明显，家庭经济困难学生不再因学费问题失去上学机会，充分享有了公平的教育机会。在校家庭经济困难学生不再为生活费用发愁，不再因经济问题辍学或流失，可以踏踏实实地安心学习。评价结论：优秀。</w:t>
      </w:r>
    </w:p>
    <w:p w:rsidR="003162C0" w:rsidRPr="00B72C7E" w:rsidRDefault="00C50914" w:rsidP="00B72C7E">
      <w:pPr>
        <w:spacing w:before="100" w:beforeAutospacing="1" w:after="100" w:afterAutospacing="1"/>
        <w:ind w:firstLineChars="200" w:firstLine="643"/>
        <w:rPr>
          <w:rFonts w:ascii="楷体" w:eastAsia="楷体" w:hAnsi="楷体" w:cs="楷体"/>
          <w:b/>
          <w:sz w:val="32"/>
          <w:szCs w:val="32"/>
        </w:rPr>
      </w:pPr>
      <w:r w:rsidRPr="00B72C7E">
        <w:rPr>
          <w:rFonts w:ascii="楷体" w:eastAsia="楷体" w:hAnsi="楷体" w:cs="楷体" w:hint="eastAsia"/>
          <w:b/>
          <w:sz w:val="32"/>
          <w:szCs w:val="32"/>
        </w:rPr>
        <w:t>（三）财政评价项目绩效评价结果。</w:t>
      </w:r>
    </w:p>
    <w:p w:rsidR="00C50914" w:rsidRDefault="00C50914" w:rsidP="00C50914">
      <w:pPr>
        <w:spacing w:before="100" w:beforeAutospacing="1" w:after="100" w:afterAutospacing="1"/>
        <w:ind w:firstLineChars="200" w:firstLine="640"/>
        <w:rPr>
          <w:rFonts w:ascii="仿宋_GB2312" w:eastAsia="仿宋_GB2312" w:hAnsi="ˎ̥"/>
          <w:sz w:val="32"/>
          <w:szCs w:val="32"/>
        </w:rPr>
      </w:pPr>
      <w:r w:rsidRPr="00C50914">
        <w:rPr>
          <w:rFonts w:ascii="仿宋_GB2312" w:eastAsia="仿宋_GB2312" w:hAnsi="ˎ̥" w:hint="eastAsia"/>
          <w:sz w:val="32"/>
          <w:szCs w:val="32"/>
        </w:rPr>
        <w:lastRenderedPageBreak/>
        <w:t>无。</w:t>
      </w:r>
    </w:p>
    <w:p w:rsidR="00C50914" w:rsidRPr="00B72C7E" w:rsidRDefault="00C50914" w:rsidP="00B72C7E">
      <w:pPr>
        <w:spacing w:before="100" w:beforeAutospacing="1" w:after="100" w:afterAutospacing="1"/>
        <w:ind w:firstLineChars="200" w:firstLine="643"/>
        <w:rPr>
          <w:rFonts w:ascii="楷体" w:eastAsia="楷体" w:hAnsi="楷体" w:cs="楷体"/>
          <w:b/>
          <w:sz w:val="32"/>
          <w:szCs w:val="32"/>
        </w:rPr>
      </w:pPr>
      <w:r w:rsidRPr="00B72C7E">
        <w:rPr>
          <w:rFonts w:ascii="楷体" w:eastAsia="楷体" w:hAnsi="楷体" w:cs="楷体" w:hint="eastAsia"/>
          <w:b/>
          <w:sz w:val="32"/>
          <w:szCs w:val="32"/>
        </w:rPr>
        <w:t>（四）部门评价项目绩效评价结果。</w:t>
      </w:r>
    </w:p>
    <w:p w:rsidR="00C50914" w:rsidRPr="00C50914" w:rsidRDefault="00C50914" w:rsidP="00C50914">
      <w:pPr>
        <w:spacing w:before="100" w:beforeAutospacing="1" w:after="100" w:afterAutospacing="1"/>
        <w:ind w:firstLineChars="200" w:firstLine="640"/>
        <w:rPr>
          <w:rFonts w:ascii="仿宋_GB2312" w:eastAsia="仿宋_GB2312" w:hAnsi="ˎ̥"/>
          <w:sz w:val="32"/>
          <w:szCs w:val="32"/>
        </w:rPr>
      </w:pPr>
      <w:r w:rsidRPr="00C50914">
        <w:rPr>
          <w:rFonts w:ascii="仿宋_GB2312" w:eastAsia="仿宋_GB2312" w:hAnsi="ˎ̥" w:hint="eastAsia"/>
          <w:sz w:val="32"/>
          <w:szCs w:val="32"/>
        </w:rPr>
        <w:t>无。</w:t>
      </w:r>
      <w:r w:rsidR="00B72C7E" w:rsidRPr="00B72C7E">
        <w:rPr>
          <w:rFonts w:ascii="仿宋_GB2312" w:eastAsia="仿宋_GB2312" w:hAnsi="ˎ̥" w:hint="eastAsia"/>
          <w:sz w:val="32"/>
          <w:szCs w:val="32"/>
        </w:rPr>
        <w:t>二级预算单位未开展此项工作。</w:t>
      </w:r>
    </w:p>
    <w:p w:rsidR="00B16EC7" w:rsidRDefault="00B16EC7" w:rsidP="00B16EC7">
      <w:pPr>
        <w:spacing w:before="100" w:beforeAutospacing="1" w:after="100" w:afterAutospacing="1"/>
        <w:ind w:firstLineChars="200" w:firstLine="640"/>
        <w:rPr>
          <w:rFonts w:ascii="黑体" w:eastAsia="黑体" w:hAnsi="黑体" w:cs="黑体"/>
          <w:bCs/>
          <w:sz w:val="32"/>
          <w:szCs w:val="32"/>
        </w:rPr>
      </w:pPr>
      <w:r>
        <w:rPr>
          <w:rFonts w:ascii="黑体" w:eastAsia="黑体" w:hAnsi="黑体" w:cs="黑体" w:hint="eastAsia"/>
          <w:bCs/>
          <w:sz w:val="32"/>
          <w:szCs w:val="32"/>
        </w:rPr>
        <w:t>十三、其他重要事项情况说明。</w:t>
      </w:r>
    </w:p>
    <w:p w:rsidR="00B16EC7" w:rsidRDefault="00B16EC7" w:rsidP="00B16EC7">
      <w:pPr>
        <w:spacing w:before="100" w:beforeAutospacing="1" w:after="100" w:afterAutospacing="1"/>
        <w:ind w:firstLineChars="200" w:firstLine="643"/>
        <w:rPr>
          <w:rFonts w:ascii="楷体" w:eastAsia="楷体" w:hAnsi="楷体" w:cs="楷体"/>
          <w:b/>
          <w:sz w:val="32"/>
          <w:szCs w:val="32"/>
        </w:rPr>
      </w:pPr>
      <w:bookmarkStart w:id="95" w:name="_Toc5978_WPSOffice_Level2"/>
      <w:bookmarkStart w:id="96" w:name="_Toc23598_WPSOffice_Level2"/>
      <w:bookmarkStart w:id="97" w:name="_Toc32639_WPSOffice_Level2"/>
      <w:bookmarkStart w:id="98" w:name="_Toc18325_WPSOffice_Level2"/>
      <w:bookmarkStart w:id="99" w:name="_Toc15262_WPSOffice_Level2"/>
      <w:bookmarkStart w:id="100" w:name="_Toc15565_WPSOffice_Level2"/>
      <w:r>
        <w:rPr>
          <w:rFonts w:ascii="楷体" w:eastAsia="楷体" w:hAnsi="楷体" w:cs="楷体" w:hint="eastAsia"/>
          <w:b/>
          <w:sz w:val="32"/>
          <w:szCs w:val="32"/>
        </w:rPr>
        <w:t>（一）机关运行经费支出情况。</w:t>
      </w:r>
      <w:bookmarkEnd w:id="95"/>
      <w:bookmarkEnd w:id="96"/>
      <w:bookmarkEnd w:id="97"/>
      <w:bookmarkEnd w:id="98"/>
      <w:bookmarkEnd w:id="99"/>
      <w:bookmarkEnd w:id="100"/>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2021年度海南软件职业技术学院机关运行经费0万元（事业单位没有机关运行经费支出）。</w:t>
      </w:r>
    </w:p>
    <w:p w:rsidR="00B16EC7" w:rsidRDefault="00B16EC7" w:rsidP="00B16EC7">
      <w:pPr>
        <w:spacing w:before="100" w:beforeAutospacing="1" w:after="100" w:afterAutospacing="1"/>
        <w:ind w:firstLineChars="200" w:firstLine="643"/>
        <w:rPr>
          <w:rFonts w:ascii="楷体" w:eastAsia="楷体" w:hAnsi="楷体" w:cs="楷体"/>
          <w:b/>
          <w:sz w:val="32"/>
          <w:szCs w:val="32"/>
        </w:rPr>
      </w:pPr>
      <w:bookmarkStart w:id="101" w:name="_Toc3131_WPSOffice_Level2"/>
      <w:bookmarkStart w:id="102" w:name="_Toc25333_WPSOffice_Level2"/>
      <w:bookmarkStart w:id="103" w:name="_Toc32689_WPSOffice_Level2"/>
      <w:bookmarkStart w:id="104" w:name="_Toc23966_WPSOffice_Level2"/>
      <w:bookmarkStart w:id="105" w:name="_Toc30383_WPSOffice_Level2"/>
      <w:bookmarkStart w:id="106" w:name="_Toc13084_WPSOffice_Level2"/>
      <w:r>
        <w:rPr>
          <w:rFonts w:ascii="楷体" w:eastAsia="楷体" w:hAnsi="楷体" w:cs="楷体" w:hint="eastAsia"/>
          <w:b/>
          <w:sz w:val="32"/>
          <w:szCs w:val="32"/>
        </w:rPr>
        <w:t>（二）政府采购支出情况。</w:t>
      </w:r>
      <w:bookmarkEnd w:id="101"/>
      <w:bookmarkEnd w:id="102"/>
      <w:bookmarkEnd w:id="103"/>
      <w:bookmarkEnd w:id="104"/>
      <w:bookmarkEnd w:id="105"/>
      <w:bookmarkEnd w:id="106"/>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2021年度海南软件职业技术学院政府采购支出总额809.90万元，其中：政府采购货物支出809.90万元、政府采购工程支出0万元、政府采购服务支出0万元。授予中小企业合同金额0万元，占政府采购支出总额的0.00%，其中：授予小</w:t>
      </w:r>
      <w:proofErr w:type="gramStart"/>
      <w:r>
        <w:rPr>
          <w:rFonts w:ascii="仿宋_GB2312" w:eastAsia="仿宋_GB2312" w:hAnsi="ˎ̥" w:hint="eastAsia"/>
          <w:sz w:val="32"/>
          <w:szCs w:val="32"/>
        </w:rPr>
        <w:t>微企业</w:t>
      </w:r>
      <w:proofErr w:type="gramEnd"/>
      <w:r>
        <w:rPr>
          <w:rFonts w:ascii="仿宋_GB2312" w:eastAsia="仿宋_GB2312" w:hAnsi="ˎ̥" w:hint="eastAsia"/>
          <w:sz w:val="32"/>
          <w:szCs w:val="32"/>
        </w:rPr>
        <w:t>合同金额0万元，占政府采购支出总额的0.00%。</w:t>
      </w:r>
    </w:p>
    <w:p w:rsidR="00B16EC7" w:rsidRDefault="00B16EC7" w:rsidP="00B16EC7">
      <w:pPr>
        <w:spacing w:before="100" w:beforeAutospacing="1" w:after="100" w:afterAutospacing="1"/>
        <w:ind w:firstLineChars="200" w:firstLine="643"/>
        <w:rPr>
          <w:rFonts w:ascii="楷体" w:eastAsia="楷体" w:hAnsi="楷体" w:cs="楷体"/>
          <w:b/>
          <w:sz w:val="32"/>
          <w:szCs w:val="32"/>
        </w:rPr>
      </w:pPr>
      <w:bookmarkStart w:id="107" w:name="_Toc6016_WPSOffice_Level2"/>
      <w:bookmarkStart w:id="108" w:name="_Toc527_WPSOffice_Level2"/>
      <w:bookmarkStart w:id="109" w:name="_Toc10902_WPSOffice_Level2"/>
      <w:bookmarkStart w:id="110" w:name="_Toc15129_WPSOffice_Level2"/>
      <w:bookmarkStart w:id="111" w:name="_Toc19989_WPSOffice_Level2"/>
      <w:bookmarkStart w:id="112" w:name="_Toc29584_WPSOffice_Level2"/>
      <w:r>
        <w:rPr>
          <w:rFonts w:ascii="楷体" w:eastAsia="楷体" w:hAnsi="楷体" w:cs="楷体" w:hint="eastAsia"/>
          <w:b/>
          <w:sz w:val="32"/>
          <w:szCs w:val="32"/>
        </w:rPr>
        <w:t>（三）国有资产占用情况。</w:t>
      </w:r>
      <w:bookmarkEnd w:id="107"/>
      <w:bookmarkEnd w:id="108"/>
      <w:bookmarkEnd w:id="109"/>
      <w:bookmarkEnd w:id="110"/>
      <w:bookmarkEnd w:id="111"/>
      <w:bookmarkEnd w:id="112"/>
    </w:p>
    <w:p w:rsidR="00B16EC7" w:rsidRDefault="00B16EC7" w:rsidP="00B16EC7">
      <w:pPr>
        <w:spacing w:before="100" w:beforeAutospacing="1" w:after="100" w:afterAutospacing="1" w:line="578" w:lineRule="exact"/>
        <w:ind w:firstLineChars="200" w:firstLine="640"/>
        <w:rPr>
          <w:rFonts w:ascii="仿宋_GB2312" w:eastAsia="仿宋_GB2312" w:hAnsi="ˎ̥"/>
          <w:sz w:val="32"/>
          <w:szCs w:val="32"/>
        </w:rPr>
      </w:pPr>
      <w:r>
        <w:rPr>
          <w:rFonts w:ascii="仿宋_GB2312" w:eastAsia="仿宋_GB2312" w:hAnsi="ˎ̥" w:hint="eastAsia"/>
          <w:sz w:val="32"/>
          <w:szCs w:val="32"/>
        </w:rPr>
        <w:t>截至2021年12月31日，本单位占用房屋面积187,746.19平方米，其中：办公用房187,746.19平方米，业务用房0平方米，其他（不含构筑物）0平方米。</w:t>
      </w:r>
    </w:p>
    <w:p w:rsidR="00B16EC7" w:rsidRDefault="00B16EC7" w:rsidP="00B16EC7">
      <w:pPr>
        <w:spacing w:before="100" w:beforeAutospacing="1" w:after="100" w:afterAutospacing="1" w:line="578" w:lineRule="exact"/>
        <w:ind w:firstLineChars="200" w:firstLine="640"/>
        <w:rPr>
          <w:rFonts w:ascii="仿宋_GB2312" w:eastAsia="仿宋_GB2312" w:hAnsi="ˎ̥"/>
          <w:sz w:val="32"/>
          <w:szCs w:val="32"/>
        </w:rPr>
      </w:pPr>
      <w:r>
        <w:rPr>
          <w:rFonts w:ascii="仿宋_GB2312" w:eastAsia="仿宋_GB2312" w:hAnsi="ˎ̥" w:hint="eastAsia"/>
          <w:sz w:val="32"/>
          <w:szCs w:val="32"/>
        </w:rPr>
        <w:lastRenderedPageBreak/>
        <w:t>本部门共有车辆4辆，从车辆种类说明：轿车4辆、越野车0辆、小型载客汽车0辆、大中型载客汽车0辆、其他车型0辆；从车辆使用情况说明：副部（省）级及以上领导用车0辆、主要领导干部用车0辆、机要通信用车0辆、应急保障用车0辆、执法执勤用车0辆、特种专业技术用车0辆、离退休干部用车0辆、其他用车4辆。</w:t>
      </w:r>
    </w:p>
    <w:p w:rsidR="00B16EC7" w:rsidRDefault="00B16EC7" w:rsidP="00B16EC7">
      <w:pPr>
        <w:spacing w:before="100" w:beforeAutospacing="1" w:after="100" w:afterAutospacing="1" w:line="578" w:lineRule="exact"/>
        <w:ind w:firstLineChars="200" w:firstLine="640"/>
        <w:rPr>
          <w:rFonts w:ascii="仿宋_GB2312" w:eastAsia="仿宋_GB2312" w:hAnsi="ˎ̥"/>
          <w:sz w:val="32"/>
          <w:szCs w:val="32"/>
        </w:rPr>
      </w:pPr>
      <w:r>
        <w:rPr>
          <w:rFonts w:ascii="仿宋_GB2312" w:eastAsia="仿宋_GB2312" w:hAnsi="ˎ̥" w:hint="eastAsia"/>
          <w:sz w:val="32"/>
          <w:szCs w:val="32"/>
        </w:rPr>
        <w:t>单位价值50万元（含）以上通用设备0台（套），单价100万元（含）以上专用设备0台（套）。</w:t>
      </w:r>
    </w:p>
    <w:p w:rsidR="00B16EC7" w:rsidRDefault="00B16EC7" w:rsidP="00B16EC7">
      <w:pPr>
        <w:spacing w:before="100" w:beforeAutospacing="1" w:after="100" w:afterAutospacing="1" w:line="578" w:lineRule="exact"/>
        <w:ind w:firstLineChars="200" w:firstLine="640"/>
        <w:rPr>
          <w:rFonts w:ascii="仿宋_GB2312" w:eastAsia="仿宋_GB2312" w:hAnsi="ˎ̥"/>
          <w:sz w:val="32"/>
          <w:szCs w:val="32"/>
        </w:rPr>
      </w:pPr>
      <w:r>
        <w:rPr>
          <w:rFonts w:ascii="仿宋_GB2312" w:eastAsia="仿宋_GB2312" w:hAnsi="ˎ̥" w:hint="eastAsia"/>
          <w:sz w:val="32"/>
          <w:szCs w:val="32"/>
        </w:rPr>
        <w:t>年末在建工程953.20万元。</w:t>
      </w:r>
    </w:p>
    <w:p w:rsidR="00B16EC7" w:rsidRDefault="00B16EC7" w:rsidP="00B16EC7">
      <w:pPr>
        <w:spacing w:before="100" w:beforeAutospacing="1" w:after="100" w:afterAutospacing="1"/>
        <w:jc w:val="center"/>
        <w:rPr>
          <w:rFonts w:ascii="黑体" w:eastAsia="黑体" w:hAnsi="ˎ̥"/>
          <w:sz w:val="32"/>
          <w:szCs w:val="32"/>
        </w:rPr>
      </w:pPr>
      <w:bookmarkStart w:id="113" w:name="_Toc17580_WPSOffice_Level1"/>
      <w:bookmarkStart w:id="114" w:name="_Toc15425_WPSOffice_Level1"/>
      <w:bookmarkStart w:id="115" w:name="_Toc4398_WPSOffice_Level1"/>
      <w:bookmarkStart w:id="116" w:name="_Toc8808_WPSOffice_Level1"/>
      <w:bookmarkStart w:id="117" w:name="_Toc11039_WPSOffice_Level1"/>
      <w:bookmarkStart w:id="118" w:name="_Toc8874_WPSOffice_Level1"/>
    </w:p>
    <w:p w:rsidR="00B16EC7" w:rsidRDefault="00B16EC7" w:rsidP="00B16EC7">
      <w:pPr>
        <w:spacing w:before="100" w:beforeAutospacing="1" w:after="100" w:afterAutospacing="1"/>
        <w:jc w:val="center"/>
        <w:rPr>
          <w:rFonts w:ascii="黑体" w:eastAsia="黑体" w:hAnsi="ˎ̥"/>
          <w:sz w:val="32"/>
          <w:szCs w:val="32"/>
        </w:rPr>
      </w:pPr>
      <w:r>
        <w:rPr>
          <w:rFonts w:ascii="黑体" w:eastAsia="黑体" w:hAnsi="ˎ̥" w:hint="eastAsia"/>
          <w:sz w:val="32"/>
          <w:szCs w:val="32"/>
        </w:rPr>
        <w:t>第四部分  名词解释</w:t>
      </w:r>
      <w:bookmarkEnd w:id="113"/>
      <w:bookmarkEnd w:id="114"/>
      <w:bookmarkEnd w:id="115"/>
      <w:bookmarkEnd w:id="116"/>
      <w:bookmarkEnd w:id="117"/>
      <w:bookmarkEnd w:id="118"/>
    </w:p>
    <w:p w:rsidR="00B16EC7" w:rsidRDefault="00B16EC7" w:rsidP="00B16EC7">
      <w:pPr>
        <w:pStyle w:val="a5"/>
        <w:numPr>
          <w:ilvl w:val="0"/>
          <w:numId w:val="3"/>
        </w:numPr>
        <w:spacing w:before="100" w:beforeAutospacing="1" w:after="100" w:afterAutospacing="1"/>
        <w:ind w:firstLineChars="0"/>
        <w:rPr>
          <w:rFonts w:ascii="仿宋_GB2312" w:eastAsia="仿宋_GB2312" w:hAnsi="ˎ̥"/>
          <w:sz w:val="32"/>
          <w:szCs w:val="32"/>
        </w:rPr>
      </w:pPr>
      <w:r>
        <w:rPr>
          <w:rFonts w:ascii="仿宋_GB2312" w:eastAsia="仿宋_GB2312" w:hAnsi="ˎ̥" w:hint="eastAsia"/>
          <w:sz w:val="32"/>
          <w:szCs w:val="32"/>
        </w:rPr>
        <w:t>财政拨款收入：指同级政府财政部</w:t>
      </w:r>
      <w:proofErr w:type="gramStart"/>
      <w:r>
        <w:rPr>
          <w:rFonts w:ascii="仿宋_GB2312" w:eastAsia="仿宋_GB2312" w:hAnsi="ˎ̥" w:hint="eastAsia"/>
          <w:sz w:val="32"/>
          <w:szCs w:val="32"/>
        </w:rPr>
        <w:t>门当年</w:t>
      </w:r>
      <w:proofErr w:type="gramEnd"/>
      <w:r>
        <w:rPr>
          <w:rFonts w:ascii="仿宋_GB2312" w:eastAsia="仿宋_GB2312" w:hAnsi="ˎ̥" w:hint="eastAsia"/>
          <w:sz w:val="32"/>
          <w:szCs w:val="32"/>
        </w:rPr>
        <w:t>拨付的</w:t>
      </w:r>
    </w:p>
    <w:p w:rsidR="00B16EC7" w:rsidRDefault="00B16EC7" w:rsidP="00B16EC7">
      <w:pPr>
        <w:spacing w:before="100" w:beforeAutospacing="1" w:after="100" w:afterAutospacing="1"/>
        <w:rPr>
          <w:rFonts w:ascii="仿宋_GB2312" w:eastAsia="仿宋_GB2312" w:hAnsi="ˎ̥"/>
          <w:sz w:val="32"/>
          <w:szCs w:val="32"/>
        </w:rPr>
      </w:pPr>
      <w:r>
        <w:rPr>
          <w:rFonts w:ascii="仿宋_GB2312" w:eastAsia="仿宋_GB2312" w:hAnsi="ˎ̥" w:hint="eastAsia"/>
          <w:sz w:val="32"/>
          <w:szCs w:val="32"/>
        </w:rPr>
        <w:t>各</w:t>
      </w:r>
      <w:proofErr w:type="gramStart"/>
      <w:r>
        <w:rPr>
          <w:rFonts w:ascii="仿宋_GB2312" w:eastAsia="仿宋_GB2312" w:hAnsi="ˎ̥" w:hint="eastAsia"/>
          <w:sz w:val="32"/>
          <w:szCs w:val="32"/>
        </w:rPr>
        <w:t>类财政</w:t>
      </w:r>
      <w:proofErr w:type="gramEnd"/>
      <w:r>
        <w:rPr>
          <w:rFonts w:ascii="仿宋_GB2312" w:eastAsia="仿宋_GB2312" w:hAnsi="ˎ̥" w:hint="eastAsia"/>
          <w:sz w:val="32"/>
          <w:szCs w:val="32"/>
        </w:rPr>
        <w:t>拨款。</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二、上级补助收入：指事业单位从主管部门和上级单位取得的非财政补助收入。</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三、事业收入：指事业单位开展专业业务活动及辅助活动取得的收入。</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四、经营收入：指事业单位在专业业务活动及其辅助活动之外开展非独立核算经营活动取得的收入。</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lastRenderedPageBreak/>
        <w:t>五、附属单位上缴收入：指事业单位取得附属独立核算单位根据有关规定上缴的收入。</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六、其他收入：指除上述“财政拨款收入”“事业收入”“上级补助收入”“经营收入”“附属单位上缴收入”等以外的收入。</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七、使用非财政拨款结余：指事业单位在当年的“财政拨款收入”“事业收入”“经营收入”“其他收入”等不足以安排当年支出的情况下，使用以前年度积累的非限定用途的非同级财政拨款结余资金弥补本年度收支缺口。</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八、年初结转和结余：指以前年度尚未完成、结转到本年按有关规定继续使用的资金。</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九、结余分配：指事业单位按规定提取的专用基金和缴纳的所得税。</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十、年末结转和结余：指本年度或以前年度预算安排、因客观条件发生变化无法按原计划实施，需要延迟到以后年度按有关规定继续使用的资金。</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十一、基本支出：指为保障机构正常运转、完成日常工作任务而发生的人员支出和公用支出。</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lastRenderedPageBreak/>
        <w:t>十二、项目支出：指在基本支出之外为完成特定行政任务和事业发展目标所发生的支出。</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十三、经营支出：指事业单位在专业业务活动及其辅助活动之外开展非独立核算经营活动发生的支出。</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十四、“三公”经费：纳入本级财政预决算管理的“三公”经费，是指本级部门用一般公共预算</w:t>
      </w:r>
      <w:proofErr w:type="gramStart"/>
      <w:r>
        <w:rPr>
          <w:rFonts w:ascii="仿宋_GB2312" w:eastAsia="仿宋_GB2312" w:hAnsi="ˎ̥" w:hint="eastAsia"/>
          <w:sz w:val="32"/>
          <w:szCs w:val="32"/>
        </w:rPr>
        <w:t>财政财政</w:t>
      </w:r>
      <w:proofErr w:type="gramEnd"/>
      <w:r>
        <w:rPr>
          <w:rFonts w:ascii="仿宋_GB2312" w:eastAsia="仿宋_GB2312" w:hAnsi="ˎ̥" w:hint="eastAsia"/>
          <w:sz w:val="32"/>
          <w:szCs w:val="32"/>
        </w:rPr>
        <w:t>拨款安排的因公出国（境）费、公务用车购置及运行维护费和公务接待费。其中，因公出国（境）</w:t>
      </w:r>
      <w:proofErr w:type="gramStart"/>
      <w:r>
        <w:rPr>
          <w:rFonts w:ascii="仿宋_GB2312" w:eastAsia="仿宋_GB2312" w:hAnsi="ˎ̥" w:hint="eastAsia"/>
          <w:sz w:val="32"/>
          <w:szCs w:val="32"/>
        </w:rPr>
        <w:t>费反映</w:t>
      </w:r>
      <w:proofErr w:type="gramEnd"/>
      <w:r>
        <w:rPr>
          <w:rFonts w:ascii="仿宋_GB2312" w:eastAsia="仿宋_GB2312" w:hAnsi="ˎ̥" w:hint="eastAsia"/>
          <w:sz w:val="32"/>
          <w:szCs w:val="32"/>
        </w:rPr>
        <w:t>单位公务出国（境）的国际旅费、国外城市间交通费、住宿费、伙食费、培训费、公杂费等支出；公务用车购置及运行维护费反映单位公务用车车辆购置支出（</w:t>
      </w:r>
      <w:proofErr w:type="gramStart"/>
      <w:r>
        <w:rPr>
          <w:rFonts w:ascii="仿宋_GB2312" w:eastAsia="仿宋_GB2312" w:hAnsi="ˎ̥" w:hint="eastAsia"/>
          <w:sz w:val="32"/>
          <w:szCs w:val="32"/>
        </w:rPr>
        <w:t>含车辆</w:t>
      </w:r>
      <w:proofErr w:type="gramEnd"/>
      <w:r>
        <w:rPr>
          <w:rFonts w:ascii="仿宋_GB2312" w:eastAsia="仿宋_GB2312" w:hAnsi="ˎ̥" w:hint="eastAsia"/>
          <w:sz w:val="32"/>
          <w:szCs w:val="32"/>
        </w:rPr>
        <w:t>购置税、牌照费）及燃料费、维修费、过路过桥费、保险费、安全奖励费用等支出；公务接待</w:t>
      </w:r>
      <w:proofErr w:type="gramStart"/>
      <w:r>
        <w:rPr>
          <w:rFonts w:ascii="仿宋_GB2312" w:eastAsia="仿宋_GB2312" w:hAnsi="ˎ̥" w:hint="eastAsia"/>
          <w:sz w:val="32"/>
          <w:szCs w:val="32"/>
        </w:rPr>
        <w:t>费反映</w:t>
      </w:r>
      <w:proofErr w:type="gramEnd"/>
      <w:r>
        <w:rPr>
          <w:rFonts w:ascii="仿宋_GB2312" w:eastAsia="仿宋_GB2312" w:hAnsi="ˎ̥" w:hint="eastAsia"/>
          <w:sz w:val="32"/>
          <w:szCs w:val="32"/>
        </w:rPr>
        <w:t>单位按规定开支的各类公务接待（含外宾接待）费用。</w:t>
      </w:r>
    </w:p>
    <w:p w:rsidR="00B16EC7" w:rsidRDefault="00B16EC7" w:rsidP="00B16EC7">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十五、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4D0607" w:rsidRPr="00B16EC7" w:rsidRDefault="004D0607"/>
    <w:sectPr w:rsidR="004D0607" w:rsidRPr="00B16EC7">
      <w:pgSz w:w="11907"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12C9" w:rsidRDefault="00A712C9" w:rsidP="00B16EC7">
      <w:r>
        <w:separator/>
      </w:r>
    </w:p>
  </w:endnote>
  <w:endnote w:type="continuationSeparator" w:id="0">
    <w:p w:rsidR="00A712C9" w:rsidRDefault="00A712C9" w:rsidP="00B16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12C9" w:rsidRDefault="00A712C9" w:rsidP="00B16EC7">
      <w:r>
        <w:separator/>
      </w:r>
    </w:p>
  </w:footnote>
  <w:footnote w:type="continuationSeparator" w:id="0">
    <w:p w:rsidR="00A712C9" w:rsidRDefault="00A712C9" w:rsidP="00B16E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B0F85"/>
    <w:multiLevelType w:val="hybridMultilevel"/>
    <w:tmpl w:val="A61CF940"/>
    <w:lvl w:ilvl="0" w:tplc="A05C6EBC">
      <w:start w:val="1"/>
      <w:numFmt w:val="japaneseCounting"/>
      <w:lvlText w:val="%1、"/>
      <w:lvlJc w:val="left"/>
      <w:pPr>
        <w:ind w:left="1360" w:hanging="720"/>
      </w:pPr>
    </w:lvl>
    <w:lvl w:ilvl="1" w:tplc="04090019">
      <w:start w:val="1"/>
      <w:numFmt w:val="lowerLetter"/>
      <w:lvlText w:val="%2)"/>
      <w:lvlJc w:val="left"/>
      <w:pPr>
        <w:ind w:left="1480" w:hanging="420"/>
      </w:pPr>
    </w:lvl>
    <w:lvl w:ilvl="2" w:tplc="0409001B">
      <w:start w:val="1"/>
      <w:numFmt w:val="lowerRoman"/>
      <w:lvlText w:val="%3."/>
      <w:lvlJc w:val="right"/>
      <w:pPr>
        <w:ind w:left="1900" w:hanging="420"/>
      </w:pPr>
    </w:lvl>
    <w:lvl w:ilvl="3" w:tplc="0409000F">
      <w:start w:val="1"/>
      <w:numFmt w:val="decimal"/>
      <w:lvlText w:val="%4."/>
      <w:lvlJc w:val="left"/>
      <w:pPr>
        <w:ind w:left="2320" w:hanging="420"/>
      </w:pPr>
    </w:lvl>
    <w:lvl w:ilvl="4" w:tplc="04090019">
      <w:start w:val="1"/>
      <w:numFmt w:val="lowerLetter"/>
      <w:lvlText w:val="%5)"/>
      <w:lvlJc w:val="left"/>
      <w:pPr>
        <w:ind w:left="2740" w:hanging="420"/>
      </w:pPr>
    </w:lvl>
    <w:lvl w:ilvl="5" w:tplc="0409001B">
      <w:start w:val="1"/>
      <w:numFmt w:val="lowerRoman"/>
      <w:lvlText w:val="%6."/>
      <w:lvlJc w:val="right"/>
      <w:pPr>
        <w:ind w:left="3160" w:hanging="420"/>
      </w:pPr>
    </w:lvl>
    <w:lvl w:ilvl="6" w:tplc="0409000F">
      <w:start w:val="1"/>
      <w:numFmt w:val="decimal"/>
      <w:lvlText w:val="%7."/>
      <w:lvlJc w:val="left"/>
      <w:pPr>
        <w:ind w:left="3580" w:hanging="420"/>
      </w:pPr>
    </w:lvl>
    <w:lvl w:ilvl="7" w:tplc="04090019">
      <w:start w:val="1"/>
      <w:numFmt w:val="lowerLetter"/>
      <w:lvlText w:val="%8)"/>
      <w:lvlJc w:val="left"/>
      <w:pPr>
        <w:ind w:left="4000" w:hanging="420"/>
      </w:pPr>
    </w:lvl>
    <w:lvl w:ilvl="8" w:tplc="0409001B">
      <w:start w:val="1"/>
      <w:numFmt w:val="lowerRoman"/>
      <w:lvlText w:val="%9."/>
      <w:lvlJc w:val="right"/>
      <w:pPr>
        <w:ind w:left="4420" w:hanging="420"/>
      </w:pPr>
    </w:lvl>
  </w:abstractNum>
  <w:abstractNum w:abstractNumId="1">
    <w:nsid w:val="2AF3636D"/>
    <w:multiLevelType w:val="hybridMultilevel"/>
    <w:tmpl w:val="A45AB24C"/>
    <w:lvl w:ilvl="0" w:tplc="539E55F2">
      <w:start w:val="6"/>
      <w:numFmt w:val="japaneseCounting"/>
      <w:lvlText w:val="%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7FC16F5F"/>
    <w:multiLevelType w:val="hybridMultilevel"/>
    <w:tmpl w:val="8668AAB2"/>
    <w:lvl w:ilvl="0" w:tplc="977613B0">
      <w:start w:val="1"/>
      <w:numFmt w:val="japaneseCounting"/>
      <w:lvlText w:val="%1、"/>
      <w:lvlJc w:val="left"/>
      <w:pPr>
        <w:ind w:left="1360" w:hanging="720"/>
      </w:pPr>
    </w:lvl>
    <w:lvl w:ilvl="1" w:tplc="04090019">
      <w:start w:val="1"/>
      <w:numFmt w:val="lowerLetter"/>
      <w:lvlText w:val="%2)"/>
      <w:lvlJc w:val="left"/>
      <w:pPr>
        <w:ind w:left="1480" w:hanging="420"/>
      </w:pPr>
    </w:lvl>
    <w:lvl w:ilvl="2" w:tplc="0409001B">
      <w:start w:val="1"/>
      <w:numFmt w:val="lowerRoman"/>
      <w:lvlText w:val="%3."/>
      <w:lvlJc w:val="right"/>
      <w:pPr>
        <w:ind w:left="1900" w:hanging="420"/>
      </w:pPr>
    </w:lvl>
    <w:lvl w:ilvl="3" w:tplc="0409000F">
      <w:start w:val="1"/>
      <w:numFmt w:val="decimal"/>
      <w:lvlText w:val="%4."/>
      <w:lvlJc w:val="left"/>
      <w:pPr>
        <w:ind w:left="2320" w:hanging="420"/>
      </w:pPr>
    </w:lvl>
    <w:lvl w:ilvl="4" w:tplc="04090019">
      <w:start w:val="1"/>
      <w:numFmt w:val="lowerLetter"/>
      <w:lvlText w:val="%5)"/>
      <w:lvlJc w:val="left"/>
      <w:pPr>
        <w:ind w:left="2740" w:hanging="420"/>
      </w:pPr>
    </w:lvl>
    <w:lvl w:ilvl="5" w:tplc="0409001B">
      <w:start w:val="1"/>
      <w:numFmt w:val="lowerRoman"/>
      <w:lvlText w:val="%6."/>
      <w:lvlJc w:val="right"/>
      <w:pPr>
        <w:ind w:left="3160" w:hanging="420"/>
      </w:pPr>
    </w:lvl>
    <w:lvl w:ilvl="6" w:tplc="0409000F">
      <w:start w:val="1"/>
      <w:numFmt w:val="decimal"/>
      <w:lvlText w:val="%7."/>
      <w:lvlJc w:val="left"/>
      <w:pPr>
        <w:ind w:left="3580" w:hanging="420"/>
      </w:pPr>
    </w:lvl>
    <w:lvl w:ilvl="7" w:tplc="04090019">
      <w:start w:val="1"/>
      <w:numFmt w:val="lowerLetter"/>
      <w:lvlText w:val="%8)"/>
      <w:lvlJc w:val="left"/>
      <w:pPr>
        <w:ind w:left="4000" w:hanging="420"/>
      </w:pPr>
    </w:lvl>
    <w:lvl w:ilvl="8" w:tplc="0409001B">
      <w:start w:val="1"/>
      <w:numFmt w:val="lowerRoman"/>
      <w:lvlText w:val="%9."/>
      <w:lvlJc w:val="right"/>
      <w:pPr>
        <w:ind w:left="4420" w:hanging="420"/>
      </w:pPr>
    </w:lvl>
  </w:abstractNum>
  <w:num w:numId="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77B2"/>
    <w:rsid w:val="00057BD9"/>
    <w:rsid w:val="000F7512"/>
    <w:rsid w:val="00110073"/>
    <w:rsid w:val="00190F12"/>
    <w:rsid w:val="002077D5"/>
    <w:rsid w:val="003162C0"/>
    <w:rsid w:val="004D0607"/>
    <w:rsid w:val="006004FD"/>
    <w:rsid w:val="00634403"/>
    <w:rsid w:val="006D5355"/>
    <w:rsid w:val="00787530"/>
    <w:rsid w:val="00884501"/>
    <w:rsid w:val="008B74A9"/>
    <w:rsid w:val="0096377D"/>
    <w:rsid w:val="00A712C9"/>
    <w:rsid w:val="00A76217"/>
    <w:rsid w:val="00AC77B2"/>
    <w:rsid w:val="00B16EC7"/>
    <w:rsid w:val="00B323EB"/>
    <w:rsid w:val="00B72C7E"/>
    <w:rsid w:val="00C50914"/>
    <w:rsid w:val="00CB06FB"/>
    <w:rsid w:val="00CD206B"/>
    <w:rsid w:val="00D84456"/>
    <w:rsid w:val="00F37B38"/>
    <w:rsid w:val="00FF63F6"/>
    <w:rsid w:val="00FF7A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6EC7"/>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6E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6EC7"/>
    <w:rPr>
      <w:sz w:val="18"/>
      <w:szCs w:val="18"/>
    </w:rPr>
  </w:style>
  <w:style w:type="paragraph" w:styleId="a4">
    <w:name w:val="footer"/>
    <w:basedOn w:val="a"/>
    <w:link w:val="Char0"/>
    <w:uiPriority w:val="99"/>
    <w:unhideWhenUsed/>
    <w:rsid w:val="00B16EC7"/>
    <w:pPr>
      <w:tabs>
        <w:tab w:val="center" w:pos="4153"/>
        <w:tab w:val="right" w:pos="8306"/>
      </w:tabs>
      <w:snapToGrid w:val="0"/>
    </w:pPr>
    <w:rPr>
      <w:sz w:val="18"/>
      <w:szCs w:val="18"/>
    </w:rPr>
  </w:style>
  <w:style w:type="character" w:customStyle="1" w:styleId="Char0">
    <w:name w:val="页脚 Char"/>
    <w:basedOn w:val="a0"/>
    <w:link w:val="a4"/>
    <w:uiPriority w:val="99"/>
    <w:rsid w:val="00B16EC7"/>
    <w:rPr>
      <w:sz w:val="18"/>
      <w:szCs w:val="18"/>
    </w:rPr>
  </w:style>
  <w:style w:type="paragraph" w:styleId="a5">
    <w:name w:val="List Paragraph"/>
    <w:basedOn w:val="a"/>
    <w:uiPriority w:val="34"/>
    <w:qFormat/>
    <w:rsid w:val="00B16EC7"/>
    <w:pPr>
      <w:ind w:firstLineChars="200" w:firstLine="420"/>
    </w:pPr>
  </w:style>
  <w:style w:type="paragraph" w:customStyle="1" w:styleId="wpsoffice1">
    <w:name w:val="wpsoffice1"/>
    <w:basedOn w:val="a"/>
    <w:rsid w:val="00B16EC7"/>
    <w:pPr>
      <w:spacing w:before="100" w:beforeAutospacing="1" w:after="100" w:afterAutospacing="1"/>
    </w:pPr>
  </w:style>
  <w:style w:type="paragraph" w:customStyle="1" w:styleId="wpsoffice2">
    <w:name w:val="wpsoffice2"/>
    <w:basedOn w:val="a"/>
    <w:rsid w:val="00B16EC7"/>
    <w:pPr>
      <w:spacing w:before="100" w:beforeAutospacing="1" w:after="100" w:afterAutospacing="1"/>
    </w:pPr>
  </w:style>
  <w:style w:type="paragraph" w:customStyle="1" w:styleId="1CharCharChar">
    <w:name w:val="正文1 Char Char Char"/>
    <w:basedOn w:val="a"/>
    <w:rsid w:val="00F37B38"/>
    <w:pPr>
      <w:widowControl w:val="0"/>
      <w:spacing w:line="360" w:lineRule="auto"/>
      <w:ind w:firstLineChars="200" w:firstLine="200"/>
      <w:jc w:val="both"/>
    </w:pPr>
    <w:rPr>
      <w:rFonts w:ascii="Times New Roman" w:hAnsi="Times New Roman" w:cs="Times New Roman"/>
      <w:kern w:val="2"/>
      <w:sz w:val="21"/>
    </w:rPr>
  </w:style>
  <w:style w:type="character" w:styleId="a6">
    <w:name w:val="Strong"/>
    <w:basedOn w:val="a0"/>
    <w:uiPriority w:val="22"/>
    <w:qFormat/>
    <w:rsid w:val="00FF63F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6EC7"/>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6E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6EC7"/>
    <w:rPr>
      <w:sz w:val="18"/>
      <w:szCs w:val="18"/>
    </w:rPr>
  </w:style>
  <w:style w:type="paragraph" w:styleId="a4">
    <w:name w:val="footer"/>
    <w:basedOn w:val="a"/>
    <w:link w:val="Char0"/>
    <w:uiPriority w:val="99"/>
    <w:unhideWhenUsed/>
    <w:rsid w:val="00B16EC7"/>
    <w:pPr>
      <w:tabs>
        <w:tab w:val="center" w:pos="4153"/>
        <w:tab w:val="right" w:pos="8306"/>
      </w:tabs>
      <w:snapToGrid w:val="0"/>
    </w:pPr>
    <w:rPr>
      <w:sz w:val="18"/>
      <w:szCs w:val="18"/>
    </w:rPr>
  </w:style>
  <w:style w:type="character" w:customStyle="1" w:styleId="Char0">
    <w:name w:val="页脚 Char"/>
    <w:basedOn w:val="a0"/>
    <w:link w:val="a4"/>
    <w:uiPriority w:val="99"/>
    <w:rsid w:val="00B16EC7"/>
    <w:rPr>
      <w:sz w:val="18"/>
      <w:szCs w:val="18"/>
    </w:rPr>
  </w:style>
  <w:style w:type="paragraph" w:styleId="a5">
    <w:name w:val="List Paragraph"/>
    <w:basedOn w:val="a"/>
    <w:uiPriority w:val="34"/>
    <w:qFormat/>
    <w:rsid w:val="00B16EC7"/>
    <w:pPr>
      <w:ind w:firstLineChars="200" w:firstLine="420"/>
    </w:pPr>
  </w:style>
  <w:style w:type="paragraph" w:customStyle="1" w:styleId="wpsoffice1">
    <w:name w:val="wpsoffice1"/>
    <w:basedOn w:val="a"/>
    <w:rsid w:val="00B16EC7"/>
    <w:pPr>
      <w:spacing w:before="100" w:beforeAutospacing="1" w:after="100" w:afterAutospacing="1"/>
    </w:pPr>
  </w:style>
  <w:style w:type="paragraph" w:customStyle="1" w:styleId="wpsoffice2">
    <w:name w:val="wpsoffice2"/>
    <w:basedOn w:val="a"/>
    <w:rsid w:val="00B16EC7"/>
    <w:pPr>
      <w:spacing w:before="100" w:beforeAutospacing="1" w:after="100" w:afterAutospacing="1"/>
    </w:pPr>
  </w:style>
  <w:style w:type="paragraph" w:customStyle="1" w:styleId="1CharCharChar">
    <w:name w:val="正文1 Char Char Char"/>
    <w:basedOn w:val="a"/>
    <w:rsid w:val="00F37B38"/>
    <w:pPr>
      <w:widowControl w:val="0"/>
      <w:spacing w:line="360" w:lineRule="auto"/>
      <w:ind w:firstLineChars="200" w:firstLine="200"/>
      <w:jc w:val="both"/>
    </w:pPr>
    <w:rPr>
      <w:rFonts w:ascii="Times New Roman" w:hAnsi="Times New Roman" w:cs="Times New Roman"/>
      <w:kern w:val="2"/>
      <w:sz w:val="21"/>
    </w:rPr>
  </w:style>
  <w:style w:type="character" w:styleId="a6">
    <w:name w:val="Strong"/>
    <w:basedOn w:val="a0"/>
    <w:uiPriority w:val="22"/>
    <w:qFormat/>
    <w:rsid w:val="00FF63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20</Pages>
  <Words>1134</Words>
  <Characters>6468</Characters>
  <Application>Microsoft Office Word</Application>
  <DocSecurity>0</DocSecurity>
  <Lines>53</Lines>
  <Paragraphs>15</Paragraphs>
  <ScaleCrop>false</ScaleCrop>
  <Company/>
  <LinksUpToDate>false</LinksUpToDate>
  <CharactersWithSpaces>7587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hpproone400x64</dc:creator>
  <cp:keywords/>
  <dc:description/>
  <cp:lastModifiedBy>hpproone400x64</cp:lastModifiedBy>
  <cp:revision>20</cp:revision>
  <dcterms:created xsi:type="dcterms:W3CDTF">2022-09-08T01:10:00Z</dcterms:created>
  <dcterms:modified xsi:type="dcterms:W3CDTF">2024-07-15T08:33:00Z</dcterms:modified>
</cp:coreProperties>
</file>