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ˎ̥" w:eastAsia="黑体"/>
          <w:sz w:val="44"/>
          <w:szCs w:val="44"/>
        </w:rPr>
      </w:pPr>
      <w:r>
        <w:rPr>
          <w:rFonts w:hint="eastAsia" w:ascii="黑体" w:hAnsi="ˎ̥" w:eastAsia="黑体"/>
          <w:sz w:val="44"/>
          <w:szCs w:val="44"/>
        </w:rPr>
        <w:t>海南省工业学校2021年度部门决算</w:t>
      </w:r>
    </w:p>
    <w:p>
      <w:pPr>
        <w:jc w:val="center"/>
        <w:rPr>
          <w:rFonts w:hint="eastAsia" w:ascii="黑体" w:hAnsi="ˎ̥" w:eastAsia="黑体"/>
          <w:b/>
          <w:sz w:val="32"/>
          <w:szCs w:val="32"/>
        </w:rPr>
      </w:pPr>
    </w:p>
    <w:p>
      <w:pPr>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9"/>
        <w:tabs>
          <w:tab w:val="right" w:leader="dot" w:pos="8306"/>
        </w:tabs>
        <w:rPr>
          <w:sz w:val="32"/>
          <w:szCs w:val="32"/>
        </w:rPr>
      </w:pPr>
      <w:r>
        <w:fldChar w:fldCharType="begin"/>
      </w:r>
      <w:r>
        <w:instrText xml:space="preserve"> HYPERLINK \l "_Toc1704_WPSOffice_Level1" </w:instrText>
      </w:r>
      <w:r>
        <w:fldChar w:fldCharType="separate"/>
      </w:r>
      <w:r>
        <w:rPr>
          <w:rFonts w:hint="eastAsia" w:ascii="黑体" w:hAnsi="ˎ̥" w:eastAsia="黑体"/>
          <w:sz w:val="32"/>
          <w:szCs w:val="32"/>
        </w:rPr>
        <w:t>第一部分  海南省工业学校概况</w:t>
      </w:r>
      <w:r>
        <w:rPr>
          <w:sz w:val="32"/>
          <w:szCs w:val="32"/>
        </w:rPr>
        <w:tab/>
      </w:r>
      <w:r>
        <w:rPr>
          <w:rFonts w:hint="eastAsia"/>
          <w:sz w:val="32"/>
          <w:szCs w:val="32"/>
        </w:rPr>
        <w:t>3</w:t>
      </w:r>
      <w:r>
        <w:rPr>
          <w:rFonts w:hint="eastAsia"/>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9"/>
        <w:tabs>
          <w:tab w:val="right" w:leader="dot" w:pos="8306"/>
        </w:tabs>
        <w:rPr>
          <w:sz w:val="32"/>
          <w:szCs w:val="32"/>
        </w:rPr>
      </w:pPr>
      <w:r>
        <w:fldChar w:fldCharType="begin"/>
      </w:r>
      <w:r>
        <w:instrText xml:space="preserve"> HYPERLINK \l "_Toc28253_WPSOffice_Level1" </w:instrText>
      </w:r>
      <w:r>
        <w:fldChar w:fldCharType="separate"/>
      </w:r>
      <w:r>
        <w:rPr>
          <w:rFonts w:hint="eastAsia" w:ascii="黑体" w:hAnsi="ˎ̥" w:eastAsia="黑体"/>
          <w:sz w:val="32"/>
          <w:szCs w:val="32"/>
        </w:rPr>
        <w:t>第二部分  海南省工业学校2021年度部门决算公开表</w:t>
      </w:r>
      <w:r>
        <w:rPr>
          <w:sz w:val="32"/>
          <w:szCs w:val="32"/>
        </w:rPr>
        <w:tab/>
      </w:r>
      <w:r>
        <w:rPr>
          <w:rFonts w:hint="eastAsia"/>
          <w:sz w:val="32"/>
          <w:szCs w:val="32"/>
        </w:rPr>
        <w:t>3</w:t>
      </w:r>
      <w:r>
        <w:rPr>
          <w:rFonts w:hint="eastAsia"/>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"_Toc11518_WPSOffice_Level2" </w:instrText>
      </w:r>
      <w:r>
        <w:fldChar w:fldCharType="separate"/>
      </w:r>
      <w:r>
        <w:rPr>
          <w:rFonts w:hint="eastAsia" w:ascii="仿宋" w:hAnsi="仿宋" w:eastAsia="仿宋" w:cs="仿宋"/>
          <w:sz w:val="32"/>
          <w:szCs w:val="32"/>
        </w:rPr>
        <w:t>一、收入支出决算公开表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"_Toc28622_WPSOffice_Level2" </w:instrText>
      </w:r>
      <w:r>
        <w:fldChar w:fldCharType="separate"/>
      </w:r>
      <w:r>
        <w:rPr>
          <w:rFonts w:hint="eastAsia" w:ascii="仿宋" w:hAnsi="仿宋" w:eastAsia="仿宋" w:cs="仿宋"/>
          <w:sz w:val="32"/>
          <w:szCs w:val="32"/>
        </w:rPr>
        <w:t>二、收入决算公开表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"_Toc5489_WPSOffice_Level2" </w:instrText>
      </w:r>
      <w:r>
        <w:fldChar w:fldCharType="separate"/>
      </w:r>
      <w:r>
        <w:rPr>
          <w:rFonts w:hint="eastAsia" w:ascii="仿宋" w:hAnsi="仿宋" w:eastAsia="仿宋" w:cs="仿宋"/>
          <w:sz w:val="32"/>
          <w:szCs w:val="32"/>
        </w:rPr>
        <w:t>三、支出决算公开表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"_Toc23493_WPSOffice_Level2" </w:instrText>
      </w:r>
      <w:r>
        <w:fldChar w:fldCharType="separate"/>
      </w:r>
      <w:r>
        <w:rPr>
          <w:rFonts w:hint="eastAsia" w:ascii="仿宋" w:hAnsi="仿宋" w:eastAsia="仿宋" w:cs="仿宋"/>
          <w:sz w:val="32"/>
          <w:szCs w:val="32"/>
        </w:rPr>
        <w:t>四、财政拨款收入支出决算公开表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"_Toc7879_WPSOffice_Level2" </w:instrText>
      </w:r>
      <w:r>
        <w:fldChar w:fldCharType="separate"/>
      </w:r>
      <w:r>
        <w:rPr>
          <w:rFonts w:hint="eastAsia" w:ascii="仿宋" w:hAnsi="仿宋" w:eastAsia="仿宋" w:cs="仿宋"/>
          <w:sz w:val="32"/>
          <w:szCs w:val="32"/>
        </w:rPr>
        <w:t>五、一般公共预算财政拨款收入支出决算公开表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"_Toc8373_WPSOffice_Level2" </w:instrText>
      </w:r>
      <w:r>
        <w:fldChar w:fldCharType="separate"/>
      </w:r>
      <w:r>
        <w:rPr>
          <w:rFonts w:hint="eastAsia" w:ascii="仿宋" w:hAnsi="仿宋" w:eastAsia="仿宋" w:cs="仿宋"/>
          <w:sz w:val="32"/>
          <w:szCs w:val="32"/>
        </w:rPr>
        <w:t>六、一般公共预算财政拨款基本支出决算公开表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"_Toc1820_WPSOffice_Level2" </w:instrText>
      </w:r>
      <w:r>
        <w:fldChar w:fldCharType="separate"/>
      </w:r>
      <w:r>
        <w:rPr>
          <w:rFonts w:hint="eastAsia" w:ascii="仿宋" w:hAnsi="仿宋" w:eastAsia="仿宋" w:cs="仿宋"/>
          <w:sz w:val="32"/>
          <w:szCs w:val="32"/>
        </w:rPr>
        <w:t>七、政府性基金预算财政拨款收入支出决算公开表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"_Toc1820_WPSOffice_Level2" </w:instrText>
      </w:r>
      <w:r>
        <w:fldChar w:fldCharType="separate"/>
      </w:r>
      <w:r>
        <w:rPr>
          <w:rFonts w:hint="eastAsia" w:ascii="仿宋" w:hAnsi="仿宋" w:eastAsia="仿宋" w:cs="仿宋"/>
          <w:sz w:val="32"/>
          <w:szCs w:val="32"/>
        </w:rPr>
        <w:t>八、国有资本经营预算财政拨款收入支出决算公开表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九、一般公共预算财政拨款“三公”经费支出决算公开表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十、政府性基金预算财政拨款“三公”经费支出决算公开表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十一、国有资本经营预算财政拨款“三公”经费支出决算公开表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9"/>
        <w:tabs>
          <w:tab w:val="right" w:leader="dot" w:pos="8306"/>
        </w:tabs>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rFonts w:hint="eastAsia"/>
          <w:sz w:val="32"/>
          <w:szCs w:val="32"/>
        </w:rPr>
        <w:t xml:space="preserve">  </w:t>
      </w:r>
      <w:r>
        <w:rPr>
          <w:rFonts w:hint="eastAsia" w:ascii="黑体" w:hAnsi="ˎ̥" w:eastAsia="黑体"/>
          <w:sz w:val="32"/>
          <w:szCs w:val="32"/>
        </w:rPr>
        <w:t>海南省工业学校2021年度部门决算情况说明</w:t>
      </w:r>
      <w:r>
        <w:rPr>
          <w:sz w:val="32"/>
          <w:szCs w:val="32"/>
        </w:rPr>
        <w:tab/>
      </w:r>
      <w:r>
        <w:rPr>
          <w:rFonts w:hint="eastAsia"/>
          <w:sz w:val="32"/>
          <w:szCs w:val="32"/>
        </w:rPr>
        <w:t>5</w:t>
      </w:r>
      <w:r>
        <w:rPr>
          <w:rFonts w:hint="eastAsia"/>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一、收入支出决算总体情况说明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6</w:t>
      </w:r>
      <w:r>
        <w:rPr>
          <w:rFonts w:hint="eastAsia" w:ascii="仿宋" w:hAnsi="仿宋" w:eastAsia="仿宋" w:cs="仿宋"/>
          <w:sz w:val="32"/>
          <w:szCs w:val="32"/>
        </w:rPr>
        <w:fldChar w:fldCharType="end"/>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7</w:t>
      </w:r>
    </w:p>
    <w:p>
      <w:pPr>
        <w:pStyle w:val="10"/>
        <w:numPr>
          <w:ilvl w:val="0"/>
          <w:numId w:val="1"/>
        </w:numPr>
        <w:tabs>
          <w:tab w:val="right" w:leader="dot" w:pos="8306"/>
        </w:tabs>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0"/>
        <w:numPr>
          <w:ilvl w:val="0"/>
          <w:numId w:val="1"/>
        </w:numPr>
        <w:tabs>
          <w:tab w:val="right" w:leader="dot" w:pos="8306"/>
        </w:tabs>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rPr>
          <w:rFonts w:hint="eastAsia" w:ascii="仿宋" w:hAnsi="仿宋" w:eastAsia="仿宋" w:cs="仿宋"/>
          <w:w w:val="98"/>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w:t>
      </w:r>
      <w:r>
        <w:rPr>
          <w:rFonts w:hint="eastAsia" w:ascii="仿宋" w:hAnsi="仿宋" w:eastAsia="仿宋" w:cs="仿宋"/>
          <w:bCs/>
          <w:w w:val="98"/>
          <w:sz w:val="32"/>
          <w:szCs w:val="32"/>
        </w:rPr>
        <w:t>一般公共预算财政拨款“三公”经费支出决算情况说明</w:t>
      </w:r>
    </w:p>
    <w:p>
      <w:pPr>
        <w:pStyle w:val="10"/>
        <w:tabs>
          <w:tab w:val="right" w:leader="dot" w:pos="8306"/>
        </w:tabs>
        <w:ind w:leftChars="0"/>
        <w:rPr>
          <w:rFonts w:hint="eastAsia"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8</w:t>
      </w:r>
    </w:p>
    <w:p>
      <w:pPr>
        <w:rPr>
          <w:rFonts w:hint="eastAsia" w:ascii="仿宋" w:hAnsi="仿宋" w:eastAsia="仿宋" w:cs="仿宋"/>
          <w:w w:val="98"/>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w:t>
      </w:r>
      <w:r>
        <w:rPr>
          <w:rFonts w:hint="eastAsia" w:ascii="仿宋" w:hAnsi="仿宋" w:eastAsia="仿宋" w:cs="仿宋"/>
          <w:bCs/>
          <w:w w:val="98"/>
          <w:sz w:val="32"/>
          <w:szCs w:val="32"/>
        </w:rPr>
        <w:t>政府性基金预算财政拨款“三公”经费支出决算情况说明</w:t>
      </w:r>
    </w:p>
    <w:p>
      <w:pPr>
        <w:pStyle w:val="10"/>
        <w:tabs>
          <w:tab w:val="right" w:leader="dot" w:pos="8306"/>
        </w:tabs>
        <w:ind w:leftChars="0"/>
        <w:rPr>
          <w:rFonts w:hint="eastAsia"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10</w:t>
      </w:r>
    </w:p>
    <w:p>
      <w:pPr>
        <w:rPr>
          <w:rFonts w:hint="eastAsia" w:ascii="仿宋" w:hAnsi="仿宋" w:eastAsia="仿宋" w:cs="仿宋"/>
          <w:w w:val="91"/>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w w:val="91"/>
          <w:sz w:val="32"/>
          <w:szCs w:val="32"/>
        </w:rPr>
        <w:t>十一、国有资本经营预算财政拨款“三公”经费支出决算情况说明</w:t>
      </w:r>
    </w:p>
    <w:p>
      <w:pPr>
        <w:pStyle w:val="10"/>
        <w:tabs>
          <w:tab w:val="right" w:leader="dot" w:pos="8306"/>
        </w:tabs>
        <w:ind w:leftChars="0"/>
        <w:rPr>
          <w:rFonts w:hint="eastAsia"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10</w:t>
      </w:r>
    </w:p>
    <w:p>
      <w:pPr>
        <w:pStyle w:val="10"/>
        <w:tabs>
          <w:tab w:val="right" w:leader="dot" w:pos="8306"/>
        </w:tabs>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十二、预算绩效情况说明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0"/>
        <w:tabs>
          <w:tab w:val="right" w:leader="dot" w:pos="8306"/>
        </w:tabs>
        <w:ind w:leftChars="0"/>
        <w:rPr>
          <w:rFonts w:hint="eastAsia" w:ascii="仿宋" w:hAnsi="仿宋" w:eastAsia="仿宋" w:cs="仿宋"/>
          <w:sz w:val="32"/>
          <w:szCs w:val="32"/>
        </w:rPr>
      </w:pPr>
      <w:r>
        <w:rPr>
          <w:rFonts w:hint="eastAsia" w:ascii="仿宋" w:hAnsi="仿宋" w:eastAsia="仿宋" w:cs="仿宋"/>
          <w:bCs/>
          <w:sz w:val="32"/>
          <w:szCs w:val="32"/>
        </w:rPr>
        <w:t>十三、其他重要事项情况说明</w:t>
      </w:r>
      <w:r>
        <w:rPr>
          <w:rFonts w:hint="eastAsia" w:ascii="仿宋" w:hAnsi="仿宋" w:eastAsia="仿宋" w:cs="仿宋"/>
          <w:sz w:val="32"/>
          <w:szCs w:val="32"/>
        </w:rPr>
        <w:tab/>
      </w:r>
      <w:r>
        <w:rPr>
          <w:rFonts w:hint="eastAsia" w:ascii="仿宋" w:hAnsi="仿宋" w:eastAsia="仿宋" w:cs="仿宋"/>
          <w:sz w:val="32"/>
          <w:szCs w:val="32"/>
        </w:rPr>
        <w:t>11</w:t>
      </w:r>
    </w:p>
    <w:p>
      <w:pPr>
        <w:pStyle w:val="9"/>
        <w:tabs>
          <w:tab w:val="right" w:leader="dot" w:pos="8306"/>
        </w:tabs>
        <w:rPr>
          <w:rFonts w:hint="eastAsia" w:eastAsia="宋体"/>
          <w:sz w:val="32"/>
          <w:szCs w:val="32"/>
          <w:lang w:val="en-US" w:eastAsia="zh-CN"/>
        </w:rPr>
      </w:pPr>
      <w:r>
        <w:fldChar w:fldCharType="begin"/>
      </w:r>
      <w:r>
        <w:instrText xml:space="preserve"> HYPERLINK \l "_Toc15425_WPSOffice_Level1" </w:instrText>
      </w:r>
      <w: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lang w:val="en-US" w:eastAsia="zh-CN"/>
        </w:rPr>
        <w:t>5</w:t>
      </w:r>
    </w:p>
    <w:p>
      <w:pPr>
        <w:jc w:val="left"/>
        <w:rPr>
          <w:rFonts w:hint="eastAsia" w:ascii="黑体" w:hAnsi="黑体" w:eastAsia="黑体" w:cs="黑体"/>
          <w:sz w:val="32"/>
          <w:szCs w:val="32"/>
        </w:rPr>
      </w:pPr>
    </w:p>
    <w:p>
      <w:pPr>
        <w:jc w:val="center"/>
        <w:rPr>
          <w:rFonts w:hint="eastAsia" w:ascii="黑体" w:hAnsi="ˎ̥" w:eastAsia="黑体"/>
          <w:b/>
          <w:sz w:val="32"/>
          <w:szCs w:val="32"/>
        </w:rPr>
      </w:pPr>
    </w:p>
    <w:p>
      <w:pPr>
        <w:jc w:val="center"/>
        <w:rPr>
          <w:rFonts w:hint="eastAsia" w:ascii="黑体" w:hAnsi="ˎ̥" w:eastAsia="黑体"/>
          <w:b/>
          <w:sz w:val="32"/>
          <w:szCs w:val="32"/>
        </w:rPr>
      </w:pPr>
    </w:p>
    <w:p>
      <w:pPr>
        <w:jc w:val="center"/>
        <w:rPr>
          <w:rFonts w:hint="eastAsia" w:ascii="黑体" w:hAnsi="ˎ̥" w:eastAsia="黑体"/>
          <w:b/>
          <w:sz w:val="32"/>
          <w:szCs w:val="32"/>
        </w:rPr>
      </w:pPr>
    </w:p>
    <w:p>
      <w:pPr>
        <w:jc w:val="center"/>
        <w:rPr>
          <w:rFonts w:hint="eastAsia" w:ascii="黑体" w:hAnsi="ˎ̥" w:eastAsia="黑体"/>
          <w:b/>
          <w:sz w:val="32"/>
          <w:szCs w:val="32"/>
        </w:rPr>
      </w:pPr>
    </w:p>
    <w:p>
      <w:pPr>
        <w:jc w:val="center"/>
        <w:rPr>
          <w:rFonts w:hint="eastAsia" w:ascii="黑体" w:hAnsi="ˎ̥" w:eastAsia="黑体"/>
          <w:b/>
          <w:sz w:val="32"/>
          <w:szCs w:val="32"/>
        </w:rPr>
      </w:pPr>
    </w:p>
    <w:p>
      <w:pPr>
        <w:jc w:val="center"/>
        <w:rPr>
          <w:rFonts w:hint="eastAsia" w:ascii="黑体" w:hAnsi="黑体" w:eastAsia="黑体"/>
          <w:sz w:val="32"/>
          <w:szCs w:val="32"/>
        </w:rPr>
      </w:pPr>
      <w:bookmarkStart w:id="2" w:name="_Toc10049_WPSOffice_Level1"/>
      <w:bookmarkStart w:id="3" w:name="_Toc23465_WPSOffice_Level1"/>
      <w:bookmarkStart w:id="4" w:name="_Toc32433_WPSOffice_Level1"/>
      <w:bookmarkStart w:id="5" w:name="_Toc10720_WPSOffice_Level1"/>
      <w:bookmarkStart w:id="6" w:name="_Toc1704_WPSOffice_Level1"/>
      <w:bookmarkStart w:id="7" w:name="_Toc22941_WPSOffice_Level1"/>
      <w:bookmarkStart w:id="8" w:name="_Toc24238_WPSOffice_Level2"/>
      <w:bookmarkStart w:id="9" w:name="_Toc20205_WPSOffice_Level2"/>
      <w:bookmarkStart w:id="10" w:name="_Toc32622_WPSOffice_Level2"/>
      <w:bookmarkStart w:id="11" w:name="_Toc26580_WPSOffice_Level2"/>
      <w:bookmarkStart w:id="12" w:name="_Toc20274_WPSOffice_Level2"/>
      <w:bookmarkStart w:id="13" w:name="_Toc14159_WPSOffice_Level2"/>
      <w:r>
        <w:rPr>
          <w:rFonts w:hint="eastAsia" w:ascii="黑体" w:hAnsi="黑体" w:eastAsia="黑体"/>
          <w:sz w:val="32"/>
          <w:szCs w:val="32"/>
        </w:rPr>
        <w:t>第一部分  海南省工业学校概况</w:t>
      </w:r>
      <w:bookmarkEnd w:id="2"/>
      <w:bookmarkEnd w:id="3"/>
      <w:bookmarkEnd w:id="4"/>
      <w:bookmarkEnd w:id="5"/>
      <w:bookmarkEnd w:id="6"/>
      <w:bookmarkEnd w:id="7"/>
    </w:p>
    <w:p>
      <w:pPr>
        <w:ind w:firstLine="640" w:firstLineChars="200"/>
        <w:rPr>
          <w:rFonts w:hint="eastAsia" w:ascii="楷体" w:hAnsi="楷体" w:eastAsia="楷体" w:cs="楷体"/>
          <w:sz w:val="32"/>
          <w:szCs w:val="32"/>
        </w:rPr>
      </w:pPr>
    </w:p>
    <w:p>
      <w:pPr>
        <w:pStyle w:val="11"/>
        <w:numPr>
          <w:ilvl w:val="0"/>
          <w:numId w:val="2"/>
        </w:numPr>
        <w:ind w:firstLineChars="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ind w:firstLine="640" w:firstLineChars="200"/>
        <w:rPr>
          <w:rFonts w:hint="eastAsia" w:ascii="仿宋_GB2312" w:hAnsi="ˎ̥" w:eastAsia="仿宋_GB2312"/>
          <w:sz w:val="32"/>
          <w:szCs w:val="32"/>
        </w:rPr>
      </w:pPr>
      <w:r>
        <w:rPr>
          <w:rFonts w:hint="eastAsia" w:ascii="仿宋_GB2312" w:hAnsi="ˎ̥" w:eastAsia="仿宋_GB2312"/>
          <w:sz w:val="32"/>
          <w:szCs w:val="32"/>
        </w:rPr>
        <w:t>（一）贯彻落实省委、省政府和教育行政部门职业教育工作的有关规定，按照《中华人民共和国职业教育法》实施教育工作。</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（二）承担中等职业技术教育工作，培养机电、汽修等技能型中级技术人才。</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（三）承办上级主管部门交办的其他工作。</w:t>
      </w:r>
    </w:p>
    <w:p>
      <w:pPr>
        <w:ind w:firstLine="640" w:firstLineChars="200"/>
        <w:rPr>
          <w:rFonts w:hint="eastAsia" w:ascii="黑体" w:hAnsi="黑体" w:eastAsia="黑体" w:cs="黑体"/>
          <w:sz w:val="32"/>
          <w:szCs w:val="32"/>
        </w:rPr>
      </w:pPr>
      <w:bookmarkStart w:id="14" w:name="_Toc4833_WPSOffice_Level2"/>
      <w:bookmarkStart w:id="15" w:name="_Toc17796_WPSOffice_Level2"/>
      <w:bookmarkStart w:id="16" w:name="_Toc24059_WPSOffice_Level2"/>
      <w:bookmarkStart w:id="17" w:name="_Toc6572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pPr>
        <w:ind w:firstLine="640" w:firstLineChars="200"/>
        <w:rPr>
          <w:rFonts w:hint="eastAsia" w:ascii="仿宋_GB2312" w:hAnsi="ˎ̥" w:eastAsia="仿宋_GB2312"/>
          <w:sz w:val="32"/>
          <w:szCs w:val="32"/>
        </w:rPr>
      </w:pPr>
      <w:bookmarkStart w:id="19" w:name="_Toc24421_WPSOffice_Level2"/>
      <w:bookmarkStart w:id="20" w:name="_Toc25738_WPSOffice_Level2"/>
      <w:r>
        <w:rPr>
          <w:rFonts w:hint="eastAsia" w:ascii="仿宋_GB2312" w:hAnsi="ˎ̥" w:eastAsia="仿宋_GB2312"/>
          <w:sz w:val="32"/>
          <w:szCs w:val="32"/>
        </w:rPr>
        <w:t>内设7个科级内设管理机构和9个教学、教辅机构。</w:t>
      </w:r>
    </w:p>
    <w:bookmarkEnd w:id="19"/>
    <w:bookmarkEnd w:id="20"/>
    <w:p>
      <w:pPr>
        <w:pStyle w:val="11"/>
        <w:numPr>
          <w:ilvl w:val="0"/>
          <w:numId w:val="3"/>
        </w:numPr>
        <w:ind w:firstLineChars="0"/>
        <w:rPr>
          <w:rFonts w:hint="eastAsia" w:ascii="楷体" w:hAnsi="楷体" w:eastAsia="楷体" w:cs="楷体"/>
          <w:sz w:val="32"/>
          <w:szCs w:val="32"/>
        </w:rPr>
      </w:pPr>
      <w:r>
        <w:rPr>
          <w:rFonts w:hint="eastAsia" w:ascii="楷体" w:hAnsi="楷体" w:eastAsia="楷体" w:cs="楷体"/>
          <w:sz w:val="32"/>
          <w:szCs w:val="32"/>
        </w:rPr>
        <w:t>管理机构</w:t>
      </w:r>
    </w:p>
    <w:p>
      <w:pPr>
        <w:spacing w:line="600" w:lineRule="exact"/>
        <w:ind w:left="640"/>
        <w:rPr>
          <w:rFonts w:hint="eastAsia" w:ascii="仿宋_GB2312" w:hAnsi="ˎ̥" w:eastAsia="仿宋_GB2312"/>
          <w:sz w:val="32"/>
          <w:szCs w:val="32"/>
        </w:rPr>
      </w:pPr>
      <w:r>
        <w:rPr>
          <w:rFonts w:hint="eastAsia" w:ascii="仿宋_GB2312" w:hAnsi="ˎ̥" w:eastAsia="仿宋_GB2312"/>
          <w:sz w:val="32"/>
          <w:szCs w:val="32"/>
        </w:rPr>
        <w:t>办公室、教务科、学生科、总务科、保卫科、生产实习科、招生就业办公室。</w:t>
      </w:r>
    </w:p>
    <w:p>
      <w:pPr>
        <w:ind w:firstLine="640" w:firstLineChars="200"/>
        <w:rPr>
          <w:rFonts w:hint="eastAsia" w:ascii="楷体" w:hAnsi="楷体" w:eastAsia="楷体" w:cs="楷体"/>
          <w:sz w:val="32"/>
          <w:szCs w:val="32"/>
        </w:rPr>
      </w:pPr>
      <w:bookmarkStart w:id="21" w:name="_Toc19721_WPSOffice_Level2"/>
      <w:bookmarkStart w:id="22" w:name="_Toc4442_WPSOffice_Level2"/>
      <w:r>
        <w:rPr>
          <w:rFonts w:hint="eastAsia" w:ascii="楷体" w:hAnsi="楷体" w:eastAsia="楷体" w:cs="楷体"/>
          <w:sz w:val="32"/>
          <w:szCs w:val="32"/>
        </w:rPr>
        <w:t>（二）</w:t>
      </w:r>
      <w:bookmarkEnd w:id="21"/>
      <w:bookmarkEnd w:id="22"/>
      <w:r>
        <w:rPr>
          <w:rFonts w:hint="eastAsia" w:ascii="楷体" w:hAnsi="楷体" w:eastAsia="楷体" w:cs="楷体"/>
          <w:sz w:val="32"/>
          <w:szCs w:val="32"/>
        </w:rPr>
        <w:t>教学、教辅机构</w:t>
      </w:r>
    </w:p>
    <w:p>
      <w:pPr>
        <w:spacing w:line="600"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基础教研室、机械教研室、电气化教研室、计算机教研室、管理教研室、培训部、图书馆、实验室、实习工厂。</w:t>
      </w:r>
    </w:p>
    <w:p>
      <w:pPr>
        <w:spacing w:line="600" w:lineRule="exact"/>
        <w:ind w:firstLine="640" w:firstLineChars="200"/>
        <w:rPr>
          <w:rFonts w:hint="eastAsia" w:ascii="仿宋_GB2312" w:hAnsi="ˎ̥" w:eastAsia="仿宋_GB2312"/>
          <w:sz w:val="32"/>
          <w:szCs w:val="32"/>
        </w:rPr>
      </w:pPr>
    </w:p>
    <w:p>
      <w:pPr>
        <w:spacing w:line="600" w:lineRule="exact"/>
        <w:ind w:firstLine="640" w:firstLineChars="200"/>
        <w:rPr>
          <w:rFonts w:hint="eastAsia" w:ascii="仿宋_GB2312" w:hAnsi="ˎ̥" w:eastAsia="仿宋_GB2312"/>
          <w:sz w:val="32"/>
          <w:szCs w:val="32"/>
        </w:rPr>
      </w:pPr>
    </w:p>
    <w:p>
      <w:pPr>
        <w:spacing w:line="600" w:lineRule="exact"/>
        <w:ind w:firstLine="640" w:firstLineChars="200"/>
        <w:rPr>
          <w:rFonts w:hint="eastAsia" w:ascii="仿宋_GB2312" w:hAnsi="ˎ̥" w:eastAsia="仿宋_GB2312"/>
          <w:sz w:val="32"/>
          <w:szCs w:val="32"/>
        </w:rPr>
      </w:pPr>
    </w:p>
    <w:p>
      <w:pPr>
        <w:spacing w:line="600" w:lineRule="exact"/>
        <w:ind w:firstLine="640" w:firstLineChars="200"/>
        <w:rPr>
          <w:rFonts w:hint="eastAsia" w:ascii="仿宋_GB2312" w:hAnsi="ˎ̥" w:eastAsia="仿宋_GB2312"/>
          <w:sz w:val="32"/>
          <w:szCs w:val="32"/>
        </w:rPr>
      </w:pPr>
    </w:p>
    <w:p>
      <w:pPr>
        <w:spacing w:line="600" w:lineRule="exact"/>
        <w:ind w:firstLine="640" w:firstLineChars="200"/>
        <w:rPr>
          <w:rFonts w:hint="eastAsia" w:ascii="仿宋_GB2312" w:hAnsi="ˎ̥" w:eastAsia="仿宋_GB2312"/>
          <w:sz w:val="32"/>
          <w:szCs w:val="32"/>
        </w:rPr>
      </w:pPr>
    </w:p>
    <w:p>
      <w:pPr>
        <w:jc w:val="center"/>
        <w:rPr>
          <w:rFonts w:hint="eastAsia" w:ascii="黑体" w:hAnsi="ˎ̥" w:eastAsia="黑体"/>
          <w:sz w:val="32"/>
          <w:szCs w:val="32"/>
        </w:rPr>
      </w:pPr>
      <w:bookmarkStart w:id="23" w:name="_Toc8164_WPSOffice_Level1"/>
      <w:bookmarkStart w:id="24" w:name="_Toc30451_WPSOffice_Level1"/>
      <w:bookmarkStart w:id="25" w:name="_Toc30690_WPSOffice_Level1"/>
      <w:bookmarkStart w:id="26" w:name="_Toc15521_WPSOffice_Level1"/>
      <w:bookmarkStart w:id="27" w:name="_Toc28253_WPSOffice_Level1"/>
      <w:bookmarkStart w:id="28" w:name="_Toc6234_WPSOffice_Level1"/>
      <w:bookmarkStart w:id="29" w:name="_Toc8867_WPSOffice_Level2"/>
      <w:bookmarkStart w:id="30" w:name="_Toc32695_WPSOffice_Level2"/>
      <w:bookmarkStart w:id="31" w:name="_Toc6211_WPSOffice_Level2"/>
      <w:bookmarkStart w:id="32" w:name="_Toc32472_WPSOffice_Level2"/>
      <w:bookmarkStart w:id="33" w:name="_Toc11518_WPSOffice_Level2"/>
      <w:bookmarkStart w:id="34" w:name="_Toc4029_WPSOffice_Level2"/>
      <w:r>
        <w:rPr>
          <w:rFonts w:hint="eastAsia" w:ascii="黑体" w:hAnsi="ˎ̥" w:eastAsia="黑体"/>
          <w:sz w:val="32"/>
          <w:szCs w:val="32"/>
        </w:rPr>
        <w:t>第二部分  海南省工业学校2021年度部门决算公开报表</w:t>
      </w:r>
      <w:bookmarkEnd w:id="23"/>
      <w:bookmarkEnd w:id="24"/>
      <w:bookmarkEnd w:id="25"/>
      <w:bookmarkEnd w:id="26"/>
      <w:bookmarkEnd w:id="27"/>
      <w:bookmarkEnd w:id="28"/>
    </w:p>
    <w:p>
      <w:pPr>
        <w:jc w:val="center"/>
        <w:rPr>
          <w:rFonts w:hint="eastAsia" w:ascii="黑体" w:hAnsi="ˎ̥" w:eastAsia="黑体"/>
          <w:sz w:val="32"/>
          <w:szCs w:val="32"/>
        </w:rPr>
      </w:pPr>
    </w:p>
    <w:p>
      <w:pPr>
        <w:ind w:firstLine="645"/>
        <w:rPr>
          <w:rFonts w:hint="eastAsia" w:ascii="黑体" w:hAnsi="黑体" w:eastAsia="黑体" w:cs="黑体"/>
          <w:sz w:val="32"/>
          <w:szCs w:val="32"/>
        </w:rPr>
      </w:pPr>
      <w:r>
        <w:rPr>
          <w:rFonts w:hint="eastAsia" w:ascii="黑体" w:hAnsi="黑体" w:eastAsia="黑体" w:cs="黑体"/>
          <w:sz w:val="32"/>
          <w:szCs w:val="32"/>
        </w:rPr>
        <w:t>一、收入支出决算公开表（见正文附件）</w:t>
      </w:r>
      <w:bookmarkEnd w:id="29"/>
      <w:bookmarkEnd w:id="30"/>
      <w:bookmarkEnd w:id="31"/>
      <w:r>
        <w:rPr>
          <w:rFonts w:hint="eastAsia" w:ascii="黑体" w:hAnsi="黑体" w:eastAsia="黑体" w:cs="黑体"/>
          <w:sz w:val="32"/>
          <w:szCs w:val="32"/>
        </w:rPr>
        <w:t>。</w:t>
      </w:r>
      <w:bookmarkEnd w:id="32"/>
      <w:bookmarkEnd w:id="33"/>
      <w:bookmarkEnd w:id="34"/>
    </w:p>
    <w:p>
      <w:pPr>
        <w:ind w:firstLine="645"/>
        <w:rPr>
          <w:rFonts w:hint="eastAsia" w:ascii="黑体" w:hAnsi="黑体" w:eastAsia="黑体" w:cs="黑体"/>
          <w:sz w:val="32"/>
          <w:szCs w:val="32"/>
        </w:rPr>
      </w:pPr>
      <w:bookmarkStart w:id="35" w:name="_Toc26621_WPSOffice_Level2"/>
      <w:bookmarkStart w:id="36" w:name="_Toc25608_WPSOffice_Level2"/>
      <w:bookmarkStart w:id="37" w:name="_Toc23139_WPSOffice_Level2"/>
      <w:bookmarkStart w:id="38" w:name="_Toc28622_WPSOffice_Level2"/>
      <w:bookmarkStart w:id="39" w:name="_Toc14349_WPSOffice_Level2"/>
      <w:bookmarkStart w:id="40" w:name="_Toc30334_WPSOffice_Level2"/>
      <w:r>
        <w:rPr>
          <w:rFonts w:hint="eastAsia" w:ascii="黑体" w:hAnsi="黑体" w:eastAsia="黑体" w:cs="黑体"/>
          <w:sz w:val="32"/>
          <w:szCs w:val="32"/>
        </w:rPr>
        <w:t>二、收入决算公开表（见正文附件）</w:t>
      </w:r>
      <w:bookmarkEnd w:id="35"/>
      <w:bookmarkEnd w:id="36"/>
      <w:bookmarkEnd w:id="37"/>
      <w:r>
        <w:rPr>
          <w:rFonts w:hint="eastAsia" w:ascii="黑体" w:hAnsi="黑体" w:eastAsia="黑体" w:cs="黑体"/>
          <w:sz w:val="32"/>
          <w:szCs w:val="32"/>
        </w:rPr>
        <w:t>。</w:t>
      </w:r>
      <w:bookmarkEnd w:id="38"/>
      <w:bookmarkEnd w:id="39"/>
      <w:bookmarkEnd w:id="40"/>
    </w:p>
    <w:p>
      <w:pPr>
        <w:ind w:firstLine="645"/>
        <w:rPr>
          <w:rFonts w:hint="eastAsia" w:ascii="黑体" w:hAnsi="黑体" w:eastAsia="黑体" w:cs="黑体"/>
          <w:sz w:val="32"/>
          <w:szCs w:val="32"/>
        </w:rPr>
      </w:pPr>
      <w:bookmarkStart w:id="41" w:name="_Toc17858_WPSOffice_Level2"/>
      <w:bookmarkStart w:id="42" w:name="_Toc3262_WPSOffice_Level2"/>
      <w:bookmarkStart w:id="43" w:name="_Toc17626_WPSOffice_Level2"/>
      <w:bookmarkStart w:id="44" w:name="_Toc5489_WPSOffice_Level2"/>
      <w:bookmarkStart w:id="45" w:name="_Toc13854_WPSOffice_Level2"/>
      <w:bookmarkStart w:id="46" w:name="_Toc14658_WPSOffice_Level2"/>
      <w:r>
        <w:rPr>
          <w:rFonts w:hint="eastAsia" w:ascii="黑体" w:hAnsi="黑体" w:eastAsia="黑体" w:cs="黑体"/>
          <w:sz w:val="32"/>
          <w:szCs w:val="32"/>
        </w:rPr>
        <w:t>三、支出决算公开表（见正文附件）</w:t>
      </w:r>
      <w:bookmarkEnd w:id="41"/>
      <w:bookmarkEnd w:id="42"/>
      <w:bookmarkEnd w:id="43"/>
      <w:r>
        <w:rPr>
          <w:rFonts w:hint="eastAsia" w:ascii="黑体" w:hAnsi="黑体" w:eastAsia="黑体" w:cs="黑体"/>
          <w:sz w:val="32"/>
          <w:szCs w:val="32"/>
        </w:rPr>
        <w:t>。</w:t>
      </w:r>
      <w:bookmarkEnd w:id="44"/>
      <w:bookmarkEnd w:id="45"/>
      <w:bookmarkEnd w:id="46"/>
    </w:p>
    <w:p>
      <w:pPr>
        <w:ind w:firstLine="645"/>
        <w:rPr>
          <w:rFonts w:hint="eastAsia" w:ascii="黑体" w:hAnsi="黑体" w:eastAsia="黑体" w:cs="黑体"/>
          <w:sz w:val="32"/>
          <w:szCs w:val="32"/>
        </w:rPr>
      </w:pPr>
      <w:bookmarkStart w:id="47" w:name="_Toc23591_WPSOffice_Level2"/>
      <w:bookmarkStart w:id="48" w:name="_Toc13701_WPSOffice_Level2"/>
      <w:bookmarkStart w:id="49" w:name="_Toc21415_WPSOffice_Level2"/>
      <w:bookmarkStart w:id="50" w:name="_Toc4265_WPSOffice_Level2"/>
      <w:bookmarkStart w:id="51" w:name="_Toc23493_WPSOffice_Level2"/>
      <w:bookmarkStart w:id="52" w:name="_Toc7988_WPSOffice_Level2"/>
      <w:r>
        <w:rPr>
          <w:rFonts w:hint="eastAsia" w:ascii="黑体" w:hAnsi="黑体" w:eastAsia="黑体" w:cs="黑体"/>
          <w:sz w:val="32"/>
          <w:szCs w:val="32"/>
        </w:rPr>
        <w:t>四、财政拨款收入支出决算公开表（见正文附件）</w:t>
      </w:r>
      <w:bookmarkEnd w:id="47"/>
      <w:bookmarkEnd w:id="48"/>
      <w:bookmarkEnd w:id="49"/>
      <w:r>
        <w:rPr>
          <w:rFonts w:hint="eastAsia" w:ascii="黑体" w:hAnsi="黑体" w:eastAsia="黑体" w:cs="黑体"/>
          <w:sz w:val="32"/>
          <w:szCs w:val="32"/>
        </w:rPr>
        <w:t>。</w:t>
      </w:r>
      <w:bookmarkEnd w:id="50"/>
      <w:bookmarkEnd w:id="51"/>
      <w:bookmarkEnd w:id="52"/>
    </w:p>
    <w:p>
      <w:pPr>
        <w:ind w:firstLine="645"/>
        <w:rPr>
          <w:rFonts w:hint="eastAsia" w:ascii="黑体" w:hAnsi="黑体" w:eastAsia="黑体" w:cs="黑体"/>
          <w:sz w:val="32"/>
          <w:szCs w:val="32"/>
        </w:rPr>
      </w:pPr>
      <w:bookmarkStart w:id="53" w:name="_Toc23829_WPSOffice_Level2"/>
      <w:bookmarkStart w:id="54" w:name="_Toc25166_WPSOffice_Level2"/>
      <w:bookmarkStart w:id="55" w:name="_Toc22783_WPSOffice_Level2"/>
      <w:bookmarkStart w:id="56" w:name="_Toc7879_WPSOffice_Level2"/>
      <w:bookmarkStart w:id="57" w:name="_Toc2158_WPSOffice_Level2"/>
      <w:bookmarkStart w:id="58" w:name="_Toc13516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p>
    <w:p>
      <w:pPr>
        <w:ind w:firstLine="1302" w:firstLineChars="407"/>
        <w:rPr>
          <w:rFonts w:hint="eastAsia" w:ascii="黑体" w:hAnsi="黑体" w:eastAsia="黑体" w:cs="黑体"/>
          <w:sz w:val="32"/>
          <w:szCs w:val="32"/>
        </w:rPr>
      </w:pPr>
      <w:r>
        <w:rPr>
          <w:rFonts w:hint="eastAsia" w:ascii="黑体" w:hAnsi="黑体" w:eastAsia="黑体" w:cs="黑体"/>
          <w:sz w:val="32"/>
          <w:szCs w:val="32"/>
        </w:rPr>
        <w:t>（见正文附件）</w:t>
      </w:r>
      <w:bookmarkEnd w:id="57"/>
      <w:bookmarkEnd w:id="58"/>
      <w:r>
        <w:rPr>
          <w:rFonts w:hint="eastAsia" w:ascii="黑体" w:hAnsi="黑体" w:eastAsia="黑体" w:cs="黑体"/>
          <w:sz w:val="32"/>
          <w:szCs w:val="32"/>
        </w:rPr>
        <w:t>。</w:t>
      </w:r>
    </w:p>
    <w:p>
      <w:pPr>
        <w:ind w:firstLine="645"/>
        <w:rPr>
          <w:rFonts w:hint="eastAsia" w:ascii="黑体" w:hAnsi="黑体" w:eastAsia="黑体" w:cs="黑体"/>
          <w:sz w:val="32"/>
          <w:szCs w:val="32"/>
        </w:rPr>
      </w:pPr>
      <w:bookmarkStart w:id="59" w:name="_Toc17833_WPSOffice_Level2"/>
      <w:bookmarkStart w:id="60" w:name="_Toc25362_WPSOffice_Level2"/>
      <w:bookmarkStart w:id="61" w:name="_Toc5343_WPSOffice_Level2"/>
      <w:bookmarkStart w:id="62" w:name="_Toc17283_WPSOffice_Level2"/>
      <w:bookmarkStart w:id="63" w:name="_Toc2632_WPSOffice_Level2"/>
      <w:bookmarkStart w:id="64" w:name="_Toc8373_WPSOffice_Level2"/>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pPr>
        <w:ind w:firstLine="1280" w:firstLineChars="400"/>
        <w:rPr>
          <w:rFonts w:hint="eastAsia" w:ascii="黑体" w:hAnsi="黑体" w:eastAsia="黑体" w:cs="黑体"/>
          <w:sz w:val="32"/>
          <w:szCs w:val="32"/>
        </w:rPr>
      </w:pPr>
      <w:r>
        <w:rPr>
          <w:rFonts w:hint="eastAsia" w:ascii="黑体" w:hAnsi="黑体" w:eastAsia="黑体" w:cs="黑体"/>
          <w:sz w:val="32"/>
          <w:szCs w:val="32"/>
        </w:rPr>
        <w:t>（见正文附件）。</w:t>
      </w:r>
    </w:p>
    <w:p>
      <w:pPr>
        <w:ind w:left="1118" w:leftChars="304" w:hanging="480" w:hangingChars="150"/>
        <w:rPr>
          <w:rFonts w:hint="eastAsia" w:ascii="黑体" w:hAnsi="黑体" w:eastAsia="黑体" w:cs="黑体"/>
          <w:sz w:val="32"/>
          <w:szCs w:val="32"/>
        </w:rPr>
      </w:pPr>
      <w:bookmarkStart w:id="65" w:name="_Toc11799_WPSOffice_Level2"/>
      <w:bookmarkStart w:id="66" w:name="_Toc5594_WPSOffice_Level2"/>
      <w:bookmarkStart w:id="67" w:name="_Toc13345_WPSOffice_Level2"/>
      <w:bookmarkStart w:id="68" w:name="_Toc6020_WPSOffice_Level2"/>
      <w:bookmarkStart w:id="69" w:name="_Toc21310_WPSOffice_Level2"/>
      <w:bookmarkStart w:id="70" w:name="_Toc1533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pPr>
        <w:ind w:left="1277" w:leftChars="608" w:firstLine="160" w:firstLineChars="50"/>
        <w:rPr>
          <w:rFonts w:hint="eastAsia" w:ascii="黑体" w:hAnsi="黑体" w:eastAsia="黑体" w:cs="黑体"/>
          <w:sz w:val="32"/>
          <w:szCs w:val="32"/>
        </w:rPr>
      </w:pPr>
      <w:r>
        <w:rPr>
          <w:rFonts w:hint="eastAsia" w:ascii="黑体" w:hAnsi="黑体" w:eastAsia="黑体" w:cs="黑体"/>
          <w:sz w:val="32"/>
          <w:szCs w:val="32"/>
        </w:rPr>
        <w:t>（见正文附件）。</w:t>
      </w:r>
    </w:p>
    <w:p>
      <w:pPr>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ind w:left="1277" w:leftChars="608" w:firstLine="160" w:firstLineChars="50"/>
        <w:rPr>
          <w:rFonts w:hint="eastAsia" w:ascii="黑体" w:hAnsi="黑体" w:eastAsia="黑体" w:cs="黑体"/>
          <w:sz w:val="32"/>
          <w:szCs w:val="32"/>
        </w:rPr>
      </w:pPr>
      <w:r>
        <w:rPr>
          <w:rFonts w:hint="eastAsia" w:ascii="黑体" w:hAnsi="黑体" w:eastAsia="黑体" w:cs="黑体"/>
          <w:sz w:val="32"/>
          <w:szCs w:val="32"/>
        </w:rPr>
        <w:t>（见正文附件）。</w:t>
      </w:r>
    </w:p>
    <w:p>
      <w:pPr>
        <w:rPr>
          <w:rFonts w:hint="eastAsia" w:ascii="黑体" w:hAnsi="黑体" w:eastAsia="黑体" w:cs="黑体"/>
          <w:sz w:val="32"/>
          <w:szCs w:val="32"/>
        </w:rPr>
      </w:pPr>
      <w:bookmarkStart w:id="71" w:name="_Toc19961_WPSOffice_Level2"/>
      <w:bookmarkStart w:id="72" w:name="_Toc29886_WPSOffice_Level2"/>
      <w:bookmarkStart w:id="73" w:name="_Toc1820_WPSOffice_Level2"/>
      <w:bookmarkStart w:id="74" w:name="_Toc9377_WPSOffice_Level2"/>
      <w:r>
        <w:rPr>
          <w:rFonts w:hint="eastAsia" w:ascii="黑体" w:hAnsi="黑体" w:eastAsia="黑体" w:cs="黑体"/>
          <w:sz w:val="32"/>
          <w:szCs w:val="32"/>
        </w:rPr>
        <w:t xml:space="preserve">    九、一般公共预算财政拨款“三公”经费支出决算</w:t>
      </w:r>
    </w:p>
    <w:p>
      <w:pPr>
        <w:rPr>
          <w:rFonts w:hint="eastAsia" w:ascii="黑体" w:hAnsi="黑体" w:eastAsia="黑体" w:cs="黑体"/>
          <w:sz w:val="32"/>
          <w:szCs w:val="32"/>
        </w:rPr>
      </w:pPr>
      <w:r>
        <w:rPr>
          <w:rFonts w:hint="eastAsia" w:ascii="黑体" w:hAnsi="黑体" w:eastAsia="黑体" w:cs="黑体"/>
          <w:sz w:val="32"/>
          <w:szCs w:val="32"/>
        </w:rPr>
        <w:t xml:space="preserve">         </w:t>
      </w:r>
      <w:bookmarkEnd w:id="71"/>
      <w:bookmarkEnd w:id="72"/>
      <w:bookmarkEnd w:id="73"/>
      <w:bookmarkEnd w:id="74"/>
      <w:r>
        <w:rPr>
          <w:rFonts w:hint="eastAsia" w:ascii="黑体" w:hAnsi="黑体" w:eastAsia="黑体" w:cs="黑体"/>
          <w:sz w:val="32"/>
          <w:szCs w:val="32"/>
        </w:rPr>
        <w:t>公开表（见正文附件）。</w:t>
      </w:r>
    </w:p>
    <w:p>
      <w:pPr>
        <w:rPr>
          <w:rFonts w:hint="eastAsia" w:ascii="黑体" w:hAnsi="黑体" w:eastAsia="黑体" w:cs="黑体"/>
          <w:w w:val="96"/>
          <w:sz w:val="32"/>
          <w:szCs w:val="32"/>
        </w:rPr>
      </w:pPr>
      <w:r>
        <w:rPr>
          <w:rFonts w:hint="eastAsia" w:ascii="黑体" w:hAnsi="黑体" w:eastAsia="黑体" w:cs="黑体"/>
          <w:w w:val="96"/>
          <w:sz w:val="32"/>
          <w:szCs w:val="32"/>
        </w:rPr>
        <w:t xml:space="preserve">    十、政府性基金预算财政拨款“三公”经费支出决算</w:t>
      </w:r>
    </w:p>
    <w:p>
      <w:pPr>
        <w:rPr>
          <w:rFonts w:hint="eastAsia" w:ascii="黑体" w:hAnsi="黑体" w:eastAsia="黑体" w:cs="黑体"/>
          <w:sz w:val="32"/>
          <w:szCs w:val="32"/>
        </w:rPr>
      </w:pPr>
      <w:r>
        <w:rPr>
          <w:rFonts w:hint="eastAsia" w:ascii="黑体" w:hAnsi="黑体" w:eastAsia="黑体" w:cs="黑体"/>
          <w:w w:val="96"/>
          <w:sz w:val="32"/>
          <w:szCs w:val="32"/>
        </w:rPr>
        <w:t xml:space="preserve">          公开表</w:t>
      </w:r>
      <w:r>
        <w:rPr>
          <w:rFonts w:hint="eastAsia" w:ascii="黑体" w:hAnsi="黑体" w:eastAsia="黑体" w:cs="黑体"/>
          <w:sz w:val="32"/>
          <w:szCs w:val="32"/>
        </w:rPr>
        <w:t>（见正文附件）。</w:t>
      </w:r>
    </w:p>
    <w:p>
      <w:pPr>
        <w:rPr>
          <w:rFonts w:hint="eastAsia" w:ascii="黑体" w:hAnsi="黑体" w:eastAsia="黑体" w:cs="黑体"/>
          <w:w w:val="96"/>
          <w:sz w:val="32"/>
          <w:szCs w:val="32"/>
        </w:rPr>
      </w:pPr>
      <w:r>
        <w:rPr>
          <w:rFonts w:hint="eastAsia" w:ascii="黑体" w:hAnsi="黑体" w:eastAsia="黑体" w:cs="黑体"/>
          <w:w w:val="96"/>
          <w:sz w:val="32"/>
          <w:szCs w:val="32"/>
        </w:rPr>
        <w:t xml:space="preserve">    十一、国有资本经营预算财政拨款“三公”经费支出决算</w:t>
      </w:r>
    </w:p>
    <w:p>
      <w:pPr>
        <w:rPr>
          <w:rFonts w:hint="eastAsia" w:ascii="黑体" w:hAnsi="黑体" w:eastAsia="黑体" w:cs="黑体"/>
          <w:sz w:val="32"/>
          <w:szCs w:val="32"/>
        </w:rPr>
      </w:pPr>
      <w:r>
        <w:rPr>
          <w:rFonts w:hint="eastAsia" w:ascii="黑体" w:hAnsi="黑体" w:eastAsia="黑体" w:cs="黑体"/>
          <w:w w:val="96"/>
          <w:sz w:val="32"/>
          <w:szCs w:val="32"/>
        </w:rPr>
        <w:t xml:space="preserve">          公开表</w:t>
      </w:r>
      <w:r>
        <w:rPr>
          <w:rFonts w:hint="eastAsia" w:ascii="黑体" w:hAnsi="黑体" w:eastAsia="黑体" w:cs="黑体"/>
          <w:sz w:val="32"/>
          <w:szCs w:val="32"/>
        </w:rPr>
        <w:t>（见正文附件）。</w:t>
      </w:r>
    </w:p>
    <w:p>
      <w:pPr>
        <w:rPr>
          <w:rFonts w:hint="eastAsia" w:ascii="黑体" w:hAnsi="黑体" w:eastAsia="黑体" w:cs="黑体"/>
          <w:sz w:val="32"/>
          <w:szCs w:val="32"/>
        </w:rPr>
      </w:pPr>
    </w:p>
    <w:p>
      <w:pPr>
        <w:rPr>
          <w:rFonts w:hint="eastAsia" w:ascii="黑体" w:hAnsi="黑体" w:eastAsia="黑体" w:cs="黑体"/>
          <w:sz w:val="32"/>
          <w:szCs w:val="32"/>
        </w:rPr>
      </w:pPr>
    </w:p>
    <w:p>
      <w:pPr>
        <w:jc w:val="center"/>
        <w:rPr>
          <w:rFonts w:hint="eastAsia" w:ascii="黑体" w:hAnsi="ˎ̥" w:eastAsia="黑体"/>
          <w:sz w:val="32"/>
          <w:szCs w:val="32"/>
        </w:rPr>
      </w:pPr>
      <w:bookmarkStart w:id="75" w:name="_Toc29683_WPSOffice_Level1"/>
      <w:bookmarkStart w:id="76" w:name="_Toc16686_WPSOffice_Level1"/>
      <w:bookmarkStart w:id="77" w:name="_Toc4402_WPSOffice_Level1"/>
      <w:bookmarkStart w:id="78" w:name="_Toc27590_WPSOffice_Level1"/>
      <w:bookmarkStart w:id="79" w:name="_Toc28629_WPSOffice_Level1"/>
      <w:bookmarkStart w:id="80" w:name="_Toc31264_WPSOffice_Level1"/>
      <w:r>
        <w:rPr>
          <w:rFonts w:hint="eastAsia" w:ascii="黑体" w:hAnsi="ˎ̥" w:eastAsia="黑体"/>
          <w:sz w:val="32"/>
          <w:szCs w:val="32"/>
        </w:rPr>
        <w:t>第三部分  海南省工业学校2021年度部门决算情况说明</w:t>
      </w:r>
      <w:bookmarkEnd w:id="75"/>
      <w:bookmarkEnd w:id="76"/>
      <w:bookmarkEnd w:id="77"/>
      <w:bookmarkEnd w:id="78"/>
      <w:bookmarkEnd w:id="79"/>
      <w:bookmarkEnd w:id="80"/>
    </w:p>
    <w:p>
      <w:pPr>
        <w:jc w:val="center"/>
        <w:rPr>
          <w:rFonts w:hint="eastAsia" w:ascii="黑体" w:hAnsi="ˎ̥" w:eastAsia="黑体"/>
          <w:sz w:val="32"/>
          <w:szCs w:val="32"/>
        </w:rPr>
      </w:pPr>
    </w:p>
    <w:p>
      <w:pPr>
        <w:ind w:firstLine="640" w:firstLineChars="200"/>
        <w:rPr>
          <w:rFonts w:hint="eastAsia" w:ascii="仿宋_GB2312" w:hAnsi="ˎ̥" w:eastAsia="仿宋_GB2312"/>
          <w:sz w:val="32"/>
          <w:szCs w:val="32"/>
        </w:rPr>
      </w:pPr>
      <w:r>
        <w:rPr>
          <w:rFonts w:hint="eastAsia" w:ascii="黑体" w:hAnsi="黑体" w:eastAsia="黑体" w:cs="黑体"/>
          <w:bCs/>
          <w:sz w:val="32"/>
          <w:szCs w:val="32"/>
        </w:rPr>
        <w:t>一、收入支出决算总体情况说明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仿宋_GB2312" w:hAnsi="ˎ̥" w:eastAsia="仿宋_GB2312"/>
          <w:sz w:val="32"/>
          <w:szCs w:val="32"/>
        </w:rPr>
        <w:t>2021年度收入总计7064.47万元，支出总计7064.47  万元，与2020年度相比，收入、支出总计各增加1399.35万元，增长19.8%。主要原因：一是公用经费增长；二是项目支出增长。使用非财政拨款结余 0万元，较2020年度决算数减少7.31万元，主要原因是我校领导重视资金管理，内控管理不断规范化，加快推进资金的使用进度。年初结转结余5.23 万元，主要是生活补助（扶贫干部）0.95万、事业单位医疗0.23万、职业年金0.32万、住房公积金3.73万组成，较2020年度决算数减少100.6万元，下降95%，主要原因是领</w:t>
      </w:r>
      <w:r>
        <w:rPr>
          <w:rFonts w:hint="eastAsia" w:ascii="仿宋_GB2312" w:hAnsi="ˎ̥" w:eastAsia="仿宋_GB2312" w:cs="仿宋_GB2312"/>
          <w:kern w:val="0"/>
          <w:sz w:val="32"/>
          <w:szCs w:val="32"/>
          <w:shd w:val="clear" w:color="auto" w:fill="FFFFFF"/>
          <w:lang w:bidi="ar"/>
        </w:rPr>
        <w:t>导狠抓落实，责任明确，制定项目实施</w:t>
      </w:r>
      <w:r>
        <w:rPr>
          <w:rFonts w:hint="eastAsia" w:ascii="仿宋_GB2312" w:hAnsi="ˎ̥" w:eastAsia="仿宋_GB2312" w:cs="仿宋_GB2312"/>
          <w:kern w:val="0"/>
          <w:sz w:val="32"/>
          <w:szCs w:val="32"/>
          <w:shd w:val="clear" w:color="auto" w:fill="FFFFFF"/>
          <w:lang w:bidi="ar"/>
        </w:rPr>
        <w:tab/>
      </w:r>
      <w:r>
        <w:rPr>
          <w:rFonts w:hint="eastAsia" w:ascii="仿宋_GB2312" w:hAnsi="ˎ̥" w:eastAsia="仿宋_GB2312" w:cs="仿宋_GB2312"/>
          <w:kern w:val="0"/>
          <w:sz w:val="32"/>
          <w:szCs w:val="32"/>
          <w:shd w:val="clear" w:color="auto" w:fill="FFFFFF"/>
          <w:lang w:bidi="ar"/>
        </w:rPr>
        <w:t>计划</w:t>
      </w:r>
      <w:r>
        <w:rPr>
          <w:rFonts w:hint="eastAsia" w:ascii="仿宋_GB2312" w:hAnsi="ˎ̥" w:eastAsia="仿宋_GB2312"/>
          <w:sz w:val="32"/>
          <w:szCs w:val="32"/>
        </w:rPr>
        <w:t>。结余分配26.5万元，主要是租金和电工培训、考试费，较2020年度决算数减少2.24万元，下降7.8%，主要原因是电工培训、考证的积极推进。年末结转结余261.15万元，主要是用于新能源汽车实训设备购置项目设备购置178.5万，新能源汽车室外教学场地改造77.95万，1+X证书培训4万，较2020年度决算数增加255.92万元，增长4893.3%，主要原因是新能源实训室设备购置项目、新能源室外教学场地改造项目于2021年下半年开工，开展进度较慢，付款率较低。因此学校需加强项目的前期筹划，做好项目的前期准备。</w:t>
      </w:r>
    </w:p>
    <w:p>
      <w:pPr>
        <w:ind w:firstLine="640" w:firstLineChars="200"/>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本年收入合计 7059.24 万元，其中：财政拨款收入   6726.7万元，占95.29%；上级补助收入0万元，占0%；事业收入144.34万元，占2.04%；经营收入0万元，占0%；附属单位上缴收入0万元，占0%；其他收入188.21万元，占2.67%。</w:t>
      </w:r>
    </w:p>
    <w:p>
      <w:pPr>
        <w:ind w:firstLine="627" w:firstLineChars="196"/>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本年支出合计6776.82万元，其中：基本支出3360.22万元，占49.58%；项目支出3416.6万元，占50.42%；上缴上级支出0万元，占0%；经营支出0万元，占0%；对附属单位补助支出0万元，占0%。</w:t>
      </w:r>
    </w:p>
    <w:p>
      <w:pPr>
        <w:ind w:firstLine="627" w:firstLineChars="196"/>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2021年度财政拨款收入6731.93万元，支出总计6731.93万元。与2020年度相比，财政拨款收入、支出总计各增加1328.5万元，增长24.59%。主要原因：一是公用经费增长；二是项目支出增长。</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财政拨款年初结转结余5.23万元，主要是生活补助（扶贫干部）0.95万、事业单位医疗0.23万、职业年金0.32万、住房公积金3.73万组成，较2020年度决算数减少100.6万元，下降95%，主要原因是领</w:t>
      </w:r>
      <w:r>
        <w:rPr>
          <w:rFonts w:hint="eastAsia" w:ascii="仿宋_GB2312" w:hAnsi="ˎ̥" w:eastAsia="仿宋_GB2312" w:cs="仿宋_GB2312"/>
          <w:kern w:val="0"/>
          <w:sz w:val="32"/>
          <w:szCs w:val="32"/>
          <w:shd w:val="clear" w:color="auto" w:fill="FFFFFF"/>
          <w:lang w:bidi="ar"/>
        </w:rPr>
        <w:t>导狠抓落实，责任明确，制定项目实施计划</w:t>
      </w:r>
      <w:r>
        <w:rPr>
          <w:rFonts w:hint="eastAsia" w:ascii="仿宋_GB2312" w:hAnsi="ˎ̥" w:eastAsia="仿宋_GB2312"/>
          <w:sz w:val="32"/>
          <w:szCs w:val="32"/>
        </w:rPr>
        <w:t>。</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财政拨款年末结转结余261.15万元，主要是用于新能源汽车实训设备购置项目设备购置178.5万，新能源汽车室外教学场地改造77.95万，1+X证书培训4万，较2020年度年末决算数增加255.92万元，增长4893.3%，主要原因是新能源实训室设备购置项目、新能源室外教学场地改造项目于2021年下半年开工，开展进度较慢，付款率较低。因此学校需加强项目的前期筹划，做好项目的前期准备。</w:t>
      </w:r>
    </w:p>
    <w:p>
      <w:pPr>
        <w:ind w:firstLine="627" w:firstLineChars="196"/>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ind w:firstLine="640" w:firstLineChars="200"/>
        <w:rPr>
          <w:rFonts w:hint="eastAsia" w:ascii="楷体" w:hAnsi="楷体" w:eastAsia="楷体" w:cs="楷体"/>
          <w:sz w:val="32"/>
          <w:szCs w:val="32"/>
        </w:rPr>
      </w:pPr>
      <w:bookmarkStart w:id="81" w:name="_Toc17398_WPSOffice_Level2"/>
      <w:bookmarkStart w:id="82" w:name="_Toc13694_WPSOffice_Level2"/>
      <w:bookmarkStart w:id="83" w:name="_Toc19665_WPSOffice_Level2"/>
      <w:bookmarkStart w:id="84" w:name="_Toc23005_WPSOffice_Level2"/>
      <w:bookmarkStart w:id="85" w:name="_Toc9989_WPSOffice_Level2"/>
      <w:bookmarkStart w:id="86" w:name="_Toc21737_WPSOffice_Level2"/>
      <w:r>
        <w:rPr>
          <w:rFonts w:hint="eastAsia" w:ascii="楷体" w:hAnsi="楷体" w:eastAsia="楷体" w:cs="楷体"/>
          <w:sz w:val="32"/>
          <w:szCs w:val="32"/>
        </w:rPr>
        <w:t>（一）一般公共预算财政拨款支出决算总体情况</w:t>
      </w:r>
      <w:bookmarkEnd w:id="81"/>
      <w:bookmarkEnd w:id="82"/>
      <w:bookmarkEnd w:id="83"/>
      <w:bookmarkEnd w:id="84"/>
      <w:bookmarkEnd w:id="85"/>
      <w:bookmarkEnd w:id="86"/>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2021年度一般公共预算财政拨款支出6470.78</w:t>
      </w:r>
      <w:r>
        <w:rPr>
          <w:rFonts w:hint="eastAsia" w:ascii="仿宋_GB2312" w:hAnsi="ˎ̥" w:eastAsia="仿宋_GB2312"/>
          <w:sz w:val="32"/>
          <w:szCs w:val="32"/>
        </w:rPr>
        <w:tab/>
      </w:r>
      <w:r>
        <w:rPr>
          <w:rFonts w:hint="eastAsia" w:ascii="仿宋_GB2312" w:hAnsi="ˎ̥" w:eastAsia="仿宋_GB2312"/>
          <w:sz w:val="32"/>
          <w:szCs w:val="32"/>
        </w:rPr>
        <w:t>万元，占本年支出合计的96.12%。与2020年度相比，一般公共预算财政拨款支出增加1072.58万元，增长19.87%，主要原因是</w:t>
      </w:r>
      <w:r>
        <w:rPr>
          <w:rFonts w:hint="eastAsia" w:ascii="仿宋_GB2312" w:hAnsi="ˎ̥" w:eastAsia="仿宋_GB2312" w:cs="仿宋_GB2312"/>
          <w:kern w:val="0"/>
          <w:sz w:val="32"/>
          <w:szCs w:val="32"/>
          <w:shd w:val="clear" w:color="auto" w:fill="FFFFFF"/>
          <w:lang w:bidi="ar"/>
        </w:rPr>
        <w:t>公用经费增加，项目资金增加</w:t>
      </w:r>
      <w:r>
        <w:rPr>
          <w:rFonts w:hint="eastAsia" w:ascii="仿宋_GB2312" w:hAnsi="ˎ̥" w:eastAsia="仿宋_GB2312"/>
          <w:sz w:val="32"/>
          <w:szCs w:val="32"/>
        </w:rPr>
        <w:t>。</w:t>
      </w:r>
    </w:p>
    <w:p>
      <w:pPr>
        <w:ind w:firstLine="640" w:firstLineChars="200"/>
        <w:rPr>
          <w:rFonts w:hint="eastAsia" w:ascii="楷体" w:hAnsi="楷体" w:eastAsia="楷体" w:cs="楷体"/>
          <w:sz w:val="32"/>
          <w:szCs w:val="32"/>
        </w:rPr>
      </w:pPr>
      <w:bookmarkStart w:id="87" w:name="_Toc18793_WPSOffice_Level2"/>
      <w:bookmarkStart w:id="88" w:name="_Toc2711_WPSOffice_Level2"/>
      <w:bookmarkStart w:id="89" w:name="_Toc19535_WPSOffice_Level2"/>
      <w:bookmarkStart w:id="90" w:name="_Toc19075_WPSOffice_Level2"/>
      <w:bookmarkStart w:id="91" w:name="_Toc23864_WPSOffice_Level2"/>
      <w:bookmarkStart w:id="92" w:name="_Toc27767_WPSOffice_Level2"/>
      <w:r>
        <w:rPr>
          <w:rFonts w:hint="eastAsia" w:ascii="楷体" w:hAnsi="楷体" w:eastAsia="楷体" w:cs="楷体"/>
          <w:sz w:val="32"/>
          <w:szCs w:val="32"/>
        </w:rPr>
        <w:t>（二）一般公共预算财政拨款支出决算结构情况</w:t>
      </w:r>
      <w:bookmarkEnd w:id="87"/>
      <w:bookmarkEnd w:id="88"/>
      <w:bookmarkEnd w:id="89"/>
      <w:bookmarkEnd w:id="90"/>
      <w:bookmarkEnd w:id="91"/>
      <w:bookmarkEnd w:id="92"/>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2021年度一般公共预算财政拨款支出6470.78万元，主要用于以下方面：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支出5730.58万元，占88.56%；</w:t>
      </w:r>
      <w:r>
        <w:rPr>
          <w:rFonts w:hint="eastAsia" w:ascii="仿宋_GB2312" w:hAnsi="ˎ̥" w:eastAsia="仿宋_GB2312"/>
          <w:b/>
          <w:sz w:val="32"/>
          <w:szCs w:val="32"/>
        </w:rPr>
        <w:t>社会保障和就业（类）</w:t>
      </w:r>
      <w:r>
        <w:rPr>
          <w:rFonts w:hint="eastAsia" w:ascii="仿宋_GB2312" w:hAnsi="ˎ̥" w:eastAsia="仿宋_GB2312"/>
          <w:sz w:val="32"/>
          <w:szCs w:val="32"/>
        </w:rPr>
        <w:t>支出386.94万元，占5.98%；</w:t>
      </w:r>
      <w:r>
        <w:rPr>
          <w:rFonts w:hint="eastAsia" w:ascii="仿宋_GB2312" w:hAnsi="ˎ̥" w:eastAsia="仿宋_GB2312"/>
          <w:b/>
          <w:bCs/>
          <w:sz w:val="32"/>
          <w:szCs w:val="32"/>
        </w:rPr>
        <w:t>卫生健康（类）</w:t>
      </w:r>
      <w:r>
        <w:rPr>
          <w:rFonts w:hint="eastAsia" w:ascii="仿宋_GB2312" w:hAnsi="ˎ̥" w:eastAsia="仿宋_GB2312"/>
          <w:sz w:val="32"/>
          <w:szCs w:val="32"/>
        </w:rPr>
        <w:t>支出141.94万元，占2.19%；</w:t>
      </w:r>
      <w:r>
        <w:rPr>
          <w:rFonts w:hint="eastAsia" w:ascii="仿宋_GB2312" w:hAnsi="ˎ̥" w:eastAsia="仿宋_GB2312"/>
          <w:b/>
          <w:bCs/>
          <w:sz w:val="32"/>
          <w:szCs w:val="32"/>
        </w:rPr>
        <w:t>住房保障（类）</w:t>
      </w:r>
      <w:r>
        <w:rPr>
          <w:rFonts w:hint="eastAsia" w:ascii="仿宋_GB2312" w:hAnsi="ˎ̥" w:eastAsia="仿宋_GB2312"/>
          <w:sz w:val="32"/>
          <w:szCs w:val="32"/>
        </w:rPr>
        <w:t>支出211.35万元，占3.27%。</w:t>
      </w:r>
    </w:p>
    <w:p>
      <w:pPr>
        <w:ind w:firstLine="640" w:firstLineChars="200"/>
        <w:rPr>
          <w:rFonts w:hint="eastAsia" w:ascii="楷体" w:hAnsi="楷体" w:eastAsia="楷体" w:cs="楷体"/>
          <w:sz w:val="32"/>
          <w:szCs w:val="32"/>
        </w:rPr>
      </w:pPr>
      <w:bookmarkStart w:id="93" w:name="_Toc29364_WPSOffice_Level2"/>
      <w:bookmarkStart w:id="94" w:name="_Toc15415_WPSOffice_Level2"/>
      <w:bookmarkStart w:id="95" w:name="_Toc22318_WPSOffice_Level2"/>
      <w:bookmarkStart w:id="96" w:name="_Toc25136_WPSOffice_Level2"/>
      <w:bookmarkStart w:id="97" w:name="_Toc21701_WPSOffice_Level2"/>
      <w:bookmarkStart w:id="98" w:name="_Toc9502_WPSOffice_Level2"/>
      <w:r>
        <w:rPr>
          <w:rFonts w:hint="eastAsia" w:ascii="楷体" w:hAnsi="楷体" w:eastAsia="楷体" w:cs="楷体"/>
          <w:sz w:val="32"/>
          <w:szCs w:val="32"/>
        </w:rPr>
        <w:t>（三）一般公共预算财政拨款支出决算具体情况</w:t>
      </w:r>
      <w:bookmarkEnd w:id="93"/>
      <w:bookmarkEnd w:id="94"/>
      <w:bookmarkEnd w:id="95"/>
      <w:bookmarkEnd w:id="96"/>
      <w:bookmarkEnd w:id="97"/>
      <w:bookmarkEnd w:id="98"/>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2021年度一般公共预算财政拨款支出年初预算为6737.78万元，支出决算为6470.78万元，完成年初预算的96%。其中：</w:t>
      </w:r>
    </w:p>
    <w:p>
      <w:pPr>
        <w:keepNext w:val="0"/>
        <w:keepLines w:val="0"/>
        <w:widowControl/>
        <w:suppressLineNumbers w:val="0"/>
        <w:ind w:firstLine="640" w:firstLineChars="200"/>
        <w:jc w:val="left"/>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仿宋_GB2312" w:eastAsia="仿宋_GB2312" w:cs="仿宋_GB2312"/>
          <w:b/>
          <w:bCs/>
          <w:color w:val="000000"/>
          <w:kern w:val="0"/>
          <w:sz w:val="31"/>
          <w:szCs w:val="31"/>
          <w:lang w:val="en-US" w:eastAsia="zh-CN" w:bidi="ar"/>
        </w:rPr>
        <w:t>教育支出（类）职业教育（款）中等职业教育（项）</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年初预算为6011.35万元，支出决算为5730.58万元，完成年初预算的95.33%。决算数小于预算数的主要原因：一是项目前期筹备不足，支付进度较慢；二是工程未完工，无法按时支付工程款。</w:t>
      </w:r>
    </w:p>
    <w:p>
      <w:pPr>
        <w:keepNext w:val="0"/>
        <w:keepLines w:val="0"/>
        <w:widowControl/>
        <w:suppressLineNumbers w:val="0"/>
        <w:ind w:firstLine="640" w:firstLineChars="200"/>
        <w:jc w:val="left"/>
      </w:pPr>
      <w:r>
        <w:rPr>
          <w:rFonts w:hint="eastAsia" w:ascii="仿宋_GB2312" w:hAnsi="ˎ̥" w:eastAsia="仿宋_GB2312"/>
          <w:sz w:val="32"/>
          <w:szCs w:val="32"/>
        </w:rPr>
        <w:t>2.</w:t>
      </w:r>
      <w:r>
        <w:rPr>
          <w:rFonts w:hint="eastAsia" w:ascii="仿宋_GB2312" w:hAnsi="ˎ̥" w:eastAsia="仿宋_GB2312"/>
          <w:b/>
          <w:sz w:val="32"/>
          <w:szCs w:val="32"/>
        </w:rPr>
        <w:t xml:space="preserve"> </w:t>
      </w:r>
      <w:r>
        <w:rPr>
          <w:rFonts w:hint="eastAsia" w:ascii="仿宋_GB2312" w:hAnsi="仿宋_GB2312" w:eastAsia="仿宋_GB2312" w:cs="仿宋_GB2312"/>
          <w:b/>
          <w:bCs/>
          <w:color w:val="000000"/>
          <w:kern w:val="0"/>
          <w:sz w:val="31"/>
          <w:szCs w:val="31"/>
          <w:lang w:val="en-US" w:eastAsia="zh-CN" w:bidi="ar"/>
        </w:rPr>
        <w:t xml:space="preserve">社会保障和就业支出（类）行政事业单位养老支出 </w:t>
      </w:r>
    </w:p>
    <w:p>
      <w:pPr>
        <w:keepNext w:val="0"/>
        <w:keepLines w:val="0"/>
        <w:widowControl/>
        <w:suppressLineNumbers w:val="0"/>
        <w:jc w:val="left"/>
        <w:rPr>
          <w:rFonts w:hint="eastAsia" w:ascii="仿宋_GB2312" w:hAnsi="ˎ̥" w:eastAsia="仿宋_GB2312"/>
          <w:b/>
          <w:sz w:val="32"/>
          <w:szCs w:val="32"/>
        </w:rPr>
      </w:pPr>
      <w:r>
        <w:rPr>
          <w:rFonts w:hint="eastAsia" w:ascii="仿宋_GB2312" w:hAnsi="仿宋_GB2312" w:eastAsia="仿宋_GB2312" w:cs="仿宋_GB2312"/>
          <w:b/>
          <w:bCs/>
          <w:color w:val="000000"/>
          <w:kern w:val="0"/>
          <w:sz w:val="31"/>
          <w:szCs w:val="31"/>
          <w:lang w:val="en-US" w:eastAsia="zh-CN" w:bidi="ar"/>
        </w:rPr>
        <w:t>（款）机关事业单位基本养老保险缴费支出（项）</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年初预算为377.13万元，支出决算为386.94万元，完成年初预算的102.6%。决算数大于预算数的主要原因由于人员调入，后期进行预算调剂补充。</w:t>
      </w:r>
    </w:p>
    <w:p>
      <w:pPr>
        <w:keepNext w:val="0"/>
        <w:keepLines w:val="0"/>
        <w:widowControl/>
        <w:suppressLineNumbers w:val="0"/>
        <w:ind w:firstLine="640" w:firstLineChars="200"/>
        <w:jc w:val="left"/>
      </w:pPr>
      <w:r>
        <w:rPr>
          <w:rFonts w:hint="eastAsia" w:ascii="仿宋_GB2312" w:hAnsi="ˎ̥" w:eastAsia="仿宋_GB2312"/>
          <w:sz w:val="32"/>
          <w:szCs w:val="32"/>
        </w:rPr>
        <w:t>3.</w:t>
      </w:r>
      <w:r>
        <w:rPr>
          <w:rFonts w:hint="eastAsia" w:ascii="仿宋_GB2312" w:hAnsi="ˎ̥" w:eastAsia="仿宋_GB2312"/>
          <w:b/>
          <w:sz w:val="32"/>
          <w:szCs w:val="32"/>
        </w:rPr>
        <w:t xml:space="preserve"> </w:t>
      </w:r>
      <w:r>
        <w:rPr>
          <w:rFonts w:hint="eastAsia" w:ascii="仿宋_GB2312" w:hAnsi="仿宋_GB2312" w:eastAsia="仿宋_GB2312" w:cs="仿宋_GB2312"/>
          <w:b/>
          <w:bCs/>
          <w:color w:val="000000"/>
          <w:kern w:val="0"/>
          <w:sz w:val="31"/>
          <w:szCs w:val="31"/>
          <w:lang w:val="en-US" w:eastAsia="zh-CN" w:bidi="ar"/>
        </w:rPr>
        <w:t xml:space="preserve">卫生健康支出（类）行政事业单位医疗（款）事业 </w:t>
      </w:r>
    </w:p>
    <w:p>
      <w:pPr>
        <w:ind w:firstLine="622" w:firstLineChars="200"/>
        <w:rPr>
          <w:rFonts w:hint="eastAsia" w:ascii="仿宋_GB2312" w:hAnsi="ˎ̥" w:eastAsia="仿宋_GB2312"/>
          <w:b/>
          <w:sz w:val="32"/>
          <w:szCs w:val="32"/>
        </w:rPr>
      </w:pPr>
      <w:r>
        <w:rPr>
          <w:rFonts w:hint="eastAsia" w:ascii="仿宋_GB2312" w:hAnsi="仿宋_GB2312" w:eastAsia="仿宋_GB2312" w:cs="仿宋_GB2312"/>
          <w:b/>
          <w:bCs/>
          <w:color w:val="000000"/>
          <w:kern w:val="0"/>
          <w:sz w:val="31"/>
          <w:szCs w:val="31"/>
          <w:lang w:val="en-US" w:eastAsia="zh-CN" w:bidi="ar"/>
        </w:rPr>
        <w:t>单位医疗（项）</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年初预算为141.68万元，支出决算为141.91万元，完成年初预算的100.16%。决算数与预算数相差不大，预算执行情况良好。</w:t>
      </w:r>
    </w:p>
    <w:p>
      <w:pPr>
        <w:keepNext w:val="0"/>
        <w:keepLines w:val="0"/>
        <w:widowControl/>
        <w:suppressLineNumbers w:val="0"/>
        <w:ind w:firstLine="640" w:firstLineChars="200"/>
        <w:jc w:val="left"/>
      </w:pPr>
      <w:r>
        <w:rPr>
          <w:rFonts w:hint="eastAsia" w:ascii="仿宋_GB2312" w:hAnsi="ˎ̥" w:eastAsia="仿宋_GB2312"/>
          <w:sz w:val="32"/>
          <w:szCs w:val="32"/>
        </w:rPr>
        <w:t>4.</w:t>
      </w:r>
      <w:r>
        <w:rPr>
          <w:rFonts w:hint="eastAsia" w:ascii="仿宋_GB2312" w:hAnsi="ˎ̥" w:eastAsia="仿宋_GB2312"/>
          <w:b/>
          <w:sz w:val="32"/>
          <w:szCs w:val="32"/>
        </w:rPr>
        <w:t xml:space="preserve"> </w:t>
      </w:r>
      <w:r>
        <w:rPr>
          <w:rFonts w:hint="eastAsia" w:ascii="仿宋_GB2312" w:hAnsi="仿宋_GB2312" w:eastAsia="仿宋_GB2312" w:cs="仿宋_GB2312"/>
          <w:b/>
          <w:bCs/>
          <w:color w:val="000000"/>
          <w:kern w:val="0"/>
          <w:sz w:val="31"/>
          <w:szCs w:val="31"/>
          <w:lang w:val="en-US" w:eastAsia="zh-CN" w:bidi="ar"/>
        </w:rPr>
        <w:t xml:space="preserve">住房保障支出（类）住房改革支出（款）住房公积 </w:t>
      </w:r>
    </w:p>
    <w:p>
      <w:pPr>
        <w:keepNext w:val="0"/>
        <w:keepLines w:val="0"/>
        <w:widowControl/>
        <w:suppressLineNumbers w:val="0"/>
        <w:jc w:val="left"/>
        <w:rPr>
          <w:rFonts w:hint="eastAsia" w:ascii="仿宋_GB2312" w:hAnsi="ˎ̥" w:eastAsia="仿宋_GB2312"/>
          <w:b/>
          <w:sz w:val="32"/>
          <w:szCs w:val="32"/>
        </w:rPr>
      </w:pPr>
      <w:r>
        <w:rPr>
          <w:rFonts w:hint="eastAsia" w:ascii="仿宋_GB2312" w:hAnsi="仿宋_GB2312" w:eastAsia="仿宋_GB2312" w:cs="仿宋_GB2312"/>
          <w:b/>
          <w:bCs/>
          <w:color w:val="000000"/>
          <w:kern w:val="0"/>
          <w:sz w:val="31"/>
          <w:szCs w:val="31"/>
          <w:lang w:val="en-US" w:eastAsia="zh-CN" w:bidi="ar"/>
        </w:rPr>
        <w:t>金（项）</w:t>
      </w:r>
    </w:p>
    <w:p>
      <w:pPr>
        <w:ind w:firstLine="320" w:firstLineChars="100"/>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207.62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211.35</w:t>
      </w:r>
      <w:r>
        <w:rPr>
          <w:rFonts w:hint="eastAsia" w:ascii="仿宋_GB2312" w:hAnsi="ˎ̥" w:eastAsia="仿宋_GB2312"/>
          <w:sz w:val="32"/>
          <w:szCs w:val="32"/>
        </w:rPr>
        <w:t>万元，完成年初预算的1</w:t>
      </w:r>
      <w:r>
        <w:rPr>
          <w:rFonts w:hint="eastAsia" w:ascii="仿宋_GB2312" w:hAnsi="ˎ̥" w:eastAsia="仿宋_GB2312"/>
          <w:sz w:val="32"/>
          <w:szCs w:val="32"/>
          <w:lang w:val="en-US" w:eastAsia="zh-CN"/>
        </w:rPr>
        <w:t>01.8</w:t>
      </w:r>
      <w:r>
        <w:rPr>
          <w:rFonts w:hint="eastAsia" w:ascii="仿宋_GB2312" w:hAnsi="ˎ̥" w:eastAsia="仿宋_GB2312"/>
          <w:sz w:val="32"/>
          <w:szCs w:val="32"/>
        </w:rPr>
        <w:t>%。决算数大于预算数的主要原因是由于人员调入，后期进行预算调剂补充。</w:t>
      </w:r>
      <w:bookmarkStart w:id="123" w:name="_GoBack"/>
      <w:bookmarkEnd w:id="123"/>
    </w:p>
    <w:p>
      <w:pPr>
        <w:ind w:firstLine="627" w:firstLineChars="196"/>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tabs>
          <w:tab w:val="center" w:pos="4473"/>
        </w:tabs>
        <w:ind w:firstLine="640" w:firstLineChars="200"/>
        <w:rPr>
          <w:rFonts w:hint="eastAsia" w:ascii="仿宋_GB2312" w:hAnsi="ˎ̥" w:eastAsia="仿宋_GB2312"/>
          <w:sz w:val="32"/>
          <w:szCs w:val="32"/>
        </w:rPr>
      </w:pPr>
      <w:r>
        <w:rPr>
          <w:rFonts w:hint="eastAsia" w:ascii="仿宋_GB2312" w:hAnsi="ˎ̥" w:eastAsia="仿宋_GB2312"/>
          <w:sz w:val="32"/>
          <w:szCs w:val="32"/>
        </w:rPr>
        <w:t>2021年度财政拨款基本支出3054.18万元，其中：人员经费2548.7万元，主要包括：工资福利支出中的基本工资、津贴补贴、绩效工资、机关事业单位基本养老保险缴费、职业年金缴费、职工基本医疗保险缴费、其他社会保障缴费、住房公积金、医疗费、其他工资福利支出；对个人和家庭的补助中的抚恤金、生活补助、助学金、奖励金、其他对个人和家庭的补助。公用经费505.52万元，主要包括：商品和服务支出中的办公费、印刷费、水费、电费、邮电费、物业管理费、差旅费、维修（护）费、租赁费、培训费、公务接待费、专用材料费、专用燃料费、劳务费、委托业务费、工会经费、公务用车运行维护费、其他交通费用、其他商品和服务支出。</w:t>
      </w:r>
    </w:p>
    <w:p>
      <w:pPr>
        <w:tabs>
          <w:tab w:val="center" w:pos="4473"/>
        </w:tabs>
        <w:ind w:firstLine="627" w:firstLineChars="196"/>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ind w:firstLine="640" w:firstLineChars="200"/>
        <w:rPr>
          <w:rFonts w:hint="eastAsia" w:ascii="宋体" w:hAnsi="宋体" w:cs="仿宋"/>
          <w:color w:val="000000"/>
          <w:kern w:val="0"/>
          <w:sz w:val="24"/>
        </w:rPr>
      </w:pPr>
      <w:r>
        <w:rPr>
          <w:rFonts w:hint="eastAsia" w:ascii="仿宋_GB2312" w:hAnsi="ˎ̥" w:eastAsia="仿宋_GB2312"/>
          <w:sz w:val="32"/>
          <w:szCs w:val="32"/>
        </w:rPr>
        <w:t xml:space="preserve"> </w:t>
      </w:r>
      <w:r>
        <w:rPr>
          <w:rFonts w:hint="eastAsia" w:ascii="仿宋_GB2312" w:hAnsi="ˎ̥" w:eastAsia="仿宋_GB2312"/>
          <w:sz w:val="32"/>
          <w:szCs w:val="32"/>
          <w:lang w:val="en-US" w:eastAsia="zh-CN"/>
        </w:rPr>
        <w:t xml:space="preserve">  </w:t>
      </w:r>
      <w:r>
        <w:rPr>
          <w:rFonts w:hint="eastAsia" w:ascii="仿宋_GB2312" w:hAnsi="ˎ̥" w:eastAsia="仿宋_GB2312"/>
          <w:sz w:val="32"/>
          <w:szCs w:val="32"/>
        </w:rPr>
        <w:t>2021年度本单位无政府性基金预算财政拨款支出</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ind w:firstLine="800" w:firstLineChars="250"/>
        <w:rPr>
          <w:rFonts w:hint="eastAsia" w:ascii="仿宋_GB2312" w:hAnsi="ˎ̥" w:eastAsia="仿宋_GB2312"/>
          <w:sz w:val="32"/>
          <w:szCs w:val="32"/>
        </w:rPr>
      </w:pPr>
      <w:r>
        <w:rPr>
          <w:rFonts w:hint="eastAsia" w:ascii="仿宋_GB2312" w:hAnsi="ˎ̥" w:eastAsia="仿宋_GB2312"/>
          <w:sz w:val="32"/>
          <w:szCs w:val="32"/>
        </w:rPr>
        <w:t xml:space="preserve"> </w:t>
      </w:r>
      <w:r>
        <w:rPr>
          <w:rFonts w:hint="eastAsia" w:ascii="仿宋_GB2312" w:hAnsi="ˎ̥" w:eastAsia="仿宋_GB2312"/>
          <w:sz w:val="32"/>
          <w:szCs w:val="32"/>
          <w:lang w:val="en-US" w:eastAsia="zh-CN"/>
        </w:rPr>
        <w:t xml:space="preserve"> </w:t>
      </w:r>
      <w:r>
        <w:rPr>
          <w:rFonts w:hint="eastAsia" w:ascii="仿宋_GB2312" w:hAnsi="ˎ̥" w:eastAsia="仿宋_GB2312"/>
          <w:sz w:val="32"/>
          <w:szCs w:val="32"/>
        </w:rPr>
        <w:t>2021年度本单位无政府性基金预算财政拨款支出</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ind w:firstLine="1120" w:firstLineChars="350"/>
        <w:rPr>
          <w:rFonts w:hint="eastAsia" w:ascii="仿宋_GB2312" w:hAnsi="ˎ̥" w:eastAsia="仿宋_GB2312"/>
          <w:sz w:val="32"/>
          <w:szCs w:val="32"/>
        </w:rPr>
      </w:pPr>
      <w:r>
        <w:rPr>
          <w:rFonts w:hint="eastAsia" w:ascii="仿宋_GB2312" w:hAnsi="ˎ̥" w:eastAsia="仿宋_GB2312"/>
          <w:sz w:val="32"/>
          <w:szCs w:val="32"/>
        </w:rPr>
        <w:t>2021年度本单位无政府性基金预算财政拨款支出</w:t>
      </w:r>
    </w:p>
    <w:p>
      <w:pPr>
        <w:tabs>
          <w:tab w:val="center" w:pos="4473"/>
        </w:tabs>
        <w:ind w:firstLine="627" w:firstLineChars="196"/>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ind w:firstLine="960" w:firstLineChars="300"/>
        <w:rPr>
          <w:rFonts w:hint="eastAsia" w:ascii="仿宋_GB2312" w:hAnsi="ˎ̥" w:eastAsia="仿宋_GB2312"/>
          <w:sz w:val="32"/>
          <w:szCs w:val="32"/>
        </w:rPr>
      </w:pPr>
      <w:r>
        <w:rPr>
          <w:rFonts w:hint="eastAsia" w:ascii="仿宋_GB2312" w:hAnsi="ˎ̥" w:eastAsia="仿宋_GB2312"/>
          <w:sz w:val="32"/>
          <w:szCs w:val="32"/>
        </w:rPr>
        <w:t>2021年度本单位无</w:t>
      </w:r>
      <w:r>
        <w:rPr>
          <w:rFonts w:hint="eastAsia" w:ascii="仿宋_GB2312" w:hAnsi="ˎ̥" w:eastAsia="仿宋_GB2312"/>
          <w:sz w:val="32"/>
          <w:szCs w:val="32"/>
          <w:lang w:eastAsia="zh-CN"/>
        </w:rPr>
        <w:t>国有资本经营</w:t>
      </w:r>
      <w:r>
        <w:rPr>
          <w:rFonts w:hint="eastAsia" w:ascii="仿宋_GB2312" w:hAnsi="ˎ̥" w:eastAsia="仿宋_GB2312"/>
          <w:sz w:val="32"/>
          <w:szCs w:val="32"/>
        </w:rPr>
        <w:t>预算财政拨款支出</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ind w:firstLine="960" w:firstLineChars="300"/>
        <w:rPr>
          <w:rFonts w:hint="eastAsia" w:ascii="仿宋_GB2312" w:hAnsi="ˎ̥" w:eastAsia="仿宋_GB2312"/>
          <w:sz w:val="32"/>
          <w:szCs w:val="32"/>
        </w:rPr>
      </w:pPr>
      <w:r>
        <w:rPr>
          <w:rFonts w:hint="eastAsia" w:ascii="仿宋_GB2312" w:hAnsi="ˎ̥" w:eastAsia="仿宋_GB2312"/>
          <w:sz w:val="32"/>
          <w:szCs w:val="32"/>
        </w:rPr>
        <w:t>2021年度本单位无</w:t>
      </w:r>
      <w:r>
        <w:rPr>
          <w:rFonts w:hint="eastAsia" w:ascii="仿宋_GB2312" w:hAnsi="ˎ̥" w:eastAsia="仿宋_GB2312"/>
          <w:sz w:val="32"/>
          <w:szCs w:val="32"/>
          <w:lang w:eastAsia="zh-CN"/>
        </w:rPr>
        <w:t>国有资本经营</w:t>
      </w:r>
      <w:r>
        <w:rPr>
          <w:rFonts w:hint="eastAsia" w:ascii="仿宋_GB2312" w:hAnsi="ˎ̥" w:eastAsia="仿宋_GB2312"/>
          <w:sz w:val="32"/>
          <w:szCs w:val="32"/>
        </w:rPr>
        <w:t>预算财政拨款支出</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ind w:firstLine="960" w:firstLineChars="300"/>
        <w:rPr>
          <w:rFonts w:hint="eastAsia" w:ascii="仿宋_GB2312" w:hAnsi="ˎ̥" w:eastAsia="仿宋_GB2312"/>
          <w:sz w:val="32"/>
          <w:szCs w:val="32"/>
        </w:rPr>
      </w:pPr>
      <w:r>
        <w:rPr>
          <w:rFonts w:hint="eastAsia" w:ascii="仿宋_GB2312" w:hAnsi="ˎ̥" w:eastAsia="仿宋_GB2312"/>
          <w:sz w:val="32"/>
          <w:szCs w:val="32"/>
        </w:rPr>
        <w:t>2021年度本单位无</w:t>
      </w:r>
      <w:r>
        <w:rPr>
          <w:rFonts w:hint="eastAsia" w:ascii="仿宋_GB2312" w:hAnsi="ˎ̥" w:eastAsia="仿宋_GB2312"/>
          <w:sz w:val="32"/>
          <w:szCs w:val="32"/>
          <w:lang w:eastAsia="zh-CN"/>
        </w:rPr>
        <w:t>国有资本经营</w:t>
      </w:r>
      <w:r>
        <w:rPr>
          <w:rFonts w:hint="eastAsia" w:ascii="仿宋_GB2312" w:hAnsi="ˎ̥" w:eastAsia="仿宋_GB2312"/>
          <w:sz w:val="32"/>
          <w:szCs w:val="32"/>
        </w:rPr>
        <w:t>预算财政拨款支出</w:t>
      </w:r>
    </w:p>
    <w:p>
      <w:pPr>
        <w:ind w:firstLine="640" w:firstLineChars="200"/>
        <w:rPr>
          <w:rFonts w:hint="eastAsia" w:ascii="仿宋_GB2312" w:hAnsi="ˎ̥" w:eastAsia="仿宋_GB2312"/>
          <w:sz w:val="32"/>
          <w:szCs w:val="32"/>
        </w:rPr>
      </w:pPr>
    </w:p>
    <w:p>
      <w:pPr>
        <w:ind w:firstLine="627" w:firstLineChars="196"/>
        <w:rPr>
          <w:rFonts w:hint="eastAsia" w:ascii="仿宋_GB2312" w:hAnsi="ˎ̥" w:eastAsia="楷体_GB2312"/>
          <w:sz w:val="32"/>
          <w:szCs w:val="32"/>
        </w:rPr>
      </w:pPr>
      <w:r>
        <w:rPr>
          <w:rFonts w:hint="eastAsia" w:ascii="黑体" w:hAnsi="黑体" w:eastAsia="黑体" w:cs="黑体"/>
          <w:bCs/>
          <w:sz w:val="32"/>
          <w:szCs w:val="32"/>
        </w:rPr>
        <w:t>九、一般公共预算财政拨款“三公”经费支出决算情况说明</w:t>
      </w:r>
    </w:p>
    <w:p>
      <w:pPr>
        <w:ind w:firstLine="643" w:firstLineChars="200"/>
        <w:rPr>
          <w:rFonts w:hint="eastAsia" w:ascii="楷体" w:hAnsi="楷体" w:eastAsia="楷体" w:cs="楷体"/>
          <w:sz w:val="32"/>
          <w:szCs w:val="32"/>
        </w:rPr>
      </w:pPr>
      <w:r>
        <w:rPr>
          <w:rFonts w:hint="eastAsia" w:ascii="楷体" w:hAnsi="楷体" w:eastAsia="楷体" w:cs="楷体"/>
          <w:b/>
          <w:sz w:val="32"/>
          <w:szCs w:val="32"/>
        </w:rPr>
        <w:t>（一）一般公共预算财政拨款“三公”经费支出决算总体情况说明。</w:t>
      </w:r>
    </w:p>
    <w:p>
      <w:pPr>
        <w:rPr>
          <w:rFonts w:hint="eastAsia" w:ascii="仿宋_GB2312" w:hAnsi="ˎ̥" w:eastAsia="仿宋_GB2312"/>
          <w:sz w:val="32"/>
          <w:szCs w:val="32"/>
        </w:rPr>
      </w:pPr>
      <w:r>
        <w:rPr>
          <w:rFonts w:hint="eastAsia" w:ascii="仿宋_GB2312" w:hAnsi="ˎ̥" w:eastAsia="仿宋_GB2312"/>
          <w:sz w:val="32"/>
          <w:szCs w:val="32"/>
        </w:rPr>
        <w:t xml:space="preserve">    2021年度一般公共预算财政拨款“三公”经费支出预算为17万元，支出决算为13.44万元，完成预算的79.06%。</w:t>
      </w:r>
    </w:p>
    <w:p>
      <w:pPr>
        <w:rPr>
          <w:rFonts w:hint="eastAsia" w:ascii="楷体" w:hAnsi="楷体" w:eastAsia="楷体" w:cs="楷体"/>
          <w:b/>
          <w:bCs/>
          <w:sz w:val="32"/>
          <w:szCs w:val="32"/>
        </w:rPr>
      </w:pPr>
      <w:r>
        <w:rPr>
          <w:rFonts w:hint="eastAsia" w:ascii="楷体" w:hAnsi="楷体" w:eastAsia="楷体" w:cs="楷体"/>
          <w:b/>
          <w:bCs/>
          <w:sz w:val="32"/>
          <w:szCs w:val="32"/>
        </w:rPr>
        <w:t xml:space="preserve">    （二）一般公共预算财政拨款“三公”经费支出决算具体情况说明。</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2021年度一般公共预算财政拨款“三公”经费支出决算中，因公出国（境）费支出决算0万元，占0%；公务用车购置及运行维护费支出决算13.37万元，占99.48%；公务接待费支出决算0.07万元，占0.52%。具体情况如下：</w:t>
      </w:r>
    </w:p>
    <w:p>
      <w:pPr>
        <w:ind w:firstLine="643" w:firstLineChars="200"/>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支出0万元。全年安排因公出国（境）团组0个，因公出国（境）0人次。开支内容包括：</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无</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因公出国（境）费支出决算比预算数增加（减少）0万元，增长（下降）0%。主要原因是受新型冠状病毒影响，不能出国出境进行教学活动及学术交流，因此本年因公出国（境）费没有安排支出。</w:t>
      </w:r>
    </w:p>
    <w:p>
      <w:pPr>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2.公务用车购置及运行维护费支出</w:t>
      </w:r>
      <w:r>
        <w:rPr>
          <w:rFonts w:hint="eastAsia" w:ascii="仿宋_GB2312" w:hAnsi="ˎ̥" w:eastAsia="仿宋_GB2312"/>
          <w:sz w:val="32"/>
          <w:szCs w:val="32"/>
        </w:rPr>
        <w:t>13.37万元。其中：</w:t>
      </w:r>
    </w:p>
    <w:p>
      <w:pPr>
        <w:ind w:firstLine="643" w:firstLineChars="200"/>
        <w:rPr>
          <w:rFonts w:hint="eastAsia" w:ascii="仿宋_GB2312" w:hAnsi="ˎ̥" w:eastAsia="仿宋_GB2312"/>
          <w:sz w:val="32"/>
          <w:szCs w:val="32"/>
        </w:rPr>
      </w:pPr>
      <w:r>
        <w:rPr>
          <w:rFonts w:hint="eastAsia" w:ascii="仿宋_GB2312" w:hAnsi="ˎ̥" w:eastAsia="仿宋_GB2312"/>
          <w:b/>
          <w:sz w:val="32"/>
          <w:szCs w:val="32"/>
        </w:rPr>
        <w:t>公务用车购置支出</w:t>
      </w:r>
      <w:r>
        <w:rPr>
          <w:rFonts w:hint="eastAsia" w:ascii="仿宋_GB2312" w:hAnsi="ˎ̥" w:eastAsia="仿宋_GB2312"/>
          <w:sz w:val="32"/>
          <w:szCs w:val="32"/>
        </w:rPr>
        <w:t>0万元，全年购置公务用车0辆，年末公务用车保有量3辆。</w:t>
      </w:r>
    </w:p>
    <w:p>
      <w:pPr>
        <w:ind w:firstLine="643" w:firstLineChars="200"/>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 13.37万元，主要用于公</w:t>
      </w:r>
      <w:r>
        <w:rPr>
          <w:rFonts w:hint="eastAsia" w:ascii="仿宋_GB2312" w:hAnsi="微软雅黑" w:eastAsia="仿宋_GB2312"/>
          <w:color w:val="000000"/>
          <w:sz w:val="32"/>
          <w:szCs w:val="32"/>
        </w:rPr>
        <w:t>务用车车辆保险费、车辆年审费、车辆通行费、车辆检查费、车辆维修费、公务用车燃油费、维护费等支出</w:t>
      </w:r>
      <w:r>
        <w:rPr>
          <w:rFonts w:hint="eastAsia" w:ascii="仿宋_GB2312" w:hAnsi="ˎ̥" w:eastAsia="仿宋_GB2312"/>
          <w:sz w:val="32"/>
          <w:szCs w:val="32"/>
        </w:rPr>
        <w:t>。</w:t>
      </w:r>
    </w:p>
    <w:p>
      <w:pPr>
        <w:ind w:firstLine="640" w:firstLineChars="200"/>
        <w:rPr>
          <w:rFonts w:hint="eastAsia" w:ascii="仿宋_GB2312" w:hAnsi="ˎ̥" w:eastAsia="仿宋_GB2312"/>
          <w:bCs/>
          <w:sz w:val="32"/>
          <w:szCs w:val="32"/>
        </w:rPr>
      </w:pPr>
      <w:r>
        <w:rPr>
          <w:rFonts w:hint="eastAsia" w:ascii="仿宋_GB2312" w:hAnsi="ˎ̥" w:eastAsia="仿宋_GB2312"/>
          <w:bCs/>
          <w:sz w:val="32"/>
          <w:szCs w:val="32"/>
        </w:rPr>
        <w:t>公务用车购置及运行费支出决算数</w:t>
      </w:r>
      <w:r>
        <w:rPr>
          <w:rFonts w:hint="eastAsia" w:ascii="仿宋_GB2312" w:hAnsi="ˎ̥" w:eastAsia="仿宋_GB2312"/>
          <w:sz w:val="32"/>
          <w:szCs w:val="32"/>
        </w:rPr>
        <w:t>比预算数减少0.63万元，下降4.5%。主要原因是教职工出差次数减少，学校加强对公务用车的管控。</w:t>
      </w:r>
    </w:p>
    <w:p>
      <w:pPr>
        <w:rPr>
          <w:rFonts w:hint="eastAsia" w:ascii="仿宋_GB2312" w:hAnsi="ˎ̥" w:eastAsia="仿宋_GB2312"/>
          <w:sz w:val="32"/>
          <w:szCs w:val="32"/>
        </w:rPr>
      </w:pPr>
      <w:r>
        <w:rPr>
          <w:rFonts w:hint="eastAsia" w:ascii="仿宋_GB2312" w:hAnsi="ˎ̥" w:eastAsia="仿宋_GB2312"/>
          <w:b/>
          <w:sz w:val="32"/>
          <w:szCs w:val="32"/>
        </w:rPr>
        <w:t xml:space="preserve">    3.公务接待费支出</w:t>
      </w:r>
      <w:r>
        <w:rPr>
          <w:rFonts w:hint="eastAsia" w:ascii="仿宋_GB2312" w:hAnsi="ˎ̥" w:eastAsia="仿宋_GB2312"/>
          <w:sz w:val="32"/>
          <w:szCs w:val="32"/>
        </w:rPr>
        <w:t>0.07万元，其中：</w:t>
      </w:r>
    </w:p>
    <w:p>
      <w:pPr>
        <w:ind w:firstLine="643" w:firstLineChars="200"/>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支出0.07万元，国内公务接待1批次，接待4人次；主要用于省教育厅第五考核组到学校指导2020年度学校领导班子及成员考核工作。</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国（境）外接待费支出0万元，国（境）外公务接待0批次，接待0人次。</w:t>
      </w:r>
    </w:p>
    <w:p>
      <w:pPr>
        <w:spacing w:line="600"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公务接待费支出决算数比预算数减少3.93万元，下降98%。主要原因是我校领导</w:t>
      </w:r>
      <w:r>
        <w:rPr>
          <w:rFonts w:hint="eastAsia" w:ascii="仿宋_GB2312" w:hAnsi="ˎ̥" w:eastAsia="仿宋_GB2312" w:cs="仿宋_GB2312"/>
          <w:sz w:val="32"/>
          <w:szCs w:val="32"/>
          <w:shd w:val="clear" w:color="auto" w:fill="FFFFFF"/>
        </w:rPr>
        <w:t>严格遵守中央八项禁令，</w:t>
      </w:r>
      <w:r>
        <w:rPr>
          <w:rFonts w:hint="eastAsia" w:ascii="仿宋_GB2312" w:hAnsi="微软雅黑" w:eastAsia="仿宋_GB2312"/>
          <w:color w:val="000000"/>
          <w:sz w:val="32"/>
          <w:szCs w:val="32"/>
        </w:rPr>
        <w:t>控制在合理范围内开支</w:t>
      </w:r>
      <w:r>
        <w:rPr>
          <w:rFonts w:hint="eastAsia" w:ascii="仿宋_GB2312" w:hAnsi="ˎ̥" w:eastAsia="仿宋_GB2312"/>
          <w:sz w:val="32"/>
          <w:szCs w:val="32"/>
        </w:rPr>
        <w:t>。</w:t>
      </w:r>
    </w:p>
    <w:p>
      <w:pPr>
        <w:ind w:firstLine="627" w:firstLineChars="196"/>
        <w:rPr>
          <w:rFonts w:hint="eastAsia" w:ascii="仿宋_GB2312" w:hAnsi="ˎ̥" w:eastAsia="楷体_GB2312"/>
          <w:sz w:val="32"/>
          <w:szCs w:val="32"/>
        </w:rPr>
      </w:pPr>
      <w:r>
        <w:rPr>
          <w:rFonts w:hint="eastAsia" w:ascii="黑体" w:hAnsi="黑体" w:eastAsia="黑体" w:cs="黑体"/>
          <w:bCs/>
          <w:sz w:val="32"/>
          <w:szCs w:val="32"/>
        </w:rPr>
        <w:t>十、政府性基金预算财政拨款“三公”经费支出决算情况说明</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2021年度本单位无政府性基金预算财政拨款支出</w:t>
      </w:r>
    </w:p>
    <w:p>
      <w:pPr>
        <w:ind w:firstLine="627" w:firstLineChars="196"/>
        <w:rPr>
          <w:rFonts w:hint="eastAsia" w:ascii="仿宋_GB2312" w:hAnsi="ˎ̥" w:eastAsia="楷体_GB2312"/>
          <w:sz w:val="32"/>
          <w:szCs w:val="32"/>
        </w:rPr>
      </w:pPr>
      <w:r>
        <w:rPr>
          <w:rFonts w:hint="eastAsia" w:ascii="黑体" w:hAnsi="黑体" w:eastAsia="黑体" w:cs="黑体"/>
          <w:bCs/>
          <w:sz w:val="32"/>
          <w:szCs w:val="32"/>
        </w:rPr>
        <w:t>十一、国有资本经营预算财政拨款“三公”经费支出决算情况说明</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2021年度本单位无</w:t>
      </w:r>
      <w:r>
        <w:rPr>
          <w:rFonts w:hint="eastAsia" w:ascii="仿宋_GB2312" w:hAnsi="ˎ̥" w:eastAsia="仿宋_GB2312"/>
          <w:sz w:val="32"/>
          <w:szCs w:val="32"/>
          <w:lang w:eastAsia="zh-CN"/>
        </w:rPr>
        <w:t>国有资本经营</w:t>
      </w:r>
      <w:r>
        <w:rPr>
          <w:rFonts w:hint="eastAsia" w:ascii="仿宋_GB2312" w:hAnsi="ˎ̥" w:eastAsia="仿宋_GB2312"/>
          <w:sz w:val="32"/>
          <w:szCs w:val="32"/>
        </w:rPr>
        <w:t>预算财政拨款支出</w:t>
      </w: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十二、预算绩效情况说明。</w:t>
      </w:r>
    </w:p>
    <w:p>
      <w:pPr>
        <w:spacing w:line="578"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（一）绩效管理工作开展情况</w:t>
      </w:r>
    </w:p>
    <w:p>
      <w:pPr>
        <w:spacing w:line="578" w:lineRule="exact"/>
        <w:ind w:firstLine="640" w:firstLineChars="200"/>
        <w:rPr>
          <w:rFonts w:hint="eastAsia" w:ascii="仿宋_GB2312" w:eastAsia="仿宋_GB2312"/>
          <w:sz w:val="32"/>
          <w:szCs w:val="32"/>
        </w:rPr>
      </w:pPr>
      <w:r>
        <w:rPr>
          <w:rFonts w:hint="eastAsia" w:ascii="仿宋_GB2312" w:eastAsia="仿宋_GB2312"/>
          <w:sz w:val="32"/>
          <w:szCs w:val="32"/>
        </w:rPr>
        <w:t>根据财政预算绩效管理要求，我单位无重点项目预算的绩效目标，组织对2021年度一般公共预算项目支出全面开展绩效自评，自评项目2</w:t>
      </w:r>
      <w:r>
        <w:rPr>
          <w:rFonts w:hint="eastAsia" w:ascii="仿宋_GB2312" w:eastAsia="仿宋_GB2312"/>
          <w:sz w:val="32"/>
          <w:szCs w:val="32"/>
          <w:lang w:val="en-US" w:eastAsia="zh-CN"/>
        </w:rPr>
        <w:t>0</w:t>
      </w:r>
      <w:r>
        <w:rPr>
          <w:rFonts w:hint="eastAsia" w:ascii="仿宋_GB2312" w:eastAsia="仿宋_GB2312"/>
          <w:sz w:val="32"/>
          <w:szCs w:val="32"/>
        </w:rPr>
        <w:t>个，共涉及资金7404.</w:t>
      </w:r>
      <w:r>
        <w:rPr>
          <w:rFonts w:hint="eastAsia" w:ascii="仿宋_GB2312" w:eastAsia="仿宋_GB2312"/>
          <w:sz w:val="32"/>
          <w:szCs w:val="32"/>
          <w:lang w:val="en-US" w:eastAsia="zh-CN"/>
        </w:rPr>
        <w:t>5</w:t>
      </w:r>
      <w:r>
        <w:rPr>
          <w:rFonts w:hint="eastAsia" w:ascii="仿宋_GB2312" w:eastAsia="仿宋_GB2312"/>
          <w:sz w:val="32"/>
          <w:szCs w:val="32"/>
        </w:rPr>
        <w:t>5万元，自评覆盖率达到100%。</w:t>
      </w:r>
    </w:p>
    <w:p>
      <w:pPr>
        <w:ind w:firstLine="640" w:firstLineChars="200"/>
        <w:rPr>
          <w:rFonts w:hint="eastAsia" w:ascii="仿宋_GB2312" w:eastAsia="仿宋_GB2312"/>
          <w:sz w:val="32"/>
          <w:szCs w:val="32"/>
        </w:rPr>
      </w:pPr>
      <w:r>
        <w:rPr>
          <w:rFonts w:hint="eastAsia" w:ascii="仿宋_GB2312" w:eastAsia="仿宋_GB2312"/>
          <w:sz w:val="32"/>
          <w:szCs w:val="32"/>
        </w:rPr>
        <w:t>共组织对“现代职业教育质量提升专项资金、学生资助补助经费、教育发展专项资金”3个项目开展了</w:t>
      </w:r>
      <w:r>
        <w:rPr>
          <w:rFonts w:hint="eastAsia" w:ascii="仿宋_GB2312" w:eastAsia="仿宋_GB2312"/>
          <w:sz w:val="32"/>
          <w:szCs w:val="32"/>
          <w:lang w:eastAsia="zh-CN"/>
        </w:rPr>
        <w:t>自评</w:t>
      </w:r>
      <w:r>
        <w:rPr>
          <w:rFonts w:hint="eastAsia" w:ascii="仿宋_GB2312" w:eastAsia="仿宋_GB2312"/>
          <w:sz w:val="32"/>
          <w:szCs w:val="32"/>
        </w:rPr>
        <w:t>，涉及资金3799.45万元。从评价情况来看，</w:t>
      </w:r>
      <w:r>
        <w:rPr>
          <w:rFonts w:hint="eastAsia" w:ascii="仿宋_GB2312" w:hAnsi="微软雅黑" w:eastAsia="仿宋_GB2312"/>
          <w:color w:val="000000"/>
          <w:sz w:val="32"/>
          <w:szCs w:val="32"/>
        </w:rPr>
        <w:t>学校为了加强和规范专项资金绩效管理，确保绩效评价工作的顺利开展，对2021年中央及省财政下达的专项资金进行评价。我校领导高度重视，亲自部署，狠抓落实。制定项目绩效评价方案，成立绩效评价小组</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开展整体支出绩效评价，涉及资金7404.</w:t>
      </w:r>
      <w:r>
        <w:rPr>
          <w:rFonts w:hint="eastAsia" w:ascii="仿宋_GB2312" w:eastAsia="仿宋_GB2312"/>
          <w:sz w:val="32"/>
          <w:szCs w:val="32"/>
          <w:lang w:val="en-US" w:eastAsia="zh-CN"/>
        </w:rPr>
        <w:t>5</w:t>
      </w:r>
      <w:r>
        <w:rPr>
          <w:rFonts w:hint="eastAsia" w:ascii="仿宋_GB2312" w:eastAsia="仿宋_GB2312"/>
          <w:sz w:val="32"/>
          <w:szCs w:val="32"/>
        </w:rPr>
        <w:t>5万元。从评价情况来看</w:t>
      </w:r>
      <w:r>
        <w:rPr>
          <w:rFonts w:hint="eastAsia" w:ascii="仿宋_GB2312" w:hAnsi="微软雅黑" w:eastAsia="仿宋_GB2312"/>
          <w:color w:val="000000"/>
          <w:sz w:val="32"/>
          <w:szCs w:val="32"/>
        </w:rPr>
        <w:t>各项目自评有效开展，各科室也组织对项目绩效自评工作，积极收集评价资料，组织开展分析评价，根据上级部门的要求进行项目自评</w:t>
      </w:r>
      <w:r>
        <w:rPr>
          <w:rFonts w:hint="eastAsia" w:ascii="仿宋_GB2312" w:eastAsia="仿宋_GB2312"/>
          <w:sz w:val="32"/>
          <w:szCs w:val="32"/>
        </w:rPr>
        <w:t>。</w:t>
      </w:r>
    </w:p>
    <w:p>
      <w:pPr>
        <w:spacing w:line="578" w:lineRule="exact"/>
        <w:ind w:firstLine="643" w:firstLineChars="200"/>
        <w:rPr>
          <w:rFonts w:ascii="楷体" w:hAnsi="楷体" w:eastAsia="楷体" w:cs="楷体"/>
          <w:b/>
          <w:sz w:val="32"/>
          <w:szCs w:val="32"/>
        </w:rPr>
      </w:pPr>
      <w:r>
        <w:rPr>
          <w:rFonts w:hint="eastAsia" w:ascii="楷体" w:hAnsi="楷体" w:eastAsia="楷体" w:cs="楷体"/>
          <w:b/>
          <w:sz w:val="32"/>
          <w:szCs w:val="32"/>
        </w:rPr>
        <w:t>（二）部门决算中项目绩效自评结果</w:t>
      </w:r>
    </w:p>
    <w:p>
      <w:pPr>
        <w:ind w:firstLine="640" w:firstLineChars="200"/>
        <w:rPr>
          <w:rFonts w:hint="default" w:ascii="仿宋_GB2312" w:eastAsia="仿宋_GB2312"/>
          <w:sz w:val="32"/>
          <w:szCs w:val="32"/>
          <w:lang w:val="en-US"/>
        </w:rPr>
      </w:pPr>
      <w:r>
        <w:rPr>
          <w:rFonts w:hint="eastAsia" w:ascii="仿宋_GB2312" w:eastAsia="仿宋_GB2312"/>
          <w:sz w:val="32"/>
          <w:szCs w:val="32"/>
          <w:lang w:eastAsia="zh-CN"/>
        </w:rPr>
        <w:t>海南省工业学校在单位</w:t>
      </w:r>
      <w:r>
        <w:rPr>
          <w:rFonts w:hint="default" w:ascii="仿宋_GB2312" w:eastAsia="仿宋_GB2312"/>
          <w:sz w:val="32"/>
          <w:szCs w:val="32"/>
        </w:rPr>
        <w:t>决算中反映</w:t>
      </w:r>
      <w:r>
        <w:rPr>
          <w:rFonts w:hint="eastAsia" w:ascii="仿宋_GB2312" w:eastAsia="仿宋_GB2312"/>
          <w:sz w:val="32"/>
          <w:szCs w:val="32"/>
        </w:rPr>
        <w:t>“现代职业教育质量提升专项资金、学生资助补助经费、教育发展专项资金”3个项目</w:t>
      </w:r>
      <w:r>
        <w:rPr>
          <w:rFonts w:hint="eastAsia" w:ascii="仿宋_GB2312" w:eastAsia="仿宋_GB2312"/>
          <w:sz w:val="32"/>
          <w:szCs w:val="32"/>
          <w:lang w:eastAsia="zh-CN"/>
        </w:rPr>
        <w:t>的</w:t>
      </w:r>
      <w:r>
        <w:rPr>
          <w:rFonts w:hint="default" w:ascii="仿宋_GB2312" w:eastAsia="仿宋_GB2312"/>
          <w:sz w:val="32"/>
          <w:szCs w:val="32"/>
        </w:rPr>
        <w:t>自评结果：</w:t>
      </w:r>
    </w:p>
    <w:p>
      <w:pPr>
        <w:ind w:firstLine="640" w:firstLineChars="200"/>
        <w:rPr>
          <w:rFonts w:hint="eastAsia" w:ascii="仿宋_GB2312" w:eastAsia="仿宋_GB2312"/>
          <w:sz w:val="32"/>
          <w:szCs w:val="32"/>
          <w:lang w:val="zh-CN" w:eastAsia="zh-CN"/>
        </w:rPr>
      </w:pPr>
      <w:r>
        <w:rPr>
          <w:rFonts w:hint="eastAsia" w:ascii="仿宋_GB2312" w:eastAsia="仿宋_GB2312"/>
          <w:sz w:val="32"/>
          <w:szCs w:val="32"/>
        </w:rPr>
        <w:t>现代职业教育质量提升专项资金</w:t>
      </w:r>
      <w:r>
        <w:rPr>
          <w:rFonts w:hint="default" w:ascii="仿宋_GB2312" w:eastAsia="仿宋_GB2312"/>
          <w:sz w:val="32"/>
          <w:szCs w:val="32"/>
        </w:rPr>
        <w:t>项目绩效自评</w:t>
      </w:r>
      <w:r>
        <w:rPr>
          <w:rFonts w:hint="eastAsia" w:ascii="仿宋_GB2312" w:eastAsia="仿宋_GB2312"/>
          <w:sz w:val="32"/>
          <w:szCs w:val="32"/>
          <w:lang w:eastAsia="zh-CN"/>
        </w:rPr>
        <w:t>综述</w:t>
      </w:r>
      <w:r>
        <w:rPr>
          <w:rFonts w:hint="default" w:ascii="仿宋_GB2312" w:eastAsia="仿宋_GB2312"/>
          <w:sz w:val="32"/>
          <w:szCs w:val="32"/>
        </w:rPr>
        <w:t>：</w:t>
      </w:r>
      <w:r>
        <w:rPr>
          <w:rFonts w:hint="eastAsia" w:ascii="仿宋_GB2312" w:eastAsia="仿宋_GB2312"/>
          <w:sz w:val="32"/>
          <w:szCs w:val="32"/>
          <w:lang w:val="en-US" w:eastAsia="zh-CN"/>
        </w:rPr>
        <w:t>现代职业教育质量提升计划预算数2782.6万元，全年执行数 2176.18万元，预算执行率 78.21%。根据年初设定的绩效目标，项目自评得分为97.82分。</w:t>
      </w:r>
      <w:r>
        <w:rPr>
          <w:rFonts w:hint="default" w:ascii="仿宋_GB2312" w:eastAsia="仿宋_GB2312"/>
          <w:sz w:val="32"/>
          <w:szCs w:val="32"/>
        </w:rPr>
        <w:t>项目绩效目标完成情况：</w:t>
      </w:r>
      <w:r>
        <w:rPr>
          <w:rFonts w:hint="eastAsia" w:ascii="仿宋_GB2312" w:eastAsia="仿宋_GB2312"/>
          <w:sz w:val="32"/>
          <w:szCs w:val="32"/>
          <w:lang w:eastAsia="zh-CN"/>
        </w:rPr>
        <w:t>一是</w:t>
      </w:r>
      <w:r>
        <w:rPr>
          <w:rFonts w:hint="eastAsia" w:ascii="仿宋_GB2312" w:eastAsia="仿宋_GB2312"/>
          <w:sz w:val="32"/>
          <w:szCs w:val="32"/>
          <w:lang w:val="en-US" w:eastAsia="zh-CN"/>
        </w:rPr>
        <w:t>改善中职办学条件，提升教育教学质量，夯实中职教育在职业教育发展中的基础性地位；二是提升中等职业教育吸引力，推动构建现代职业教育体系。</w:t>
      </w:r>
      <w:r>
        <w:rPr>
          <w:rFonts w:hint="default" w:ascii="仿宋_GB2312" w:eastAsia="仿宋_GB2312"/>
          <w:sz w:val="32"/>
          <w:szCs w:val="32"/>
          <w:lang w:eastAsia="zh-CN"/>
        </w:rPr>
        <w:t>发现的主要问题及原因</w:t>
      </w:r>
      <w:r>
        <w:rPr>
          <w:rFonts w:hint="eastAsia" w:ascii="仿宋_GB2312" w:eastAsia="仿宋_GB2312"/>
          <w:sz w:val="32"/>
          <w:szCs w:val="32"/>
          <w:lang w:eastAsia="zh-CN"/>
        </w:rPr>
        <w:t>是在项目资金下达以后有项目需要改动，而新的项目有迟迟得不到批复，造成资金不能及时的支付。</w:t>
      </w:r>
      <w:r>
        <w:rPr>
          <w:rFonts w:hint="default" w:ascii="仿宋_GB2312" w:eastAsia="仿宋_GB2312"/>
          <w:sz w:val="32"/>
          <w:szCs w:val="32"/>
          <w:lang w:eastAsia="zh-CN"/>
        </w:rPr>
        <w:t>下一步改进措施</w:t>
      </w:r>
      <w:r>
        <w:rPr>
          <w:rFonts w:hint="eastAsia" w:ascii="仿宋_GB2312" w:eastAsia="仿宋_GB2312"/>
          <w:sz w:val="32"/>
          <w:szCs w:val="32"/>
          <w:lang w:eastAsia="zh-CN"/>
        </w:rPr>
        <w:t>：一是提前做好项目谋划；二是加快资金下达后，加快项目付款进度。</w:t>
      </w:r>
    </w:p>
    <w:p>
      <w:pPr>
        <w:ind w:firstLine="640" w:firstLineChars="200"/>
        <w:rPr>
          <w:rFonts w:hint="eastAsia" w:ascii="仿宋_GB2312" w:eastAsia="仿宋_GB2312"/>
          <w:sz w:val="32"/>
          <w:szCs w:val="32"/>
        </w:rPr>
      </w:pPr>
      <w:r>
        <w:rPr>
          <w:rFonts w:hint="eastAsia" w:ascii="仿宋_GB2312" w:eastAsia="仿宋_GB2312"/>
          <w:sz w:val="32"/>
          <w:szCs w:val="32"/>
        </w:rPr>
        <w:t>学生资助补助经费</w:t>
      </w:r>
      <w:r>
        <w:rPr>
          <w:rFonts w:hint="default" w:ascii="仿宋_GB2312" w:eastAsia="仿宋_GB2312"/>
          <w:sz w:val="32"/>
          <w:szCs w:val="32"/>
        </w:rPr>
        <w:t>项目绩效自评</w:t>
      </w:r>
      <w:r>
        <w:rPr>
          <w:rFonts w:hint="eastAsia" w:ascii="仿宋_GB2312" w:eastAsia="仿宋_GB2312"/>
          <w:sz w:val="32"/>
          <w:szCs w:val="32"/>
          <w:lang w:eastAsia="zh-CN"/>
        </w:rPr>
        <w:t>综述</w:t>
      </w:r>
      <w:r>
        <w:rPr>
          <w:rFonts w:hint="default" w:ascii="仿宋_GB2312" w:eastAsia="仿宋_GB2312"/>
          <w:sz w:val="32"/>
          <w:szCs w:val="32"/>
        </w:rPr>
        <w:t>：</w:t>
      </w:r>
      <w:r>
        <w:rPr>
          <w:rFonts w:hint="eastAsia" w:ascii="仿宋_GB2312" w:eastAsia="仿宋_GB2312"/>
          <w:sz w:val="32"/>
          <w:szCs w:val="32"/>
        </w:rPr>
        <w:t>学生资助补助经费</w:t>
      </w:r>
      <w:r>
        <w:rPr>
          <w:rFonts w:hint="eastAsia" w:ascii="仿宋_GB2312" w:eastAsia="仿宋_GB2312"/>
          <w:sz w:val="32"/>
          <w:szCs w:val="32"/>
          <w:lang w:val="en-US" w:eastAsia="zh-CN"/>
        </w:rPr>
        <w:t>预算数797.59万元，全年执行数796.19万元，预算执行率 99.82%。根据年初设定的绩效目标，项目自评得分为99.98分。</w:t>
      </w:r>
      <w:r>
        <w:rPr>
          <w:rFonts w:hint="default" w:ascii="仿宋_GB2312" w:eastAsia="仿宋_GB2312"/>
          <w:sz w:val="32"/>
          <w:szCs w:val="32"/>
        </w:rPr>
        <w:t>项目绩效目标完成情况：</w:t>
      </w:r>
      <w:r>
        <w:rPr>
          <w:rFonts w:hint="eastAsia" w:ascii="仿宋_GB2312" w:eastAsia="仿宋_GB2312"/>
          <w:sz w:val="32"/>
          <w:szCs w:val="32"/>
          <w:lang w:val="en-US" w:eastAsia="zh-CN"/>
        </w:rPr>
        <w:t>一是严格预算控制，规范资助程序，强化资助管理，帮助在籍在校全日制学生的家庭缓解经济压力；二是为确保项目顺利开展，尽早发挥项目的使用效能，学生科和财务室通力合作，按照相关文件规定及时发放给学生，提高项目的执行效率。</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教育发展专项资金</w:t>
      </w:r>
      <w:r>
        <w:rPr>
          <w:rFonts w:hint="default" w:ascii="仿宋_GB2312" w:eastAsia="仿宋_GB2312"/>
          <w:sz w:val="32"/>
          <w:szCs w:val="32"/>
        </w:rPr>
        <w:t>项目绩效自评</w:t>
      </w:r>
      <w:r>
        <w:rPr>
          <w:rFonts w:hint="eastAsia" w:ascii="仿宋_GB2312" w:eastAsia="仿宋_GB2312"/>
          <w:sz w:val="32"/>
          <w:szCs w:val="32"/>
          <w:lang w:eastAsia="zh-CN"/>
        </w:rPr>
        <w:t>综述</w:t>
      </w:r>
      <w:r>
        <w:rPr>
          <w:rFonts w:hint="default" w:ascii="仿宋_GB2312" w:eastAsia="仿宋_GB2312"/>
          <w:sz w:val="32"/>
          <w:szCs w:val="32"/>
        </w:rPr>
        <w:t>：</w:t>
      </w:r>
      <w:r>
        <w:rPr>
          <w:rFonts w:hint="eastAsia" w:ascii="仿宋_GB2312" w:eastAsia="仿宋_GB2312"/>
          <w:sz w:val="32"/>
          <w:szCs w:val="32"/>
          <w:lang w:eastAsia="zh-CN"/>
        </w:rPr>
        <w:t>教育发展专项资金</w:t>
      </w:r>
      <w:r>
        <w:rPr>
          <w:rFonts w:hint="eastAsia" w:ascii="仿宋_GB2312" w:eastAsia="仿宋_GB2312"/>
          <w:sz w:val="32"/>
          <w:szCs w:val="32"/>
          <w:lang w:val="en-US" w:eastAsia="zh-CN"/>
        </w:rPr>
        <w:t>预算数219.26万元，全年执行数211.25万元，预算执行率 96.35%。根据年初设定的绩效目标，项目自评得分为99.64分。</w:t>
      </w:r>
      <w:r>
        <w:rPr>
          <w:rFonts w:hint="default" w:ascii="仿宋_GB2312" w:eastAsia="仿宋_GB2312"/>
          <w:sz w:val="32"/>
          <w:szCs w:val="32"/>
        </w:rPr>
        <w:t>项目绩效目标完成情况：</w:t>
      </w:r>
      <w:r>
        <w:rPr>
          <w:rFonts w:hint="eastAsia" w:ascii="仿宋_GB2312" w:eastAsia="仿宋_GB2312"/>
          <w:sz w:val="32"/>
          <w:szCs w:val="32"/>
          <w:lang w:val="en-US" w:eastAsia="zh-CN"/>
        </w:rPr>
        <w:t>一是</w:t>
      </w:r>
      <w:r>
        <w:rPr>
          <w:rFonts w:hint="eastAsia" w:ascii="仿宋_GB2312" w:eastAsia="仿宋_GB2312"/>
          <w:sz w:val="32"/>
          <w:szCs w:val="32"/>
          <w:lang w:eastAsia="zh-CN"/>
        </w:rPr>
        <w:t>加强了教师队伍建设，提升教师教育教学能力；二是教师技能提高使学生受益，促进学生知识的获取及技能的吸收。</w:t>
      </w:r>
    </w:p>
    <w:p>
      <w:pPr>
        <w:spacing w:line="578"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（三）财政评价项目绩效评价结果</w:t>
      </w:r>
    </w:p>
    <w:p>
      <w:pPr>
        <w:keepNext w:val="0"/>
        <w:keepLines w:val="0"/>
        <w:widowControl/>
        <w:suppressLineNumbers w:val="0"/>
        <w:spacing w:before="100" w:beforeAutospacing="1" w:after="100" w:afterAutospacing="1"/>
        <w:ind w:right="0" w:firstLine="640" w:firstLineChars="200"/>
        <w:jc w:val="left"/>
        <w:rPr>
          <w:rFonts w:hint="default" w:ascii="仿宋_GB2312" w:hAnsi="宋体" w:eastAsia="仿宋_GB2312" w:cs="仿宋_GB2312"/>
          <w:kern w:val="0"/>
          <w:sz w:val="32"/>
          <w:szCs w:val="32"/>
        </w:rPr>
      </w:pPr>
      <w:r>
        <w:rPr>
          <w:rFonts w:hint="eastAsia" w:ascii="仿宋_GB2312" w:hAnsi="宋体" w:eastAsia="仿宋_GB2312" w:cs="仿宋_GB2312"/>
          <w:kern w:val="0"/>
          <w:sz w:val="32"/>
          <w:szCs w:val="32"/>
          <w:lang w:val="en-US" w:eastAsia="zh-CN"/>
        </w:rPr>
        <w:t>2021</w:t>
      </w:r>
      <w:r>
        <w:rPr>
          <w:rFonts w:hint="eastAsia" w:ascii="仿宋_GB2312" w:hAnsi="宋体" w:eastAsia="仿宋_GB2312" w:cs="仿宋_GB2312"/>
          <w:kern w:val="0"/>
          <w:sz w:val="32"/>
          <w:szCs w:val="32"/>
        </w:rPr>
        <w:t>年</w:t>
      </w:r>
      <w:r>
        <w:rPr>
          <w:rFonts w:hint="eastAsia" w:ascii="仿宋_GB2312" w:eastAsia="仿宋_GB2312" w:cs="仿宋_GB2312"/>
          <w:kern w:val="0"/>
          <w:sz w:val="32"/>
          <w:szCs w:val="32"/>
          <w:lang w:eastAsia="zh-CN"/>
        </w:rPr>
        <w:t>海南省工业学校</w:t>
      </w:r>
      <w:r>
        <w:rPr>
          <w:rFonts w:hint="eastAsia" w:ascii="仿宋_GB2312" w:hAnsi="宋体" w:eastAsia="仿宋_GB2312" w:cs="仿宋_GB2312"/>
          <w:kern w:val="0"/>
          <w:sz w:val="32"/>
          <w:szCs w:val="32"/>
          <w:lang w:eastAsia="zh-CN"/>
        </w:rPr>
        <w:t>决算中</w:t>
      </w:r>
      <w:r>
        <w:rPr>
          <w:rFonts w:hint="eastAsia" w:ascii="仿宋_GB2312" w:eastAsia="仿宋_GB2312" w:cs="仿宋_GB2312"/>
          <w:kern w:val="0"/>
          <w:sz w:val="32"/>
          <w:szCs w:val="32"/>
          <w:lang w:eastAsia="zh-CN"/>
        </w:rPr>
        <w:t>无财政评价项目绩效评价结果</w:t>
      </w:r>
    </w:p>
    <w:p>
      <w:pPr>
        <w:spacing w:line="578"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（四）部门评价项目绩效评价结果</w:t>
      </w:r>
    </w:p>
    <w:p>
      <w:pPr>
        <w:keepNext w:val="0"/>
        <w:keepLines w:val="0"/>
        <w:widowControl/>
        <w:suppressLineNumbers w:val="0"/>
        <w:spacing w:before="100" w:beforeAutospacing="1" w:after="100" w:afterAutospacing="1"/>
        <w:ind w:right="0" w:firstLine="640" w:firstLineChars="200"/>
        <w:jc w:val="left"/>
        <w:rPr>
          <w:rFonts w:hint="default" w:ascii="仿宋_GB2312" w:hAnsi="宋体" w:eastAsia="仿宋_GB2312" w:cs="仿宋_GB2312"/>
          <w:kern w:val="0"/>
          <w:sz w:val="32"/>
          <w:szCs w:val="32"/>
        </w:rPr>
      </w:pPr>
      <w:r>
        <w:rPr>
          <w:rFonts w:hint="eastAsia" w:ascii="仿宋_GB2312" w:hAnsi="宋体" w:eastAsia="仿宋_GB2312" w:cs="仿宋_GB2312"/>
          <w:kern w:val="0"/>
          <w:sz w:val="32"/>
          <w:szCs w:val="32"/>
          <w:lang w:val="en-US" w:eastAsia="zh-CN"/>
        </w:rPr>
        <w:t>2021</w:t>
      </w:r>
      <w:r>
        <w:rPr>
          <w:rFonts w:hint="eastAsia" w:ascii="仿宋_GB2312" w:hAnsi="宋体" w:eastAsia="仿宋_GB2312" w:cs="仿宋_GB2312"/>
          <w:kern w:val="0"/>
          <w:sz w:val="32"/>
          <w:szCs w:val="32"/>
        </w:rPr>
        <w:t>年</w:t>
      </w:r>
      <w:r>
        <w:rPr>
          <w:rFonts w:hint="eastAsia" w:ascii="仿宋_GB2312" w:eastAsia="仿宋_GB2312" w:cs="仿宋_GB2312"/>
          <w:kern w:val="0"/>
          <w:sz w:val="32"/>
          <w:szCs w:val="32"/>
          <w:lang w:eastAsia="zh-CN"/>
        </w:rPr>
        <w:t>海南省工业学校</w:t>
      </w:r>
      <w:r>
        <w:rPr>
          <w:rFonts w:hint="eastAsia" w:ascii="仿宋_GB2312" w:hAnsi="宋体" w:eastAsia="仿宋_GB2312" w:cs="仿宋_GB2312"/>
          <w:kern w:val="0"/>
          <w:sz w:val="32"/>
          <w:szCs w:val="32"/>
          <w:lang w:eastAsia="zh-CN"/>
        </w:rPr>
        <w:t>决算中</w:t>
      </w:r>
      <w:r>
        <w:rPr>
          <w:rFonts w:hint="eastAsia" w:ascii="仿宋_GB2312" w:eastAsia="仿宋_GB2312" w:cs="仿宋_GB2312"/>
          <w:kern w:val="0"/>
          <w:sz w:val="32"/>
          <w:szCs w:val="32"/>
          <w:lang w:eastAsia="zh-CN"/>
        </w:rPr>
        <w:t>无部门评价项目绩效评价结果</w:t>
      </w: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十三、其他重要事项情况说明</w:t>
      </w:r>
    </w:p>
    <w:p>
      <w:pPr>
        <w:ind w:firstLine="643" w:firstLineChars="200"/>
        <w:rPr>
          <w:rFonts w:hint="eastAsia" w:ascii="楷体" w:hAnsi="楷体" w:eastAsia="楷体" w:cs="楷体"/>
          <w:b/>
          <w:sz w:val="32"/>
          <w:szCs w:val="32"/>
        </w:rPr>
      </w:pPr>
      <w:bookmarkStart w:id="99" w:name="_Toc32639_WPSOffice_Level2"/>
      <w:bookmarkStart w:id="100" w:name="_Toc5978_WPSOffice_Level2"/>
      <w:bookmarkStart w:id="101" w:name="_Toc15262_WPSOffice_Level2"/>
      <w:bookmarkStart w:id="102" w:name="_Toc18325_WPSOffice_Level2"/>
      <w:bookmarkStart w:id="103" w:name="_Toc23598_WPSOffice_Level2"/>
      <w:bookmarkStart w:id="104" w:name="_Toc15565_WPSOffice_Level2"/>
      <w:r>
        <w:rPr>
          <w:rFonts w:hint="eastAsia" w:ascii="楷体" w:hAnsi="楷体" w:eastAsia="楷体" w:cs="楷体"/>
          <w:b/>
          <w:sz w:val="32"/>
          <w:szCs w:val="32"/>
        </w:rPr>
        <w:t>（一）机关运行经费支出情况</w:t>
      </w:r>
      <w:bookmarkEnd w:id="99"/>
      <w:bookmarkEnd w:id="100"/>
      <w:bookmarkEnd w:id="101"/>
      <w:bookmarkEnd w:id="102"/>
      <w:bookmarkEnd w:id="103"/>
      <w:bookmarkEnd w:id="104"/>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2021年度海南省工业学校机关运行经费0万元，比年初预算增加（减少）0万元，增长（降低）0%。主要原因是：</w:t>
      </w:r>
      <w:r>
        <w:rPr>
          <w:rFonts w:hint="eastAsia" w:ascii="仿宋_GB2312" w:hAnsi="微软雅黑" w:eastAsia="仿宋_GB2312"/>
          <w:color w:val="000000"/>
          <w:sz w:val="32"/>
          <w:szCs w:val="32"/>
        </w:rPr>
        <w:t>事业单位没有机关运行经费支出</w:t>
      </w:r>
      <w:r>
        <w:rPr>
          <w:rFonts w:hint="eastAsia" w:ascii="仿宋_GB2312" w:hAnsi="ˎ̥" w:eastAsia="仿宋_GB2312"/>
          <w:sz w:val="32"/>
          <w:szCs w:val="32"/>
        </w:rPr>
        <w:t>。</w:t>
      </w:r>
    </w:p>
    <w:p>
      <w:pPr>
        <w:ind w:firstLine="643" w:firstLineChars="200"/>
        <w:rPr>
          <w:rFonts w:hint="eastAsia" w:ascii="楷体" w:hAnsi="楷体" w:eastAsia="楷体" w:cs="楷体"/>
          <w:b/>
          <w:sz w:val="32"/>
          <w:szCs w:val="32"/>
        </w:rPr>
      </w:pPr>
      <w:bookmarkStart w:id="105" w:name="_Toc3131_WPSOffice_Level2"/>
      <w:bookmarkStart w:id="106" w:name="_Toc32689_WPSOffice_Level2"/>
      <w:bookmarkStart w:id="107" w:name="_Toc13084_WPSOffice_Level2"/>
      <w:bookmarkStart w:id="108" w:name="_Toc25333_WPSOffice_Level2"/>
      <w:bookmarkStart w:id="109" w:name="_Toc30383_WPSOffice_Level2"/>
      <w:bookmarkStart w:id="110" w:name="_Toc23966_WPSOffice_Level2"/>
      <w:r>
        <w:rPr>
          <w:rFonts w:hint="eastAsia" w:ascii="楷体" w:hAnsi="楷体" w:eastAsia="楷体" w:cs="楷体"/>
          <w:b/>
          <w:sz w:val="32"/>
          <w:szCs w:val="32"/>
        </w:rPr>
        <w:t>（二）政府采购支出情况</w:t>
      </w:r>
      <w:bookmarkEnd w:id="105"/>
      <w:bookmarkEnd w:id="106"/>
      <w:bookmarkEnd w:id="107"/>
      <w:bookmarkEnd w:id="108"/>
      <w:bookmarkEnd w:id="109"/>
      <w:bookmarkEnd w:id="110"/>
    </w:p>
    <w:p>
      <w:pPr>
        <w:ind w:firstLine="640" w:firstLineChars="200"/>
        <w:rPr>
          <w:rFonts w:hint="eastAsia" w:ascii="仿宋_GB2312" w:hAnsi="ˎ̥" w:eastAsia="仿宋_GB2312"/>
          <w:sz w:val="32"/>
          <w:szCs w:val="32"/>
        </w:rPr>
      </w:pPr>
      <w:r>
        <w:rPr>
          <w:rFonts w:hint="eastAsia" w:ascii="仿宋_GB2312" w:hAnsi="ˎ̥" w:eastAsia="仿宋_GB2312"/>
          <w:sz w:val="32"/>
          <w:szCs w:val="32"/>
        </w:rPr>
        <w:t>2021年度海南省工业学校政府采购支出总额2248.95万元，其中：政府采购货物支出638.7万元、政府采购工程支出1610.25万元、政府采购服务支出0万元。授予中小企业合同金额0万元，占政府采购支出总额的0%，其中：授予小微企业合同金额0万元，占政府采购支出总额的0%。</w:t>
      </w:r>
    </w:p>
    <w:p>
      <w:pPr>
        <w:ind w:firstLine="643" w:firstLineChars="200"/>
        <w:rPr>
          <w:rFonts w:hint="eastAsia" w:ascii="楷体" w:hAnsi="楷体" w:eastAsia="楷体" w:cs="楷体"/>
          <w:b/>
          <w:sz w:val="32"/>
          <w:szCs w:val="32"/>
        </w:rPr>
      </w:pPr>
      <w:bookmarkStart w:id="111" w:name="_Toc15129_WPSOffice_Level2"/>
      <w:bookmarkStart w:id="112" w:name="_Toc527_WPSOffice_Level2"/>
      <w:bookmarkStart w:id="113" w:name="_Toc29584_WPSOffice_Level2"/>
      <w:bookmarkStart w:id="114" w:name="_Toc19989_WPSOffice_Level2"/>
      <w:bookmarkStart w:id="115" w:name="_Toc10902_WPSOffice_Level2"/>
      <w:bookmarkStart w:id="116" w:name="_Toc6016_WPSOffice_Level2"/>
      <w:r>
        <w:rPr>
          <w:rFonts w:hint="eastAsia" w:ascii="楷体" w:hAnsi="楷体" w:eastAsia="楷体" w:cs="楷体"/>
          <w:b/>
          <w:sz w:val="32"/>
          <w:szCs w:val="32"/>
        </w:rPr>
        <w:t>（三）国有资产占用情况</w:t>
      </w:r>
      <w:bookmarkEnd w:id="111"/>
      <w:bookmarkEnd w:id="112"/>
      <w:bookmarkEnd w:id="113"/>
      <w:bookmarkEnd w:id="114"/>
      <w:bookmarkEnd w:id="115"/>
      <w:bookmarkEnd w:id="116"/>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截至2021年12月31日，本部门占用房屋面积18826.04平方米，其中：办公用房1999.75平方米，业务用房14932.79平方米，其他（不含构筑物）1893.5平方米。</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本部门共有车辆3辆，其中：从车辆种类说明：轿车1辆、越野车0辆、小型载客汽车1辆、大中型载客汽车辆、其他车型1辆，其他车型0辆；从车辆使用情况说明：副部（省）级及以上领导用车0辆、主要领导干部用车0辆、机要通信用车0辆、应急保障用车0辆、执法执勤用车0辆、特种专业技术用车0辆、离退休干部用车0辆、其他用车3辆。</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单位价值50万元（含）以上通用设备3台（套），单价100万元（含）以上专用设备0台（套）。</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年末在建工程2999.37万元。</w:t>
      </w:r>
    </w:p>
    <w:p>
      <w:pPr>
        <w:spacing w:line="578" w:lineRule="exact"/>
        <w:ind w:firstLine="640" w:firstLineChars="200"/>
        <w:rPr>
          <w:rFonts w:hint="eastAsia" w:ascii="仿宋_GB2312" w:hAnsi="ˎ̥" w:eastAsia="仿宋_GB2312"/>
          <w:sz w:val="32"/>
          <w:szCs w:val="32"/>
        </w:rPr>
      </w:pPr>
    </w:p>
    <w:p>
      <w:pPr>
        <w:spacing w:line="578" w:lineRule="exact"/>
        <w:ind w:firstLine="640" w:firstLineChars="200"/>
        <w:rPr>
          <w:rFonts w:hint="eastAsia" w:ascii="仿宋_GB2312" w:hAnsi="ˎ̥" w:eastAsia="仿宋_GB2312"/>
          <w:sz w:val="32"/>
          <w:szCs w:val="32"/>
        </w:rPr>
      </w:pPr>
    </w:p>
    <w:p>
      <w:pPr>
        <w:jc w:val="center"/>
        <w:rPr>
          <w:rFonts w:hint="eastAsia" w:ascii="黑体" w:hAnsi="ˎ̥" w:eastAsia="黑体"/>
          <w:sz w:val="32"/>
          <w:szCs w:val="32"/>
        </w:rPr>
      </w:pPr>
      <w:bookmarkStart w:id="117" w:name="_Toc15425_WPSOffice_Level1"/>
      <w:bookmarkStart w:id="118" w:name="_Toc8808_WPSOffice_Level1"/>
      <w:bookmarkStart w:id="119" w:name="_Toc17580_WPSOffice_Level1"/>
      <w:bookmarkStart w:id="120" w:name="_Toc4398_WPSOffice_Level1"/>
      <w:bookmarkStart w:id="121" w:name="_Toc11039_WPSOffice_Level1"/>
      <w:bookmarkStart w:id="122" w:name="_Toc8874_WPSOffice_Level1"/>
      <w:r>
        <w:rPr>
          <w:rFonts w:hint="eastAsia" w:ascii="黑体" w:hAnsi="ˎ̥" w:eastAsia="黑体"/>
          <w:sz w:val="32"/>
          <w:szCs w:val="32"/>
        </w:rPr>
        <w:t>第四部分  名词解释</w:t>
      </w:r>
      <w:bookmarkEnd w:id="117"/>
      <w:bookmarkEnd w:id="118"/>
      <w:bookmarkEnd w:id="119"/>
      <w:bookmarkEnd w:id="120"/>
      <w:bookmarkEnd w:id="121"/>
      <w:bookmarkEnd w:id="122"/>
    </w:p>
    <w:p>
      <w:pPr>
        <w:jc w:val="center"/>
        <w:rPr>
          <w:rFonts w:hint="eastAsia" w:ascii="黑体" w:hAnsi="ˎ̥" w:eastAsia="黑体"/>
          <w:sz w:val="32"/>
          <w:szCs w:val="32"/>
        </w:rPr>
      </w:pPr>
    </w:p>
    <w:p>
      <w:pPr>
        <w:numPr>
          <w:ilvl w:val="0"/>
          <w:numId w:val="4"/>
        </w:numPr>
        <w:ind w:firstLine="640" w:firstLineChars="200"/>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以前年度积累的非限定用途的非同级财政拨款结余资金弥补本年度收支缺口。</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ind w:firstLine="645"/>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ind w:firstLine="645"/>
        <w:rPr>
          <w:rFonts w:hint="eastAsia" w:ascii="仿宋_GB2312" w:hAnsi="ˎ̥" w:eastAsia="仿宋_GB2312"/>
          <w:sz w:val="32"/>
          <w:szCs w:val="32"/>
        </w:rPr>
      </w:pPr>
      <w:r>
        <w:rPr>
          <w:rFonts w:hint="eastAsia" w:ascii="仿宋_GB2312" w:hAnsi="ˎ̥" w:eastAsia="仿宋_GB2312"/>
          <w:sz w:val="32"/>
          <w:szCs w:val="32"/>
        </w:rPr>
        <w:t>（支出功能分类的名词解释，各部门（单位）根据实际支出情况填列，可参阅财政部印发的《2021年政府收支分类科目》）</w:t>
      </w:r>
    </w:p>
    <w:p>
      <w:pPr>
        <w:rPr>
          <w:rFonts w:hint="eastAsia" w:ascii="仿宋_GB2312" w:hAnsi="ˎ̥" w:eastAsia="仿宋_GB2312"/>
          <w:sz w:val="32"/>
          <w:szCs w:val="32"/>
        </w:rPr>
      </w:pPr>
      <w:r>
        <w:rPr>
          <w:rFonts w:hint="eastAsia" w:ascii="仿宋_GB2312" w:hAnsi="ˎ̥" w:eastAsia="仿宋_GB2312"/>
          <w:sz w:val="32"/>
          <w:szCs w:val="32"/>
        </w:rPr>
        <w:t>……</w:t>
      </w:r>
    </w:p>
    <w:p>
      <w:pPr>
        <w:jc w:val="left"/>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401A55BA"/>
    <w:multiLevelType w:val="multilevel"/>
    <w:tmpl w:val="401A55BA"/>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DC7319B"/>
    <w:multiLevelType w:val="multilevel"/>
    <w:tmpl w:val="6DC7319B"/>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ZDQxYTA4YTUzNDQ5MDA2ZDg0NjhjZjFlNTIxM2EifQ=="/>
  </w:docVars>
  <w:rsids>
    <w:rsidRoot w:val="009F25EC"/>
    <w:rsid w:val="00032793"/>
    <w:rsid w:val="000D15D5"/>
    <w:rsid w:val="000F14FC"/>
    <w:rsid w:val="000F3CFE"/>
    <w:rsid w:val="00113AB0"/>
    <w:rsid w:val="00121400"/>
    <w:rsid w:val="00123C1E"/>
    <w:rsid w:val="001D4617"/>
    <w:rsid w:val="00257FBC"/>
    <w:rsid w:val="00287220"/>
    <w:rsid w:val="0029326C"/>
    <w:rsid w:val="002E739E"/>
    <w:rsid w:val="002F5990"/>
    <w:rsid w:val="0031053D"/>
    <w:rsid w:val="003348DD"/>
    <w:rsid w:val="003C122F"/>
    <w:rsid w:val="00502ED0"/>
    <w:rsid w:val="006C0499"/>
    <w:rsid w:val="00725818"/>
    <w:rsid w:val="007B6DAB"/>
    <w:rsid w:val="00883396"/>
    <w:rsid w:val="008D14BE"/>
    <w:rsid w:val="00916BE6"/>
    <w:rsid w:val="0092617C"/>
    <w:rsid w:val="00963FF7"/>
    <w:rsid w:val="009D4D14"/>
    <w:rsid w:val="009F25EC"/>
    <w:rsid w:val="00A01CE5"/>
    <w:rsid w:val="00A02B0F"/>
    <w:rsid w:val="00A471C0"/>
    <w:rsid w:val="00A667D5"/>
    <w:rsid w:val="00AE4669"/>
    <w:rsid w:val="00B33E14"/>
    <w:rsid w:val="00B46EAE"/>
    <w:rsid w:val="00BB6F5D"/>
    <w:rsid w:val="00C4217B"/>
    <w:rsid w:val="00C65A3D"/>
    <w:rsid w:val="00CA0896"/>
    <w:rsid w:val="00D111C7"/>
    <w:rsid w:val="00D205EB"/>
    <w:rsid w:val="00D66FF5"/>
    <w:rsid w:val="00D705C2"/>
    <w:rsid w:val="00DC76BB"/>
    <w:rsid w:val="00E13BBB"/>
    <w:rsid w:val="00E8056D"/>
    <w:rsid w:val="00EB6FF1"/>
    <w:rsid w:val="00EE20FA"/>
    <w:rsid w:val="00EF3A18"/>
    <w:rsid w:val="00F914C7"/>
    <w:rsid w:val="194505FE"/>
    <w:rsid w:val="21FA3DA2"/>
    <w:rsid w:val="4D654A6C"/>
    <w:rsid w:val="62C16803"/>
    <w:rsid w:val="63FA41FB"/>
    <w:rsid w:val="66440382"/>
    <w:rsid w:val="6A413D5A"/>
    <w:rsid w:val="6CDA6718"/>
    <w:rsid w:val="6F500AB1"/>
    <w:rsid w:val="726949EC"/>
    <w:rsid w:val="743E425C"/>
    <w:rsid w:val="7A8F43AA"/>
    <w:rsid w:val="7F000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2"/>
    <w:unhideWhenUsed/>
    <w:qFormat/>
    <w:uiPriority w:val="9"/>
    <w:pPr>
      <w:keepNext/>
      <w:keepLines/>
      <w:widowControl/>
      <w:spacing w:before="260" w:after="260" w:line="413" w:lineRule="auto"/>
      <w:jc w:val="left"/>
      <w:outlineLvl w:val="2"/>
    </w:pPr>
    <w:rPr>
      <w:rFonts w:ascii="宋体" w:hAnsi="宋体" w:cs="宋体"/>
      <w:b/>
      <w:kern w:val="0"/>
      <w:sz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7"/>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 w:type="character" w:customStyle="1" w:styleId="7">
    <w:name w:val="页脚 Char"/>
    <w:basedOn w:val="5"/>
    <w:link w:val="3"/>
    <w:qFormat/>
    <w:uiPriority w:val="0"/>
    <w:rPr>
      <w:rFonts w:ascii="Times New Roman" w:hAnsi="Times New Roman" w:eastAsia="宋体" w:cs="Times New Roman"/>
      <w:sz w:val="18"/>
      <w:szCs w:val="18"/>
    </w:rPr>
  </w:style>
  <w:style w:type="paragraph" w:customStyle="1" w:styleId="8">
    <w:name w:val="正文1 Char Char Char"/>
    <w:basedOn w:val="1"/>
    <w:qFormat/>
    <w:uiPriority w:val="0"/>
    <w:pPr>
      <w:spacing w:line="360" w:lineRule="auto"/>
      <w:ind w:firstLine="200" w:firstLineChars="200"/>
    </w:pPr>
  </w:style>
  <w:style w:type="paragraph" w:customStyle="1" w:styleId="9">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10">
    <w:name w:val="WPSOffice手动目录 2"/>
    <w:qFormat/>
    <w:uiPriority w:val="0"/>
    <w:pPr>
      <w:ind w:leftChars="200"/>
    </w:pPr>
    <w:rPr>
      <w:rFonts w:ascii="Times New Roman" w:hAnsi="Times New Roman" w:eastAsia="宋体" w:cs="Times New Roman"/>
      <w:kern w:val="0"/>
      <w:sz w:val="20"/>
      <w:szCs w:val="20"/>
      <w:lang w:val="en-US" w:eastAsia="zh-CN" w:bidi="ar-SA"/>
    </w:rPr>
  </w:style>
  <w:style w:type="paragraph" w:styleId="11">
    <w:name w:val="List Paragraph"/>
    <w:basedOn w:val="1"/>
    <w:qFormat/>
    <w:uiPriority w:val="34"/>
    <w:pPr>
      <w:ind w:firstLine="420" w:firstLineChars="200"/>
    </w:pPr>
  </w:style>
  <w:style w:type="character" w:customStyle="1" w:styleId="12">
    <w:name w:val="标题 3 Char"/>
    <w:basedOn w:val="5"/>
    <w:link w:val="2"/>
    <w:qFormat/>
    <w:uiPriority w:val="9"/>
    <w:rPr>
      <w:rFonts w:ascii="宋体" w:hAnsi="宋体" w:eastAsia="宋体" w:cs="宋体"/>
      <w:b/>
      <w:kern w:val="0"/>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FD11F-6C48-4F3D-A884-10359669E0D0}">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6213</Words>
  <Characters>6851</Characters>
  <Lines>57</Lines>
  <Paragraphs>16</Paragraphs>
  <TotalTime>10</TotalTime>
  <ScaleCrop>false</ScaleCrop>
  <LinksUpToDate>false</LinksUpToDate>
  <CharactersWithSpaces>6984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2022-09-15T06:17:00Z</dcterms:created>
  <dc:creator>pc</dc:creator>
  <cp:lastModifiedBy>杨惠</cp:lastModifiedBy>
  <dcterms:modified xsi:type="dcterms:W3CDTF">2024-07-16T01:25:46Z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A19233E36776469F845D74AB141C99B6_12</vt:lpwstr>
  </property>
</Properties>
</file>