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AC6B8">
      <w:pPr>
        <w:autoSpaceDE w:val="0"/>
        <w:spacing w:line="560" w:lineRule="exact"/>
        <w:jc w:val="center"/>
        <w:rPr>
          <w:rFonts w:ascii="黑体" w:eastAsia="黑体" w:cs="黑体"/>
          <w:b/>
          <w:bCs/>
          <w:sz w:val="52"/>
          <w:szCs w:val="52"/>
        </w:rPr>
      </w:pPr>
    </w:p>
    <w:p w14:paraId="73E8B482">
      <w:pPr>
        <w:autoSpaceDE w:val="0"/>
        <w:spacing w:line="560" w:lineRule="exact"/>
        <w:jc w:val="center"/>
        <w:rPr>
          <w:rFonts w:ascii="黑体" w:eastAsia="黑体" w:cs="黑体"/>
          <w:b/>
          <w:bCs/>
          <w:sz w:val="52"/>
          <w:szCs w:val="52"/>
        </w:rPr>
      </w:pPr>
    </w:p>
    <w:p w14:paraId="1E217A33">
      <w:pPr>
        <w:autoSpaceDE w:val="0"/>
        <w:spacing w:line="560" w:lineRule="exact"/>
        <w:jc w:val="center"/>
        <w:rPr>
          <w:rFonts w:ascii="黑体" w:eastAsia="黑体" w:cs="黑体"/>
          <w:b/>
          <w:bCs/>
          <w:sz w:val="52"/>
          <w:szCs w:val="52"/>
        </w:rPr>
      </w:pPr>
    </w:p>
    <w:p w14:paraId="00954FCC">
      <w:pPr>
        <w:autoSpaceDE w:val="0"/>
        <w:spacing w:line="560" w:lineRule="exact"/>
        <w:jc w:val="center"/>
        <w:rPr>
          <w:rFonts w:ascii="黑体" w:eastAsia="黑体" w:cs="黑体"/>
          <w:b/>
          <w:bCs/>
          <w:sz w:val="52"/>
          <w:szCs w:val="52"/>
        </w:rPr>
      </w:pPr>
    </w:p>
    <w:p w14:paraId="78D01213">
      <w:pPr>
        <w:autoSpaceDE w:val="0"/>
        <w:spacing w:line="560" w:lineRule="exact"/>
        <w:jc w:val="center"/>
        <w:rPr>
          <w:rFonts w:ascii="黑体" w:eastAsia="黑体" w:cs="黑体"/>
          <w:b/>
          <w:bCs/>
          <w:sz w:val="52"/>
          <w:szCs w:val="52"/>
        </w:rPr>
      </w:pPr>
    </w:p>
    <w:p w14:paraId="547A770E">
      <w:pPr>
        <w:autoSpaceDE w:val="0"/>
        <w:spacing w:line="560" w:lineRule="exact"/>
        <w:jc w:val="center"/>
        <w:rPr>
          <w:rFonts w:ascii="黑体" w:eastAsia="黑体" w:cs="黑体"/>
          <w:b/>
          <w:bCs/>
          <w:sz w:val="52"/>
          <w:szCs w:val="52"/>
        </w:rPr>
      </w:pPr>
    </w:p>
    <w:p w14:paraId="5ED6F063">
      <w:pPr>
        <w:autoSpaceDE w:val="0"/>
        <w:spacing w:line="560" w:lineRule="exact"/>
        <w:jc w:val="center"/>
        <w:rPr>
          <w:rFonts w:ascii="黑体" w:eastAsia="黑体" w:cs="黑体"/>
          <w:b/>
          <w:bCs/>
          <w:sz w:val="52"/>
          <w:szCs w:val="52"/>
        </w:rPr>
      </w:pPr>
    </w:p>
    <w:p w14:paraId="369DB292">
      <w:pPr>
        <w:autoSpaceDE w:val="0"/>
        <w:spacing w:line="560" w:lineRule="exact"/>
        <w:jc w:val="center"/>
        <w:rPr>
          <w:rFonts w:ascii="黑体" w:eastAsia="黑体" w:cs="黑体"/>
          <w:b/>
          <w:bCs/>
          <w:sz w:val="52"/>
          <w:szCs w:val="52"/>
        </w:rPr>
      </w:pPr>
    </w:p>
    <w:p w14:paraId="414D165A">
      <w:pPr>
        <w:autoSpaceDE w:val="0"/>
        <w:spacing w:line="560" w:lineRule="exact"/>
        <w:jc w:val="center"/>
        <w:rPr>
          <w:rFonts w:ascii="黑体" w:eastAsia="黑体" w:cs="黑体"/>
          <w:b/>
          <w:bCs/>
          <w:sz w:val="52"/>
          <w:szCs w:val="52"/>
        </w:rPr>
      </w:pPr>
    </w:p>
    <w:p w14:paraId="2187A0F3">
      <w:pPr>
        <w:autoSpaceDE w:val="0"/>
        <w:spacing w:line="560" w:lineRule="exact"/>
        <w:jc w:val="center"/>
        <w:rPr>
          <w:rFonts w:ascii="黑体" w:eastAsia="黑体" w:cs="黑体"/>
          <w:b/>
          <w:bCs/>
          <w:sz w:val="52"/>
          <w:szCs w:val="52"/>
        </w:rPr>
      </w:pPr>
    </w:p>
    <w:p w14:paraId="19AC7F77">
      <w:pPr>
        <w:autoSpaceDE w:val="0"/>
        <w:spacing w:line="560" w:lineRule="exact"/>
        <w:jc w:val="center"/>
        <w:rPr>
          <w:rFonts w:ascii="黑体" w:eastAsia="黑体" w:cs="黑体"/>
          <w:b/>
          <w:bCs/>
          <w:sz w:val="52"/>
          <w:szCs w:val="52"/>
        </w:rPr>
      </w:pPr>
    </w:p>
    <w:p w14:paraId="558DE097">
      <w:pPr>
        <w:autoSpaceDE w:val="0"/>
        <w:spacing w:line="560" w:lineRule="exact"/>
        <w:jc w:val="center"/>
        <w:rPr>
          <w:rFonts w:ascii="黑体" w:eastAsia="黑体" w:cs="黑体"/>
          <w:b/>
          <w:bCs/>
          <w:sz w:val="52"/>
          <w:szCs w:val="52"/>
        </w:rPr>
      </w:pPr>
      <w:r>
        <w:rPr>
          <w:rFonts w:ascii="黑体" w:eastAsia="黑体" w:cs="黑体"/>
          <w:b/>
          <w:bCs/>
          <w:sz w:val="52"/>
          <w:szCs w:val="52"/>
        </w:rPr>
        <w:t>海南中学2021年度部门决算</w:t>
      </w:r>
    </w:p>
    <w:p w14:paraId="237B3CBA">
      <w:pPr>
        <w:jc w:val="center"/>
      </w:pPr>
    </w:p>
    <w:p w14:paraId="526700A1">
      <w:pPr>
        <w:jc w:val="center"/>
      </w:pPr>
    </w:p>
    <w:p w14:paraId="074A2CB5">
      <w:pPr>
        <w:jc w:val="center"/>
      </w:pPr>
    </w:p>
    <w:p w14:paraId="7E7D0062">
      <w:pPr>
        <w:jc w:val="center"/>
      </w:pPr>
    </w:p>
    <w:p w14:paraId="5A4CB6DA">
      <w:pPr>
        <w:jc w:val="center"/>
      </w:pPr>
    </w:p>
    <w:p w14:paraId="4182B930">
      <w:pPr>
        <w:jc w:val="center"/>
      </w:pPr>
    </w:p>
    <w:p w14:paraId="1F15DD14">
      <w:pPr>
        <w:jc w:val="center"/>
      </w:pPr>
    </w:p>
    <w:p w14:paraId="4E068C7C">
      <w:pPr>
        <w:jc w:val="center"/>
      </w:pPr>
    </w:p>
    <w:p w14:paraId="1EB596F7">
      <w:pPr>
        <w:jc w:val="center"/>
      </w:pPr>
    </w:p>
    <w:p w14:paraId="4DB05D01">
      <w:pPr>
        <w:jc w:val="center"/>
      </w:pPr>
    </w:p>
    <w:p w14:paraId="28BEF0A2">
      <w:pPr>
        <w:jc w:val="both"/>
      </w:pPr>
    </w:p>
    <w:p w14:paraId="13382898">
      <w:pPr>
        <w:spacing w:line="560" w:lineRule="exact"/>
        <w:jc w:val="center"/>
        <w:rPr>
          <w:rFonts w:hint="default" w:ascii="Times New Roman" w:hAnsi="Times New Roman" w:eastAsia="仿宋_GB2312" w:cs="仿宋_GB2312"/>
          <w:b/>
          <w:bCs/>
          <w:sz w:val="32"/>
          <w:szCs w:val="32"/>
        </w:rPr>
        <w:sectPr>
          <w:pgSz w:w="11906" w:h="16838"/>
          <w:pgMar w:top="1440" w:right="1800" w:bottom="1440" w:left="1800" w:header="851" w:footer="992" w:gutter="0"/>
          <w:cols w:space="425" w:num="1"/>
          <w:docGrid w:type="lines" w:linePitch="312" w:charSpace="0"/>
        </w:sectPr>
      </w:pPr>
      <w:bookmarkStart w:id="0" w:name="_Toc11440_WPSOffice_Type2"/>
    </w:p>
    <w:p w14:paraId="79358E7D">
      <w:pPr>
        <w:spacing w:line="560" w:lineRule="exact"/>
        <w:jc w:val="center"/>
        <w:rPr>
          <w:rFonts w:hint="default" w:ascii="Times New Roman" w:hAnsi="Times New Roman" w:eastAsia="仿宋_GB2312" w:cs="仿宋_GB2312"/>
          <w:b/>
          <w:bCs/>
          <w:sz w:val="32"/>
          <w:szCs w:val="32"/>
        </w:rPr>
      </w:pPr>
      <w:r>
        <w:rPr>
          <w:rFonts w:ascii="Times New Roman" w:hAnsi="Times New Roman" w:eastAsia="仿宋_GB2312" w:cs="仿宋_GB2312"/>
          <w:b/>
          <w:bCs/>
          <w:sz w:val="32"/>
          <w:szCs w:val="32"/>
        </w:rPr>
        <w:t>目  录</w:t>
      </w:r>
    </w:p>
    <w:p w14:paraId="0C5E50AE">
      <w:pPr>
        <w:pStyle w:val="6"/>
        <w:tabs>
          <w:tab w:val="right" w:leader="dot" w:pos="8306"/>
        </w:tabs>
        <w:spacing w:line="560" w:lineRule="exact"/>
        <w:rPr>
          <w:rFonts w:eastAsia="仿宋_GB2312" w:cs="仿宋_GB2312"/>
          <w:sz w:val="32"/>
          <w:szCs w:val="32"/>
        </w:rPr>
      </w:pPr>
      <w:r>
        <w:fldChar w:fldCharType="begin"/>
      </w:r>
      <w:r>
        <w:instrText xml:space="preserve"> HYPERLINK \l "_Toc1704_WPSOffice_Level1" </w:instrText>
      </w:r>
      <w:r>
        <w:fldChar w:fldCharType="separate"/>
      </w:r>
      <w:r>
        <w:rPr>
          <w:rFonts w:hint="eastAsia" w:eastAsia="仿宋_GB2312" w:cs="仿宋_GB2312"/>
          <w:b/>
          <w:bCs/>
          <w:sz w:val="32"/>
          <w:szCs w:val="32"/>
        </w:rPr>
        <w:t>第一部分  海南中学部门概况</w:t>
      </w:r>
      <w:r>
        <w:rPr>
          <w:rFonts w:hint="eastAsia" w:eastAsia="仿宋_GB2312" w:cs="仿宋_GB2312"/>
          <w:sz w:val="32"/>
          <w:szCs w:val="32"/>
        </w:rPr>
        <w:tab/>
      </w:r>
      <w:r>
        <w:rPr>
          <w:rFonts w:hint="eastAsia" w:eastAsia="仿宋_GB2312" w:cs="仿宋_GB2312"/>
          <w:sz w:val="32"/>
          <w:szCs w:val="32"/>
        </w:rPr>
        <w:t>3</w:t>
      </w:r>
      <w:r>
        <w:rPr>
          <w:rFonts w:hint="eastAsia" w:eastAsia="仿宋_GB2312" w:cs="仿宋_GB2312"/>
          <w:sz w:val="32"/>
          <w:szCs w:val="32"/>
        </w:rPr>
        <w:fldChar w:fldCharType="end"/>
      </w:r>
    </w:p>
    <w:p w14:paraId="21F5CC22">
      <w:pPr>
        <w:pStyle w:val="7"/>
        <w:tabs>
          <w:tab w:val="right" w:leader="dot" w:pos="8306"/>
        </w:tabs>
        <w:spacing w:line="560" w:lineRule="exact"/>
        <w:ind w:left="0" w:leftChars="0"/>
        <w:rPr>
          <w:rFonts w:eastAsia="仿宋_GB2312" w:cs="仿宋_GB2312"/>
          <w:sz w:val="32"/>
          <w:szCs w:val="32"/>
        </w:rPr>
      </w:pPr>
      <w:r>
        <w:fldChar w:fldCharType="begin"/>
      </w:r>
      <w:r>
        <w:instrText xml:space="preserve"> HYPERLINK \l "_Toc20274_WPSOffice_Level2" </w:instrText>
      </w:r>
      <w:r>
        <w:fldChar w:fldCharType="separate"/>
      </w:r>
      <w:r>
        <w:rPr>
          <w:rFonts w:hint="eastAsia" w:eastAsia="仿宋_GB2312" w:cs="仿宋_GB2312"/>
          <w:sz w:val="32"/>
          <w:szCs w:val="32"/>
        </w:rPr>
        <w:t>一、部门职责</w:t>
      </w:r>
      <w:r>
        <w:rPr>
          <w:rFonts w:hint="eastAsia" w:eastAsia="仿宋_GB2312" w:cs="仿宋_GB2312"/>
          <w:sz w:val="32"/>
          <w:szCs w:val="32"/>
        </w:rPr>
        <w:tab/>
      </w:r>
      <w:r>
        <w:rPr>
          <w:rFonts w:hint="eastAsia" w:eastAsia="仿宋_GB2312" w:cs="仿宋_GB2312"/>
          <w:sz w:val="32"/>
          <w:szCs w:val="32"/>
        </w:rPr>
        <w:t>3</w:t>
      </w:r>
      <w:r>
        <w:rPr>
          <w:rFonts w:hint="eastAsia" w:eastAsia="仿宋_GB2312" w:cs="仿宋_GB2312"/>
          <w:sz w:val="32"/>
          <w:szCs w:val="32"/>
        </w:rPr>
        <w:fldChar w:fldCharType="end"/>
      </w:r>
    </w:p>
    <w:p w14:paraId="6F17E95F">
      <w:pPr>
        <w:pStyle w:val="7"/>
        <w:tabs>
          <w:tab w:val="right" w:leader="dot" w:pos="8306"/>
        </w:tabs>
        <w:spacing w:line="560" w:lineRule="exact"/>
        <w:ind w:left="0" w:leftChars="0"/>
        <w:rPr>
          <w:rFonts w:eastAsia="仿宋_GB2312" w:cs="仿宋_GB2312"/>
          <w:sz w:val="32"/>
          <w:szCs w:val="32"/>
        </w:rPr>
      </w:pPr>
      <w:r>
        <w:fldChar w:fldCharType="begin"/>
      </w:r>
      <w:r>
        <w:instrText xml:space="preserve"> HYPERLINK \l "_Toc4833_WPSOffice_Level2" </w:instrText>
      </w:r>
      <w:r>
        <w:fldChar w:fldCharType="separate"/>
      </w:r>
      <w:r>
        <w:rPr>
          <w:rFonts w:hint="eastAsia" w:eastAsia="仿宋_GB2312" w:cs="仿宋_GB2312"/>
          <w:sz w:val="32"/>
          <w:szCs w:val="32"/>
        </w:rPr>
        <w:t>二、机构设置</w:t>
      </w:r>
      <w:r>
        <w:rPr>
          <w:rFonts w:hint="eastAsia" w:eastAsia="仿宋_GB2312" w:cs="仿宋_GB2312"/>
          <w:sz w:val="32"/>
          <w:szCs w:val="32"/>
        </w:rPr>
        <w:tab/>
      </w:r>
      <w:r>
        <w:rPr>
          <w:rFonts w:hint="eastAsia" w:eastAsia="仿宋_GB2312" w:cs="仿宋_GB2312"/>
          <w:sz w:val="32"/>
          <w:szCs w:val="32"/>
        </w:rPr>
        <w:t>3</w:t>
      </w:r>
      <w:r>
        <w:rPr>
          <w:rFonts w:hint="eastAsia" w:eastAsia="仿宋_GB2312" w:cs="仿宋_GB2312"/>
          <w:sz w:val="32"/>
          <w:szCs w:val="32"/>
        </w:rPr>
        <w:fldChar w:fldCharType="end"/>
      </w:r>
    </w:p>
    <w:p w14:paraId="0809856B">
      <w:pPr>
        <w:pStyle w:val="6"/>
        <w:tabs>
          <w:tab w:val="right" w:leader="dot" w:pos="8306"/>
        </w:tabs>
        <w:spacing w:line="560" w:lineRule="exact"/>
        <w:rPr>
          <w:rFonts w:eastAsia="仿宋_GB2312" w:cs="仿宋_GB2312"/>
          <w:sz w:val="32"/>
          <w:szCs w:val="32"/>
        </w:rPr>
      </w:pPr>
      <w:r>
        <w:fldChar w:fldCharType="begin"/>
      </w:r>
      <w:r>
        <w:instrText xml:space="preserve"> HYPERLINK \l "_Toc28253_WPSOffice_Level1" </w:instrText>
      </w:r>
      <w:r>
        <w:fldChar w:fldCharType="separate"/>
      </w:r>
      <w:r>
        <w:rPr>
          <w:rFonts w:hint="eastAsia" w:eastAsia="仿宋_GB2312" w:cs="仿宋_GB2312"/>
          <w:b/>
          <w:bCs/>
          <w:sz w:val="32"/>
          <w:szCs w:val="32"/>
        </w:rPr>
        <w:t>第二部分  海南中学2021年度部门决算公开表</w:t>
      </w:r>
      <w:r>
        <w:rPr>
          <w:rFonts w:hint="eastAsia" w:eastAsia="仿宋_GB2312" w:cs="仿宋_GB2312"/>
          <w:sz w:val="32"/>
          <w:szCs w:val="32"/>
        </w:rPr>
        <w:tab/>
      </w:r>
      <w:r>
        <w:rPr>
          <w:rFonts w:hint="eastAsia" w:eastAsia="仿宋_GB2312" w:cs="仿宋_GB2312"/>
          <w:sz w:val="32"/>
          <w:szCs w:val="32"/>
        </w:rPr>
        <w:t>3</w:t>
      </w:r>
      <w:r>
        <w:rPr>
          <w:rFonts w:hint="eastAsia" w:eastAsia="仿宋_GB2312" w:cs="仿宋_GB2312"/>
          <w:sz w:val="32"/>
          <w:szCs w:val="32"/>
        </w:rPr>
        <w:fldChar w:fldCharType="end"/>
      </w:r>
    </w:p>
    <w:p w14:paraId="485FAAFC">
      <w:pPr>
        <w:pStyle w:val="7"/>
        <w:tabs>
          <w:tab w:val="right" w:leader="dot" w:pos="8306"/>
        </w:tabs>
        <w:spacing w:line="560" w:lineRule="exact"/>
        <w:ind w:left="0" w:leftChars="0"/>
        <w:rPr>
          <w:rFonts w:eastAsia="仿宋_GB2312" w:cs="仿宋_GB2312"/>
          <w:sz w:val="32"/>
          <w:szCs w:val="32"/>
        </w:rPr>
      </w:pPr>
      <w:r>
        <w:fldChar w:fldCharType="begin"/>
      </w:r>
      <w:r>
        <w:instrText xml:space="preserve"> HYPERLINK \l "_Toc11518_WPSOffice_Level2" </w:instrText>
      </w:r>
      <w:r>
        <w:fldChar w:fldCharType="separate"/>
      </w:r>
      <w:r>
        <w:rPr>
          <w:rFonts w:hint="eastAsia" w:eastAsia="仿宋_GB2312" w:cs="仿宋_GB2312"/>
          <w:sz w:val="32"/>
          <w:szCs w:val="32"/>
        </w:rPr>
        <w:t>一、收入支出决算公开表</w:t>
      </w:r>
      <w:r>
        <w:rPr>
          <w:rFonts w:hint="eastAsia" w:eastAsia="仿宋_GB2312" w:cs="仿宋_GB2312"/>
          <w:sz w:val="32"/>
          <w:szCs w:val="32"/>
        </w:rPr>
        <w:tab/>
      </w:r>
      <w:r>
        <w:rPr>
          <w:rFonts w:hint="eastAsia" w:eastAsia="仿宋_GB2312" w:cs="仿宋_GB2312"/>
          <w:sz w:val="32"/>
          <w:szCs w:val="32"/>
        </w:rPr>
        <w:t>3</w:t>
      </w:r>
      <w:r>
        <w:rPr>
          <w:rFonts w:hint="eastAsia" w:eastAsia="仿宋_GB2312" w:cs="仿宋_GB2312"/>
          <w:sz w:val="32"/>
          <w:szCs w:val="32"/>
        </w:rPr>
        <w:fldChar w:fldCharType="end"/>
      </w:r>
    </w:p>
    <w:p w14:paraId="06D00307">
      <w:pPr>
        <w:pStyle w:val="7"/>
        <w:tabs>
          <w:tab w:val="right" w:leader="dot" w:pos="8306"/>
        </w:tabs>
        <w:spacing w:line="560" w:lineRule="exact"/>
        <w:ind w:left="0" w:leftChars="0"/>
        <w:rPr>
          <w:rFonts w:eastAsia="仿宋_GB2312" w:cs="仿宋_GB2312"/>
          <w:sz w:val="32"/>
          <w:szCs w:val="32"/>
        </w:rPr>
      </w:pPr>
      <w:r>
        <w:fldChar w:fldCharType="begin"/>
      </w:r>
      <w:r>
        <w:instrText xml:space="preserve"> HYPERLINK \l "_Toc28622_WPSOffice_Level2" </w:instrText>
      </w:r>
      <w:r>
        <w:fldChar w:fldCharType="separate"/>
      </w:r>
      <w:r>
        <w:rPr>
          <w:rFonts w:hint="eastAsia" w:eastAsia="仿宋_GB2312" w:cs="仿宋_GB2312"/>
          <w:sz w:val="32"/>
          <w:szCs w:val="32"/>
        </w:rPr>
        <w:t>二、收入决算公开表</w:t>
      </w:r>
      <w:r>
        <w:rPr>
          <w:rFonts w:hint="eastAsia" w:eastAsia="仿宋_GB2312" w:cs="仿宋_GB2312"/>
          <w:sz w:val="32"/>
          <w:szCs w:val="32"/>
        </w:rPr>
        <w:tab/>
      </w:r>
      <w:r>
        <w:rPr>
          <w:rFonts w:hint="eastAsia" w:eastAsia="仿宋_GB2312" w:cs="仿宋_GB2312"/>
          <w:sz w:val="32"/>
          <w:szCs w:val="32"/>
        </w:rPr>
        <w:t>3</w:t>
      </w:r>
      <w:r>
        <w:rPr>
          <w:rFonts w:hint="eastAsia" w:eastAsia="仿宋_GB2312" w:cs="仿宋_GB2312"/>
          <w:sz w:val="32"/>
          <w:szCs w:val="32"/>
        </w:rPr>
        <w:fldChar w:fldCharType="end"/>
      </w:r>
    </w:p>
    <w:p w14:paraId="49B6C8F3">
      <w:pPr>
        <w:pStyle w:val="7"/>
        <w:tabs>
          <w:tab w:val="right" w:leader="dot" w:pos="8306"/>
        </w:tabs>
        <w:spacing w:line="560" w:lineRule="exact"/>
        <w:ind w:left="0" w:leftChars="0"/>
        <w:rPr>
          <w:rFonts w:eastAsia="仿宋_GB2312" w:cs="仿宋_GB2312"/>
          <w:sz w:val="32"/>
          <w:szCs w:val="32"/>
        </w:rPr>
      </w:pPr>
      <w:r>
        <w:fldChar w:fldCharType="begin"/>
      </w:r>
      <w:r>
        <w:instrText xml:space="preserve"> HYPERLINK \l "_Toc5489_WPSOffice_Level2" </w:instrText>
      </w:r>
      <w:r>
        <w:fldChar w:fldCharType="separate"/>
      </w:r>
      <w:r>
        <w:rPr>
          <w:rFonts w:hint="eastAsia" w:eastAsia="仿宋_GB2312" w:cs="仿宋_GB2312"/>
          <w:sz w:val="32"/>
          <w:szCs w:val="32"/>
        </w:rPr>
        <w:t>三、支出决算公开表</w:t>
      </w:r>
      <w:r>
        <w:rPr>
          <w:rFonts w:hint="eastAsia" w:eastAsia="仿宋_GB2312" w:cs="仿宋_GB2312"/>
          <w:sz w:val="32"/>
          <w:szCs w:val="32"/>
        </w:rPr>
        <w:tab/>
      </w:r>
      <w:r>
        <w:rPr>
          <w:rFonts w:hint="eastAsia" w:eastAsia="仿宋_GB2312" w:cs="仿宋_GB2312"/>
          <w:sz w:val="32"/>
          <w:szCs w:val="32"/>
        </w:rPr>
        <w:t>3</w:t>
      </w:r>
      <w:r>
        <w:rPr>
          <w:rFonts w:hint="eastAsia" w:eastAsia="仿宋_GB2312" w:cs="仿宋_GB2312"/>
          <w:sz w:val="32"/>
          <w:szCs w:val="32"/>
        </w:rPr>
        <w:fldChar w:fldCharType="end"/>
      </w:r>
    </w:p>
    <w:p w14:paraId="6F77139E">
      <w:pPr>
        <w:pStyle w:val="7"/>
        <w:tabs>
          <w:tab w:val="right" w:leader="dot" w:pos="8306"/>
        </w:tabs>
        <w:spacing w:line="560" w:lineRule="exact"/>
        <w:ind w:left="0" w:leftChars="0"/>
        <w:rPr>
          <w:rFonts w:eastAsia="仿宋_GB2312" w:cs="仿宋_GB2312"/>
          <w:sz w:val="32"/>
          <w:szCs w:val="32"/>
        </w:rPr>
      </w:pPr>
      <w:r>
        <w:fldChar w:fldCharType="begin"/>
      </w:r>
      <w:r>
        <w:instrText xml:space="preserve"> HYPERLINK \l "_Toc23493_WPSOffice_Level2" </w:instrText>
      </w:r>
      <w:r>
        <w:fldChar w:fldCharType="separate"/>
      </w:r>
      <w:r>
        <w:rPr>
          <w:rFonts w:hint="eastAsia" w:eastAsia="仿宋_GB2312" w:cs="仿宋_GB2312"/>
          <w:sz w:val="32"/>
          <w:szCs w:val="32"/>
        </w:rPr>
        <w:t>四、财政拨款收入支出决算公开表</w:t>
      </w:r>
      <w:r>
        <w:rPr>
          <w:rFonts w:hint="eastAsia" w:eastAsia="仿宋_GB2312" w:cs="仿宋_GB2312"/>
          <w:sz w:val="32"/>
          <w:szCs w:val="32"/>
        </w:rPr>
        <w:tab/>
      </w:r>
      <w:r>
        <w:rPr>
          <w:rFonts w:hint="eastAsia" w:eastAsia="仿宋_GB2312" w:cs="仿宋_GB2312"/>
          <w:sz w:val="32"/>
          <w:szCs w:val="32"/>
        </w:rPr>
        <w:t>3</w:t>
      </w:r>
      <w:r>
        <w:rPr>
          <w:rFonts w:hint="eastAsia" w:eastAsia="仿宋_GB2312" w:cs="仿宋_GB2312"/>
          <w:sz w:val="32"/>
          <w:szCs w:val="32"/>
        </w:rPr>
        <w:fldChar w:fldCharType="end"/>
      </w:r>
    </w:p>
    <w:p w14:paraId="096C2CEC">
      <w:pPr>
        <w:pStyle w:val="7"/>
        <w:tabs>
          <w:tab w:val="right" w:leader="dot" w:pos="8306"/>
        </w:tabs>
        <w:spacing w:line="560" w:lineRule="exact"/>
        <w:ind w:left="0" w:leftChars="0"/>
        <w:rPr>
          <w:rFonts w:eastAsia="仿宋_GB2312" w:cs="仿宋_GB2312"/>
          <w:sz w:val="32"/>
          <w:szCs w:val="32"/>
        </w:rPr>
      </w:pPr>
      <w:r>
        <w:fldChar w:fldCharType="begin"/>
      </w:r>
      <w:r>
        <w:instrText xml:space="preserve"> HYPERLINK \l "_Toc7879_WPSOffice_Level2" </w:instrText>
      </w:r>
      <w:r>
        <w:fldChar w:fldCharType="separate"/>
      </w:r>
      <w:r>
        <w:rPr>
          <w:rFonts w:hint="eastAsia" w:eastAsia="仿宋_GB2312" w:cs="仿宋_GB2312"/>
          <w:sz w:val="32"/>
          <w:szCs w:val="32"/>
        </w:rPr>
        <w:t>五、一般公共预算财政拨款收入支出决算公开表</w:t>
      </w:r>
      <w:r>
        <w:rPr>
          <w:rFonts w:hint="eastAsia" w:eastAsia="仿宋_GB2312" w:cs="仿宋_GB2312"/>
          <w:sz w:val="32"/>
          <w:szCs w:val="32"/>
        </w:rPr>
        <w:tab/>
      </w:r>
      <w:r>
        <w:rPr>
          <w:rFonts w:hint="eastAsia" w:eastAsia="仿宋_GB2312" w:cs="仿宋_GB2312"/>
          <w:sz w:val="32"/>
          <w:szCs w:val="32"/>
        </w:rPr>
        <w:t>3</w:t>
      </w:r>
      <w:r>
        <w:rPr>
          <w:rFonts w:hint="eastAsia" w:eastAsia="仿宋_GB2312" w:cs="仿宋_GB2312"/>
          <w:sz w:val="32"/>
          <w:szCs w:val="32"/>
        </w:rPr>
        <w:fldChar w:fldCharType="end"/>
      </w:r>
    </w:p>
    <w:p w14:paraId="23F75C03">
      <w:pPr>
        <w:pStyle w:val="7"/>
        <w:tabs>
          <w:tab w:val="right" w:leader="dot" w:pos="8306"/>
        </w:tabs>
        <w:spacing w:line="560" w:lineRule="exact"/>
        <w:ind w:left="0" w:leftChars="0"/>
        <w:rPr>
          <w:rFonts w:eastAsia="仿宋_GB2312" w:cs="仿宋_GB2312"/>
          <w:sz w:val="32"/>
          <w:szCs w:val="32"/>
        </w:rPr>
      </w:pPr>
      <w:r>
        <w:fldChar w:fldCharType="begin"/>
      </w:r>
      <w:r>
        <w:instrText xml:space="preserve"> HYPERLINK \l "_Toc8373_WPSOffice_Level2" </w:instrText>
      </w:r>
      <w:r>
        <w:fldChar w:fldCharType="separate"/>
      </w:r>
      <w:r>
        <w:rPr>
          <w:rFonts w:hint="eastAsia" w:eastAsia="仿宋_GB2312" w:cs="仿宋_GB2312"/>
          <w:sz w:val="32"/>
          <w:szCs w:val="32"/>
        </w:rPr>
        <w:t>六、一般公共预算财政拨款基本支出决算公开表</w:t>
      </w:r>
      <w:r>
        <w:rPr>
          <w:rFonts w:hint="eastAsia" w:eastAsia="仿宋_GB2312" w:cs="仿宋_GB2312"/>
          <w:sz w:val="32"/>
          <w:szCs w:val="32"/>
        </w:rPr>
        <w:tab/>
      </w:r>
      <w:r>
        <w:rPr>
          <w:rFonts w:hint="eastAsia" w:eastAsia="仿宋_GB2312" w:cs="仿宋_GB2312"/>
          <w:sz w:val="32"/>
          <w:szCs w:val="32"/>
        </w:rPr>
        <w:t>3</w:t>
      </w:r>
      <w:r>
        <w:rPr>
          <w:rFonts w:hint="eastAsia" w:eastAsia="仿宋_GB2312" w:cs="仿宋_GB2312"/>
          <w:sz w:val="32"/>
          <w:szCs w:val="32"/>
        </w:rPr>
        <w:fldChar w:fldCharType="end"/>
      </w:r>
    </w:p>
    <w:p w14:paraId="458D9172">
      <w:pPr>
        <w:pStyle w:val="7"/>
        <w:tabs>
          <w:tab w:val="right" w:leader="dot" w:pos="8306"/>
        </w:tabs>
        <w:spacing w:line="560" w:lineRule="exact"/>
        <w:ind w:left="0" w:leftChars="0"/>
        <w:rPr>
          <w:rFonts w:eastAsia="仿宋_GB2312" w:cs="仿宋_GB2312"/>
          <w:sz w:val="32"/>
          <w:szCs w:val="32"/>
        </w:rPr>
      </w:pPr>
      <w:r>
        <w:fldChar w:fldCharType="begin"/>
      </w:r>
      <w:r>
        <w:instrText xml:space="preserve"> HYPERLINK \l "_Toc1820_WPSOffice_Level2" </w:instrText>
      </w:r>
      <w:r>
        <w:fldChar w:fldCharType="separate"/>
      </w:r>
      <w:r>
        <w:rPr>
          <w:rFonts w:hint="eastAsia" w:eastAsia="仿宋_GB2312" w:cs="仿宋_GB2312"/>
          <w:sz w:val="32"/>
          <w:szCs w:val="32"/>
        </w:rPr>
        <w:t>七、政府性基金预算财政拨款收入支出决算公开表</w:t>
      </w:r>
      <w:r>
        <w:rPr>
          <w:rFonts w:hint="eastAsia" w:eastAsia="仿宋_GB2312" w:cs="仿宋_GB2312"/>
          <w:sz w:val="32"/>
          <w:szCs w:val="32"/>
        </w:rPr>
        <w:tab/>
      </w:r>
      <w:r>
        <w:rPr>
          <w:rFonts w:hint="eastAsia" w:eastAsia="仿宋_GB2312" w:cs="仿宋_GB2312"/>
          <w:sz w:val="32"/>
          <w:szCs w:val="32"/>
        </w:rPr>
        <w:t>3</w:t>
      </w:r>
      <w:r>
        <w:rPr>
          <w:rFonts w:hint="eastAsia" w:eastAsia="仿宋_GB2312" w:cs="仿宋_GB2312"/>
          <w:sz w:val="32"/>
          <w:szCs w:val="32"/>
        </w:rPr>
        <w:fldChar w:fldCharType="end"/>
      </w:r>
    </w:p>
    <w:p w14:paraId="26284C13">
      <w:pPr>
        <w:pStyle w:val="7"/>
        <w:tabs>
          <w:tab w:val="right" w:leader="dot" w:pos="8306"/>
        </w:tabs>
        <w:spacing w:line="560" w:lineRule="exact"/>
        <w:ind w:left="0" w:leftChars="0"/>
        <w:rPr>
          <w:rFonts w:eastAsia="仿宋_GB2312" w:cs="仿宋_GB2312"/>
          <w:sz w:val="32"/>
          <w:szCs w:val="32"/>
        </w:rPr>
      </w:pPr>
      <w:r>
        <w:fldChar w:fldCharType="begin"/>
      </w:r>
      <w:r>
        <w:instrText xml:space="preserve"> HYPERLINK \l "_Toc1820_WPSOffice_Level2" </w:instrText>
      </w:r>
      <w:r>
        <w:fldChar w:fldCharType="separate"/>
      </w:r>
      <w:r>
        <w:rPr>
          <w:rFonts w:hint="eastAsia" w:eastAsia="仿宋_GB2312" w:cs="仿宋_GB2312"/>
          <w:sz w:val="32"/>
          <w:szCs w:val="32"/>
        </w:rPr>
        <w:t>八、国有资本经营预算财政拨款收入支出决算公开表</w:t>
      </w:r>
      <w:r>
        <w:rPr>
          <w:rFonts w:hint="eastAsia" w:eastAsia="仿宋_GB2312" w:cs="仿宋_GB2312"/>
          <w:sz w:val="32"/>
          <w:szCs w:val="32"/>
        </w:rPr>
        <w:tab/>
      </w:r>
      <w:r>
        <w:rPr>
          <w:rFonts w:hint="eastAsia" w:eastAsia="仿宋_GB2312" w:cs="仿宋_GB2312"/>
          <w:sz w:val="32"/>
          <w:szCs w:val="32"/>
        </w:rPr>
        <w:t>3</w:t>
      </w:r>
      <w:r>
        <w:rPr>
          <w:rFonts w:hint="eastAsia" w:eastAsia="仿宋_GB2312" w:cs="仿宋_GB2312"/>
          <w:sz w:val="32"/>
          <w:szCs w:val="32"/>
        </w:rPr>
        <w:fldChar w:fldCharType="end"/>
      </w:r>
    </w:p>
    <w:p w14:paraId="3B752F7E">
      <w:pPr>
        <w:pStyle w:val="7"/>
        <w:tabs>
          <w:tab w:val="right" w:leader="dot" w:pos="8306"/>
        </w:tabs>
        <w:spacing w:line="560" w:lineRule="exact"/>
        <w:ind w:left="0" w:leftChars="0"/>
        <w:rPr>
          <w:rFonts w:eastAsia="仿宋_GB2312" w:cs="仿宋_GB2312"/>
          <w:sz w:val="32"/>
          <w:szCs w:val="32"/>
        </w:rPr>
      </w:pPr>
      <w:r>
        <w:fldChar w:fldCharType="begin"/>
      </w:r>
      <w:r>
        <w:instrText xml:space="preserve"> HYPERLINK \l "_Toc21310_WPSOffice_Level2" </w:instrText>
      </w:r>
      <w:r>
        <w:fldChar w:fldCharType="separate"/>
      </w:r>
      <w:r>
        <w:rPr>
          <w:rFonts w:hint="eastAsia" w:eastAsia="仿宋_GB2312" w:cs="仿宋_GB2312"/>
          <w:sz w:val="32"/>
          <w:szCs w:val="32"/>
        </w:rPr>
        <w:t>九、一般公共预算财政拨款“三公”经费支出决算公开表</w:t>
      </w:r>
      <w:r>
        <w:rPr>
          <w:rFonts w:hint="eastAsia" w:eastAsia="仿宋_GB2312" w:cs="仿宋_GB2312"/>
          <w:sz w:val="32"/>
          <w:szCs w:val="32"/>
        </w:rPr>
        <w:tab/>
      </w:r>
      <w:r>
        <w:rPr>
          <w:rFonts w:hint="eastAsia" w:eastAsia="仿宋_GB2312" w:cs="仿宋_GB2312"/>
          <w:sz w:val="32"/>
          <w:szCs w:val="32"/>
        </w:rPr>
        <w:t>3</w:t>
      </w:r>
      <w:r>
        <w:rPr>
          <w:rFonts w:hint="eastAsia" w:eastAsia="仿宋_GB2312" w:cs="仿宋_GB2312"/>
          <w:sz w:val="32"/>
          <w:szCs w:val="32"/>
        </w:rPr>
        <w:fldChar w:fldCharType="end"/>
      </w:r>
    </w:p>
    <w:p w14:paraId="010CC9DA">
      <w:pPr>
        <w:pStyle w:val="7"/>
        <w:tabs>
          <w:tab w:val="right" w:leader="dot" w:pos="8306"/>
        </w:tabs>
        <w:spacing w:line="560" w:lineRule="exact"/>
        <w:ind w:left="0" w:leftChars="0"/>
        <w:rPr>
          <w:rFonts w:eastAsia="仿宋_GB2312" w:cs="仿宋_GB2312"/>
          <w:sz w:val="32"/>
          <w:szCs w:val="32"/>
        </w:rPr>
      </w:pPr>
      <w:r>
        <w:fldChar w:fldCharType="begin"/>
      </w:r>
      <w:r>
        <w:instrText xml:space="preserve"> HYPERLINK \l "_Toc21310_WPSOffice_Level2" </w:instrText>
      </w:r>
      <w:r>
        <w:fldChar w:fldCharType="separate"/>
      </w:r>
      <w:r>
        <w:rPr>
          <w:rFonts w:hint="eastAsia" w:eastAsia="仿宋_GB2312" w:cs="仿宋_GB2312"/>
          <w:sz w:val="32"/>
          <w:szCs w:val="32"/>
        </w:rPr>
        <w:t>十、政府性基金预算财政拨款“三公”经费支出决算公开表</w:t>
      </w:r>
      <w:r>
        <w:rPr>
          <w:rFonts w:hint="eastAsia" w:eastAsia="仿宋_GB2312" w:cs="仿宋_GB2312"/>
          <w:sz w:val="32"/>
          <w:szCs w:val="32"/>
        </w:rPr>
        <w:tab/>
      </w:r>
      <w:r>
        <w:rPr>
          <w:rFonts w:hint="eastAsia" w:eastAsia="仿宋_GB2312" w:cs="仿宋_GB2312"/>
          <w:sz w:val="32"/>
          <w:szCs w:val="32"/>
        </w:rPr>
        <w:fldChar w:fldCharType="end"/>
      </w:r>
      <w:r>
        <w:rPr>
          <w:rFonts w:hint="eastAsia" w:eastAsia="仿宋_GB2312" w:cs="仿宋_GB2312"/>
          <w:sz w:val="32"/>
          <w:szCs w:val="32"/>
        </w:rPr>
        <w:t>4</w:t>
      </w:r>
    </w:p>
    <w:p w14:paraId="3997F311">
      <w:pPr>
        <w:pStyle w:val="7"/>
        <w:tabs>
          <w:tab w:val="right" w:leader="dot" w:pos="8306"/>
        </w:tabs>
        <w:spacing w:line="560" w:lineRule="exact"/>
        <w:ind w:left="0" w:leftChars="0"/>
        <w:rPr>
          <w:rFonts w:eastAsia="仿宋_GB2312" w:cs="仿宋_GB2312"/>
          <w:sz w:val="32"/>
          <w:szCs w:val="32"/>
        </w:rPr>
      </w:pPr>
      <w:r>
        <w:fldChar w:fldCharType="begin"/>
      </w:r>
      <w:r>
        <w:instrText xml:space="preserve"> HYPERLINK \l "_Toc21310_WPSOffice_Level2" </w:instrText>
      </w:r>
      <w:r>
        <w:fldChar w:fldCharType="separate"/>
      </w:r>
      <w:r>
        <w:rPr>
          <w:rFonts w:hint="eastAsia" w:eastAsia="仿宋_GB2312" w:cs="仿宋_GB2312"/>
          <w:sz w:val="32"/>
          <w:szCs w:val="32"/>
        </w:rPr>
        <w:t>十一、国有资本经营预算财政拨款“三公”经费支出决算公开表</w:t>
      </w:r>
      <w:r>
        <w:rPr>
          <w:rFonts w:hint="eastAsia" w:eastAsia="仿宋_GB2312" w:cs="仿宋_GB2312"/>
          <w:sz w:val="32"/>
          <w:szCs w:val="32"/>
        </w:rPr>
        <w:tab/>
      </w:r>
      <w:r>
        <w:rPr>
          <w:rFonts w:hint="eastAsia" w:eastAsia="仿宋_GB2312" w:cs="仿宋_GB2312"/>
          <w:sz w:val="32"/>
          <w:szCs w:val="32"/>
        </w:rPr>
        <w:t>4</w:t>
      </w:r>
      <w:r>
        <w:rPr>
          <w:rFonts w:hint="eastAsia" w:eastAsia="仿宋_GB2312" w:cs="仿宋_GB2312"/>
          <w:sz w:val="32"/>
          <w:szCs w:val="32"/>
        </w:rPr>
        <w:fldChar w:fldCharType="end"/>
      </w:r>
    </w:p>
    <w:p w14:paraId="35A0A818">
      <w:pPr>
        <w:pStyle w:val="6"/>
        <w:tabs>
          <w:tab w:val="right" w:leader="dot" w:pos="8306"/>
        </w:tabs>
        <w:spacing w:line="560" w:lineRule="exact"/>
        <w:rPr>
          <w:rFonts w:eastAsia="仿宋_GB2312" w:cs="仿宋_GB2312"/>
          <w:sz w:val="32"/>
          <w:szCs w:val="32"/>
        </w:rPr>
      </w:pPr>
      <w:r>
        <w:fldChar w:fldCharType="begin"/>
      </w:r>
      <w:r>
        <w:instrText xml:space="preserve"> HYPERLINK \l "_Toc27590_WPSOffice_Level1" </w:instrText>
      </w:r>
      <w:r>
        <w:fldChar w:fldCharType="separate"/>
      </w:r>
      <w:r>
        <w:rPr>
          <w:rFonts w:hint="eastAsia" w:eastAsia="仿宋_GB2312" w:cs="仿宋_GB2312"/>
          <w:b/>
          <w:bCs/>
          <w:sz w:val="32"/>
          <w:szCs w:val="32"/>
        </w:rPr>
        <w:t>第三部分  海南中学2021年度部门决算情况说明</w:t>
      </w:r>
      <w:r>
        <w:rPr>
          <w:rFonts w:hint="eastAsia" w:eastAsia="仿宋_GB2312" w:cs="仿宋_GB2312"/>
          <w:sz w:val="32"/>
          <w:szCs w:val="32"/>
        </w:rPr>
        <w:tab/>
      </w:r>
      <w:r>
        <w:rPr>
          <w:rFonts w:hint="eastAsia" w:eastAsia="仿宋_GB2312" w:cs="仿宋_GB2312"/>
          <w:sz w:val="32"/>
          <w:szCs w:val="32"/>
        </w:rPr>
        <w:t>4</w:t>
      </w:r>
      <w:r>
        <w:rPr>
          <w:rFonts w:hint="eastAsia" w:eastAsia="仿宋_GB2312" w:cs="仿宋_GB2312"/>
          <w:sz w:val="32"/>
          <w:szCs w:val="32"/>
        </w:rPr>
        <w:fldChar w:fldCharType="end"/>
      </w:r>
    </w:p>
    <w:p w14:paraId="2F639226">
      <w:pPr>
        <w:pStyle w:val="7"/>
        <w:tabs>
          <w:tab w:val="right" w:leader="dot" w:pos="8306"/>
        </w:tabs>
        <w:spacing w:line="560" w:lineRule="exact"/>
        <w:ind w:left="0" w:leftChars="0"/>
        <w:rPr>
          <w:rFonts w:eastAsia="仿宋_GB2312" w:cs="仿宋_GB2312"/>
          <w:sz w:val="32"/>
          <w:szCs w:val="32"/>
        </w:rPr>
      </w:pPr>
      <w:r>
        <w:fldChar w:fldCharType="begin"/>
      </w:r>
      <w:r>
        <w:instrText xml:space="preserve"> HYPERLINK \l "_Toc21737_WPSOffice_Level2" </w:instrText>
      </w:r>
      <w:r>
        <w:fldChar w:fldCharType="separate"/>
      </w:r>
      <w:r>
        <w:rPr>
          <w:rFonts w:hint="eastAsia" w:eastAsia="仿宋_GB2312" w:cs="仿宋_GB2312"/>
          <w:bCs/>
          <w:sz w:val="32"/>
          <w:szCs w:val="32"/>
        </w:rPr>
        <w:t>一、收入支出决算总体情况说明</w:t>
      </w:r>
      <w:r>
        <w:rPr>
          <w:rFonts w:hint="eastAsia" w:eastAsia="仿宋_GB2312" w:cs="仿宋_GB2312"/>
          <w:sz w:val="32"/>
          <w:szCs w:val="32"/>
        </w:rPr>
        <w:tab/>
      </w:r>
      <w:r>
        <w:rPr>
          <w:rFonts w:hint="eastAsia" w:eastAsia="仿宋_GB2312" w:cs="仿宋_GB2312"/>
          <w:sz w:val="32"/>
          <w:szCs w:val="32"/>
        </w:rPr>
        <w:t>4</w:t>
      </w:r>
      <w:r>
        <w:rPr>
          <w:rFonts w:hint="eastAsia" w:eastAsia="仿宋_GB2312" w:cs="仿宋_GB2312"/>
          <w:sz w:val="32"/>
          <w:szCs w:val="32"/>
        </w:rPr>
        <w:fldChar w:fldCharType="end"/>
      </w:r>
    </w:p>
    <w:p w14:paraId="3E2E3884">
      <w:pPr>
        <w:pStyle w:val="7"/>
        <w:tabs>
          <w:tab w:val="right" w:leader="dot" w:pos="8306"/>
        </w:tabs>
        <w:spacing w:line="560" w:lineRule="exact"/>
        <w:ind w:left="0" w:leftChars="0"/>
        <w:rPr>
          <w:rFonts w:eastAsia="仿宋_GB2312" w:cs="仿宋_GB2312"/>
          <w:sz w:val="32"/>
          <w:szCs w:val="32"/>
        </w:rPr>
      </w:pPr>
      <w:r>
        <w:fldChar w:fldCharType="begin"/>
      </w:r>
      <w:r>
        <w:instrText xml:space="preserve"> HYPERLINK \l "_Toc19535_WPSOffice_Level2" </w:instrText>
      </w:r>
      <w:r>
        <w:fldChar w:fldCharType="separate"/>
      </w:r>
      <w:r>
        <w:rPr>
          <w:rFonts w:hint="eastAsia" w:eastAsia="仿宋_GB2312" w:cs="仿宋_GB2312"/>
          <w:bCs/>
          <w:sz w:val="32"/>
          <w:szCs w:val="32"/>
        </w:rPr>
        <w:t>二、收入决算情况说明</w:t>
      </w:r>
      <w:r>
        <w:rPr>
          <w:rFonts w:hint="eastAsia" w:eastAsia="仿宋_GB2312" w:cs="仿宋_GB2312"/>
          <w:sz w:val="32"/>
          <w:szCs w:val="32"/>
        </w:rPr>
        <w:tab/>
      </w:r>
      <w:r>
        <w:rPr>
          <w:rFonts w:hint="eastAsia" w:eastAsia="仿宋_GB2312" w:cs="仿宋_GB2312"/>
          <w:sz w:val="32"/>
          <w:szCs w:val="32"/>
        </w:rPr>
        <w:t>4</w:t>
      </w:r>
      <w:r>
        <w:rPr>
          <w:rFonts w:hint="eastAsia" w:eastAsia="仿宋_GB2312" w:cs="仿宋_GB2312"/>
          <w:sz w:val="32"/>
          <w:szCs w:val="32"/>
        </w:rPr>
        <w:fldChar w:fldCharType="end"/>
      </w:r>
    </w:p>
    <w:p w14:paraId="46873633">
      <w:pPr>
        <w:pStyle w:val="7"/>
        <w:tabs>
          <w:tab w:val="right" w:leader="dot" w:pos="8306"/>
        </w:tabs>
        <w:spacing w:line="560" w:lineRule="exact"/>
        <w:ind w:left="0" w:leftChars="0"/>
        <w:rPr>
          <w:rFonts w:eastAsia="仿宋_GB2312" w:cs="仿宋_GB2312"/>
          <w:sz w:val="32"/>
          <w:szCs w:val="32"/>
        </w:rPr>
      </w:pPr>
      <w:r>
        <w:fldChar w:fldCharType="begin"/>
      </w:r>
      <w:r>
        <w:instrText xml:space="preserve"> HYPERLINK \l "_Toc19535_WPSOffice_Level2" </w:instrText>
      </w:r>
      <w:r>
        <w:fldChar w:fldCharType="separate"/>
      </w:r>
      <w:r>
        <w:rPr>
          <w:rFonts w:hint="eastAsia" w:eastAsia="仿宋_GB2312" w:cs="仿宋_GB2312"/>
          <w:bCs/>
          <w:sz w:val="32"/>
          <w:szCs w:val="32"/>
        </w:rPr>
        <w:t>三、支出决算情况说明</w:t>
      </w:r>
      <w:r>
        <w:rPr>
          <w:rFonts w:hint="eastAsia" w:eastAsia="仿宋_GB2312" w:cs="仿宋_GB2312"/>
          <w:sz w:val="32"/>
          <w:szCs w:val="32"/>
        </w:rPr>
        <w:tab/>
      </w:r>
      <w:r>
        <w:rPr>
          <w:rFonts w:hint="eastAsia" w:eastAsia="仿宋_GB2312" w:cs="仿宋_GB2312"/>
          <w:sz w:val="32"/>
          <w:szCs w:val="32"/>
        </w:rPr>
        <w:t>5</w:t>
      </w:r>
      <w:r>
        <w:rPr>
          <w:rFonts w:hint="eastAsia" w:eastAsia="仿宋_GB2312" w:cs="仿宋_GB2312"/>
          <w:sz w:val="32"/>
          <w:szCs w:val="32"/>
        </w:rPr>
        <w:fldChar w:fldCharType="end"/>
      </w:r>
    </w:p>
    <w:p w14:paraId="25BADEFC">
      <w:pPr>
        <w:pStyle w:val="7"/>
        <w:tabs>
          <w:tab w:val="right" w:leader="dot" w:pos="8306"/>
        </w:tabs>
        <w:spacing w:line="560" w:lineRule="exact"/>
        <w:ind w:left="0" w:leftChars="0"/>
        <w:rPr>
          <w:rFonts w:eastAsia="仿宋_GB2312" w:cs="仿宋_GB2312"/>
          <w:sz w:val="32"/>
          <w:szCs w:val="32"/>
        </w:rPr>
      </w:pPr>
      <w:r>
        <w:fldChar w:fldCharType="begin"/>
      </w:r>
      <w:r>
        <w:instrText xml:space="preserve"> HYPERLINK \l "_Toc19535_WPSOffice_Level2" </w:instrText>
      </w:r>
      <w:r>
        <w:fldChar w:fldCharType="separate"/>
      </w:r>
      <w:r>
        <w:rPr>
          <w:rFonts w:hint="eastAsia" w:eastAsia="仿宋_GB2312" w:cs="仿宋_GB2312"/>
          <w:bCs/>
          <w:sz w:val="32"/>
          <w:szCs w:val="32"/>
        </w:rPr>
        <w:t>四、财政拨款收入支出决算情况说明</w:t>
      </w:r>
      <w:r>
        <w:rPr>
          <w:rFonts w:hint="eastAsia" w:eastAsia="仿宋_GB2312" w:cs="仿宋_GB2312"/>
          <w:sz w:val="32"/>
          <w:szCs w:val="32"/>
        </w:rPr>
        <w:tab/>
      </w:r>
      <w:r>
        <w:rPr>
          <w:rFonts w:hint="eastAsia" w:eastAsia="仿宋_GB2312" w:cs="仿宋_GB2312"/>
          <w:sz w:val="32"/>
          <w:szCs w:val="32"/>
        </w:rPr>
        <w:t>5</w:t>
      </w:r>
      <w:r>
        <w:rPr>
          <w:rFonts w:hint="eastAsia" w:eastAsia="仿宋_GB2312" w:cs="仿宋_GB2312"/>
          <w:sz w:val="32"/>
          <w:szCs w:val="32"/>
        </w:rPr>
        <w:fldChar w:fldCharType="end"/>
      </w:r>
    </w:p>
    <w:p w14:paraId="49B4A8D9">
      <w:pPr>
        <w:pStyle w:val="7"/>
        <w:tabs>
          <w:tab w:val="right" w:leader="dot" w:pos="8306"/>
        </w:tabs>
        <w:spacing w:line="560" w:lineRule="exact"/>
        <w:ind w:left="0" w:leftChars="0"/>
        <w:rPr>
          <w:rFonts w:eastAsia="仿宋_GB2312" w:cs="仿宋_GB2312"/>
          <w:sz w:val="32"/>
          <w:szCs w:val="32"/>
        </w:rPr>
      </w:pPr>
      <w:r>
        <w:fldChar w:fldCharType="begin"/>
      </w:r>
      <w:r>
        <w:instrText xml:space="preserve"> HYPERLINK \l "_Toc19535_WPSOffice_Level2" </w:instrText>
      </w:r>
      <w:r>
        <w:fldChar w:fldCharType="separate"/>
      </w:r>
      <w:r>
        <w:rPr>
          <w:rFonts w:hint="eastAsia" w:eastAsia="仿宋_GB2312" w:cs="仿宋_GB2312"/>
          <w:bCs/>
          <w:sz w:val="32"/>
          <w:szCs w:val="32"/>
        </w:rPr>
        <w:t>五、一般公共预算财政拨款支出决算情况说明</w:t>
      </w:r>
      <w:r>
        <w:rPr>
          <w:rFonts w:hint="eastAsia" w:eastAsia="仿宋_GB2312" w:cs="仿宋_GB2312"/>
          <w:sz w:val="32"/>
          <w:szCs w:val="32"/>
        </w:rPr>
        <w:tab/>
      </w:r>
      <w:r>
        <w:rPr>
          <w:rFonts w:hint="eastAsia" w:eastAsia="仿宋_GB2312" w:cs="仿宋_GB2312"/>
          <w:sz w:val="32"/>
          <w:szCs w:val="32"/>
        </w:rPr>
        <w:t>5</w:t>
      </w:r>
      <w:r>
        <w:rPr>
          <w:rFonts w:hint="eastAsia" w:eastAsia="仿宋_GB2312" w:cs="仿宋_GB2312"/>
          <w:sz w:val="32"/>
          <w:szCs w:val="32"/>
        </w:rPr>
        <w:fldChar w:fldCharType="end"/>
      </w:r>
    </w:p>
    <w:p w14:paraId="6C6A74AE">
      <w:pPr>
        <w:pStyle w:val="7"/>
        <w:tabs>
          <w:tab w:val="right" w:leader="dot" w:pos="8306"/>
        </w:tabs>
        <w:spacing w:line="560" w:lineRule="exact"/>
        <w:ind w:left="0" w:leftChars="0"/>
        <w:rPr>
          <w:rFonts w:eastAsia="仿宋_GB2312" w:cs="仿宋_GB2312"/>
          <w:sz w:val="32"/>
          <w:szCs w:val="32"/>
        </w:rPr>
      </w:pPr>
      <w:r>
        <w:fldChar w:fldCharType="begin"/>
      </w:r>
      <w:r>
        <w:instrText xml:space="preserve"> HYPERLINK \l "_Toc19535_WPSOffice_Level2" </w:instrText>
      </w:r>
      <w:r>
        <w:fldChar w:fldCharType="separate"/>
      </w:r>
      <w:r>
        <w:rPr>
          <w:rFonts w:hint="eastAsia" w:eastAsia="仿宋_GB2312" w:cs="仿宋_GB2312"/>
          <w:bCs/>
          <w:sz w:val="32"/>
          <w:szCs w:val="32"/>
        </w:rPr>
        <w:t>六、一般公共预算财政拨款基本支出决算情况说明</w:t>
      </w:r>
      <w:r>
        <w:rPr>
          <w:rFonts w:hint="eastAsia" w:eastAsia="仿宋_GB2312" w:cs="仿宋_GB2312"/>
          <w:bCs/>
          <w:sz w:val="32"/>
          <w:szCs w:val="32"/>
        </w:rPr>
        <w:fldChar w:fldCharType="end"/>
      </w:r>
      <w:r>
        <w:rPr>
          <w:rFonts w:hint="eastAsia" w:eastAsia="仿宋_GB2312" w:cs="仿宋_GB2312"/>
          <w:sz w:val="32"/>
          <w:szCs w:val="32"/>
        </w:rPr>
        <w:tab/>
      </w:r>
      <w:r>
        <w:rPr>
          <w:rFonts w:hint="eastAsia" w:eastAsia="仿宋_GB2312" w:cs="仿宋_GB2312"/>
          <w:sz w:val="32"/>
          <w:szCs w:val="32"/>
        </w:rPr>
        <w:t>6</w:t>
      </w:r>
    </w:p>
    <w:p w14:paraId="4933FDBD">
      <w:pPr>
        <w:pStyle w:val="7"/>
        <w:numPr>
          <w:ilvl w:val="0"/>
          <w:numId w:val="1"/>
        </w:numPr>
        <w:tabs>
          <w:tab w:val="right" w:leader="dot" w:pos="8306"/>
        </w:tabs>
        <w:spacing w:line="560" w:lineRule="exact"/>
        <w:ind w:left="0" w:leftChars="0"/>
        <w:rPr>
          <w:rFonts w:eastAsia="仿宋_GB2312" w:cs="仿宋_GB2312"/>
          <w:sz w:val="32"/>
          <w:szCs w:val="32"/>
        </w:rPr>
      </w:pPr>
      <w:r>
        <w:rPr>
          <w:rFonts w:hint="eastAsia" w:eastAsia="仿宋_GB2312" w:cs="仿宋_GB2312"/>
          <w:bCs/>
          <w:sz w:val="32"/>
          <w:szCs w:val="32"/>
        </w:rPr>
        <w:t>政府性基金预算财政拨款支出决算情况说明</w:t>
      </w:r>
      <w:r>
        <w:rPr>
          <w:rFonts w:hint="eastAsia" w:eastAsia="仿宋_GB2312" w:cs="仿宋_GB2312"/>
          <w:sz w:val="32"/>
          <w:szCs w:val="32"/>
        </w:rPr>
        <w:tab/>
      </w:r>
      <w:r>
        <w:rPr>
          <w:rFonts w:hint="eastAsia" w:eastAsia="仿宋_GB2312" w:cs="仿宋_GB2312"/>
          <w:sz w:val="32"/>
          <w:szCs w:val="32"/>
        </w:rPr>
        <w:t>6</w:t>
      </w:r>
    </w:p>
    <w:p w14:paraId="39DCE281">
      <w:pPr>
        <w:pStyle w:val="7"/>
        <w:numPr>
          <w:ilvl w:val="0"/>
          <w:numId w:val="1"/>
        </w:numPr>
        <w:tabs>
          <w:tab w:val="right" w:leader="dot" w:pos="8306"/>
        </w:tabs>
        <w:spacing w:line="560" w:lineRule="exact"/>
        <w:ind w:left="0" w:leftChars="0"/>
        <w:rPr>
          <w:rFonts w:eastAsia="仿宋_GB2312" w:cs="仿宋_GB2312"/>
          <w:sz w:val="32"/>
          <w:szCs w:val="32"/>
        </w:rPr>
      </w:pPr>
      <w:r>
        <w:rPr>
          <w:rFonts w:hint="eastAsia" w:eastAsia="仿宋_GB2312" w:cs="仿宋_GB2312"/>
          <w:bCs/>
          <w:sz w:val="32"/>
          <w:szCs w:val="32"/>
        </w:rPr>
        <w:t>国有资本经营预算财政拨款支出决算情况说明</w:t>
      </w:r>
      <w:r>
        <w:rPr>
          <w:rFonts w:hint="eastAsia" w:eastAsia="仿宋_GB2312" w:cs="仿宋_GB2312"/>
          <w:sz w:val="32"/>
          <w:szCs w:val="32"/>
        </w:rPr>
        <w:tab/>
      </w:r>
      <w:r>
        <w:rPr>
          <w:rFonts w:hint="eastAsia" w:eastAsia="仿宋_GB2312" w:cs="仿宋_GB2312"/>
          <w:sz w:val="32"/>
          <w:szCs w:val="32"/>
        </w:rPr>
        <w:t>7</w:t>
      </w:r>
    </w:p>
    <w:p w14:paraId="342BABDF">
      <w:pPr>
        <w:spacing w:line="560" w:lineRule="exact"/>
        <w:rPr>
          <w:rFonts w:hint="default" w:ascii="Times New Roman" w:hAnsi="Times New Roman" w:eastAsia="仿宋_GB2312" w:cs="仿宋_GB2312"/>
          <w:sz w:val="32"/>
          <w:szCs w:val="32"/>
        </w:rPr>
      </w:pPr>
      <w:r>
        <w:fldChar w:fldCharType="begin"/>
      </w:r>
      <w:r>
        <w:instrText xml:space="preserve"> HYPERLINK \l "_Toc5978_WPSOffice_Level2" </w:instrText>
      </w:r>
      <w:r>
        <w:fldChar w:fldCharType="separate"/>
      </w:r>
      <w:r>
        <w:rPr>
          <w:rFonts w:ascii="Times New Roman" w:hAnsi="Times New Roman" w:eastAsia="仿宋_GB2312" w:cs="仿宋_GB2312"/>
          <w:bCs/>
          <w:sz w:val="32"/>
          <w:szCs w:val="32"/>
        </w:rPr>
        <w:t>九、</w:t>
      </w:r>
      <w:r>
        <w:rPr>
          <w:rFonts w:ascii="Times New Roman" w:hAnsi="Times New Roman" w:eastAsia="仿宋_GB2312" w:cs="仿宋_GB2312"/>
          <w:bCs/>
          <w:w w:val="98"/>
          <w:sz w:val="32"/>
          <w:szCs w:val="32"/>
        </w:rPr>
        <w:t>一般公共预算财政拨款“三公”经费支出决算情况说明.................................................................................................</w:t>
      </w:r>
      <w:r>
        <w:rPr>
          <w:rFonts w:ascii="Times New Roman" w:hAnsi="Times New Roman" w:eastAsia="仿宋_GB2312" w:cs="仿宋_GB2312"/>
          <w:bCs/>
          <w:w w:val="98"/>
          <w:sz w:val="32"/>
          <w:szCs w:val="32"/>
        </w:rPr>
        <w:fldChar w:fldCharType="end"/>
      </w:r>
      <w:r>
        <w:rPr>
          <w:rFonts w:ascii="Times New Roman" w:hAnsi="Times New Roman" w:eastAsia="仿宋_GB2312" w:cs="仿宋_GB2312"/>
          <w:sz w:val="32"/>
          <w:szCs w:val="32"/>
        </w:rPr>
        <w:t>8</w:t>
      </w:r>
      <w:r>
        <w:fldChar w:fldCharType="begin"/>
      </w:r>
      <w:r>
        <w:instrText xml:space="preserve"> HYPERLINK \l "_Toc5978_WPSOffice_Level2" </w:instrText>
      </w:r>
      <w:r>
        <w:fldChar w:fldCharType="separate"/>
      </w:r>
      <w:r>
        <w:rPr>
          <w:rFonts w:ascii="Times New Roman" w:hAnsi="Times New Roman" w:eastAsia="仿宋_GB2312" w:cs="仿宋_GB2312"/>
          <w:bCs/>
          <w:sz w:val="32"/>
          <w:szCs w:val="32"/>
        </w:rPr>
        <w:t>十、</w:t>
      </w:r>
      <w:r>
        <w:rPr>
          <w:rFonts w:ascii="Times New Roman" w:hAnsi="Times New Roman" w:eastAsia="仿宋_GB2312" w:cs="仿宋_GB2312"/>
          <w:bCs/>
          <w:w w:val="98"/>
          <w:sz w:val="32"/>
          <w:szCs w:val="32"/>
        </w:rPr>
        <w:t>政府性基金预算财政拨款“三公”经费支出决算情况说明</w:t>
      </w:r>
      <w:r>
        <w:rPr>
          <w:rFonts w:ascii="Times New Roman" w:hAnsi="Times New Roman" w:eastAsia="仿宋_GB2312" w:cs="仿宋_GB2312"/>
          <w:bCs/>
          <w:w w:val="98"/>
          <w:sz w:val="32"/>
          <w:szCs w:val="32"/>
        </w:rPr>
        <w:fldChar w:fldCharType="end"/>
      </w:r>
      <w:r>
        <w:rPr>
          <w:rFonts w:ascii="Times New Roman" w:hAnsi="Times New Roman" w:eastAsia="仿宋_GB2312" w:cs="仿宋_GB2312"/>
          <w:sz w:val="32"/>
          <w:szCs w:val="32"/>
        </w:rPr>
        <w:t>...............................................................................................9</w:t>
      </w:r>
    </w:p>
    <w:p w14:paraId="0BAA3DD2">
      <w:pPr>
        <w:spacing w:line="560" w:lineRule="exact"/>
        <w:rPr>
          <w:rFonts w:hint="default" w:ascii="Times New Roman" w:hAnsi="Times New Roman" w:eastAsia="仿宋_GB2312" w:cs="仿宋_GB2312"/>
          <w:sz w:val="32"/>
          <w:szCs w:val="32"/>
        </w:rPr>
      </w:pPr>
      <w:r>
        <w:fldChar w:fldCharType="begin"/>
      </w:r>
      <w:r>
        <w:instrText xml:space="preserve"> HYPERLINK \l "_Toc5978_WPSOffice_Level2" </w:instrText>
      </w:r>
      <w:r>
        <w:fldChar w:fldCharType="separate"/>
      </w:r>
      <w:r>
        <w:rPr>
          <w:rFonts w:ascii="Times New Roman" w:hAnsi="Times New Roman" w:eastAsia="仿宋_GB2312" w:cs="仿宋_GB2312"/>
          <w:bCs/>
          <w:w w:val="91"/>
          <w:sz w:val="32"/>
          <w:szCs w:val="32"/>
        </w:rPr>
        <w:t>十一、国有资本经营预算财政拨款“三公”经费支出决算情况说明</w:t>
      </w:r>
      <w:r>
        <w:rPr>
          <w:rFonts w:ascii="Times New Roman" w:hAnsi="Times New Roman" w:eastAsia="仿宋_GB2312" w:cs="仿宋_GB2312"/>
          <w:bCs/>
          <w:w w:val="91"/>
          <w:sz w:val="32"/>
          <w:szCs w:val="32"/>
        </w:rPr>
        <w:fldChar w:fldCharType="end"/>
      </w:r>
      <w:r>
        <w:rPr>
          <w:rFonts w:ascii="Times New Roman" w:hAnsi="Times New Roman" w:eastAsia="仿宋_GB2312" w:cs="仿宋_GB2312"/>
          <w:sz w:val="32"/>
          <w:szCs w:val="32"/>
        </w:rPr>
        <w:t>................................................................................................10</w:t>
      </w:r>
    </w:p>
    <w:p w14:paraId="5FFFEDF5">
      <w:pPr>
        <w:pStyle w:val="7"/>
        <w:tabs>
          <w:tab w:val="right" w:leader="dot" w:pos="8306"/>
        </w:tabs>
        <w:spacing w:line="560" w:lineRule="exact"/>
        <w:ind w:left="0" w:leftChars="0"/>
        <w:rPr>
          <w:rFonts w:eastAsia="仿宋_GB2312" w:cs="仿宋_GB2312"/>
          <w:sz w:val="32"/>
          <w:szCs w:val="32"/>
        </w:rPr>
      </w:pPr>
      <w:r>
        <w:fldChar w:fldCharType="begin"/>
      </w:r>
      <w:r>
        <w:instrText xml:space="preserve"> HYPERLINK \l "_Toc19535_WPSOffice_Level2" </w:instrText>
      </w:r>
      <w:r>
        <w:fldChar w:fldCharType="separate"/>
      </w:r>
      <w:r>
        <w:rPr>
          <w:rFonts w:hint="eastAsia" w:eastAsia="仿宋_GB2312" w:cs="仿宋_GB2312"/>
          <w:bCs/>
          <w:sz w:val="32"/>
          <w:szCs w:val="32"/>
        </w:rPr>
        <w:t>十二、预算绩效情况说明</w:t>
      </w:r>
      <w:r>
        <w:rPr>
          <w:rFonts w:hint="eastAsia" w:eastAsia="仿宋_GB2312" w:cs="仿宋_GB2312"/>
          <w:sz w:val="32"/>
          <w:szCs w:val="32"/>
        </w:rPr>
        <w:tab/>
      </w:r>
      <w:r>
        <w:rPr>
          <w:rFonts w:hint="eastAsia" w:eastAsia="仿宋_GB2312" w:cs="仿宋_GB2312"/>
          <w:sz w:val="32"/>
          <w:szCs w:val="32"/>
        </w:rPr>
        <w:fldChar w:fldCharType="end"/>
      </w:r>
      <w:r>
        <w:rPr>
          <w:rFonts w:hint="eastAsia" w:eastAsia="仿宋_GB2312" w:cs="仿宋_GB2312"/>
          <w:sz w:val="32"/>
          <w:szCs w:val="32"/>
        </w:rPr>
        <w:t>10</w:t>
      </w:r>
    </w:p>
    <w:p w14:paraId="135BCB2A">
      <w:pPr>
        <w:pStyle w:val="7"/>
        <w:tabs>
          <w:tab w:val="right" w:leader="dot" w:pos="8306"/>
        </w:tabs>
        <w:spacing w:line="560" w:lineRule="exact"/>
        <w:ind w:left="0" w:leftChars="0"/>
        <w:rPr>
          <w:rFonts w:eastAsia="仿宋_GB2312" w:cs="仿宋_GB2312"/>
          <w:sz w:val="32"/>
          <w:szCs w:val="32"/>
        </w:rPr>
      </w:pPr>
      <w:r>
        <w:rPr>
          <w:rFonts w:hint="eastAsia" w:eastAsia="仿宋_GB2312" w:cs="仿宋_GB2312"/>
          <w:bCs/>
          <w:sz w:val="32"/>
          <w:szCs w:val="32"/>
        </w:rPr>
        <w:t>十三、其他重要事项情况说明</w:t>
      </w:r>
      <w:r>
        <w:rPr>
          <w:rFonts w:hint="eastAsia" w:eastAsia="仿宋_GB2312" w:cs="仿宋_GB2312"/>
          <w:sz w:val="32"/>
          <w:szCs w:val="32"/>
        </w:rPr>
        <w:tab/>
      </w:r>
      <w:r>
        <w:rPr>
          <w:rFonts w:hint="eastAsia" w:eastAsia="仿宋_GB2312" w:cs="仿宋_GB2312"/>
          <w:sz w:val="32"/>
          <w:szCs w:val="32"/>
        </w:rPr>
        <w:t>15</w:t>
      </w:r>
    </w:p>
    <w:p w14:paraId="2389EFA4">
      <w:pPr>
        <w:pStyle w:val="6"/>
        <w:tabs>
          <w:tab w:val="right" w:leader="dot" w:pos="8306"/>
        </w:tabs>
        <w:spacing w:line="560" w:lineRule="exact"/>
        <w:rPr>
          <w:rFonts w:eastAsia="仿宋_GB2312" w:cs="仿宋_GB2312"/>
          <w:sz w:val="32"/>
          <w:szCs w:val="32"/>
        </w:rPr>
      </w:pPr>
      <w:r>
        <w:fldChar w:fldCharType="begin"/>
      </w:r>
      <w:r>
        <w:instrText xml:space="preserve"> HYPERLINK \l "_Toc15425_WPSOffice_Level1" </w:instrText>
      </w:r>
      <w:r>
        <w:fldChar w:fldCharType="separate"/>
      </w:r>
      <w:r>
        <w:rPr>
          <w:rFonts w:hint="eastAsia" w:eastAsia="仿宋_GB2312" w:cs="仿宋_GB2312"/>
          <w:b/>
          <w:bCs/>
          <w:sz w:val="32"/>
          <w:szCs w:val="32"/>
        </w:rPr>
        <w:t>第四部分  名词解释</w:t>
      </w:r>
      <w:r>
        <w:rPr>
          <w:rFonts w:hint="eastAsia" w:eastAsia="仿宋_GB2312" w:cs="仿宋_GB2312"/>
          <w:sz w:val="32"/>
          <w:szCs w:val="32"/>
        </w:rPr>
        <w:tab/>
      </w:r>
      <w:r>
        <w:rPr>
          <w:rFonts w:hint="eastAsia" w:eastAsia="仿宋_GB2312" w:cs="仿宋_GB2312"/>
          <w:sz w:val="32"/>
          <w:szCs w:val="32"/>
        </w:rPr>
        <w:t>1</w:t>
      </w:r>
      <w:r>
        <w:rPr>
          <w:rFonts w:hint="eastAsia" w:eastAsia="仿宋_GB2312" w:cs="仿宋_GB2312"/>
          <w:sz w:val="32"/>
          <w:szCs w:val="32"/>
        </w:rPr>
        <w:fldChar w:fldCharType="end"/>
      </w:r>
      <w:bookmarkEnd w:id="0"/>
      <w:r>
        <w:rPr>
          <w:rFonts w:hint="eastAsia" w:eastAsia="仿宋_GB2312" w:cs="仿宋_GB2312"/>
          <w:sz w:val="32"/>
          <w:szCs w:val="32"/>
        </w:rPr>
        <w:t>6</w:t>
      </w:r>
    </w:p>
    <w:p w14:paraId="76C0307D">
      <w:pPr>
        <w:spacing w:line="560" w:lineRule="exact"/>
        <w:rPr>
          <w:rFonts w:hint="default" w:ascii="Times New Roman" w:hAnsi="Times New Roman" w:eastAsia="仿宋_GB2312" w:cs="仿宋_GB2312"/>
          <w:sz w:val="32"/>
          <w:szCs w:val="32"/>
        </w:rPr>
      </w:pPr>
    </w:p>
    <w:p w14:paraId="617E2937">
      <w:pPr>
        <w:jc w:val="center"/>
      </w:pPr>
    </w:p>
    <w:p w14:paraId="71EB700A">
      <w:pPr>
        <w:jc w:val="center"/>
      </w:pPr>
    </w:p>
    <w:p w14:paraId="3AF7B220">
      <w:pPr>
        <w:jc w:val="center"/>
      </w:pPr>
    </w:p>
    <w:p w14:paraId="0BC13372">
      <w:pPr>
        <w:jc w:val="center"/>
      </w:pPr>
    </w:p>
    <w:p w14:paraId="7A0BCB23">
      <w:pPr>
        <w:jc w:val="center"/>
      </w:pPr>
    </w:p>
    <w:p w14:paraId="5061461E">
      <w:pPr>
        <w:jc w:val="center"/>
      </w:pPr>
    </w:p>
    <w:p w14:paraId="1CAF1BAC">
      <w:pPr>
        <w:jc w:val="center"/>
      </w:pPr>
    </w:p>
    <w:p w14:paraId="24477A95">
      <w:pPr>
        <w:jc w:val="center"/>
      </w:pPr>
    </w:p>
    <w:p w14:paraId="430A3B02">
      <w:pPr>
        <w:jc w:val="both"/>
      </w:pPr>
    </w:p>
    <w:p w14:paraId="2F043299">
      <w:pPr>
        <w:jc w:val="center"/>
      </w:pPr>
    </w:p>
    <w:p w14:paraId="1E278637">
      <w:pPr>
        <w:autoSpaceDE w:val="0"/>
        <w:spacing w:line="560" w:lineRule="exact"/>
        <w:jc w:val="center"/>
        <w:rPr>
          <w:rFonts w:ascii="黑体" w:eastAsia="黑体" w:cs="黑体"/>
          <w:sz w:val="32"/>
          <w:szCs w:val="32"/>
        </w:rPr>
      </w:pPr>
    </w:p>
    <w:p w14:paraId="7FD328A9">
      <w:pPr>
        <w:autoSpaceDE w:val="0"/>
        <w:spacing w:line="560" w:lineRule="exact"/>
        <w:jc w:val="center"/>
        <w:rPr>
          <w:rFonts w:ascii="黑体" w:eastAsia="黑体" w:cs="黑体"/>
          <w:sz w:val="32"/>
          <w:szCs w:val="32"/>
        </w:rPr>
      </w:pPr>
    </w:p>
    <w:p w14:paraId="5680572A">
      <w:pPr>
        <w:autoSpaceDE w:val="0"/>
        <w:spacing w:line="560" w:lineRule="exact"/>
        <w:jc w:val="center"/>
        <w:rPr>
          <w:rFonts w:ascii="黑体" w:eastAsia="黑体" w:cs="黑体"/>
          <w:sz w:val="32"/>
          <w:szCs w:val="32"/>
        </w:rPr>
      </w:pPr>
    </w:p>
    <w:p w14:paraId="396019DD">
      <w:pPr>
        <w:autoSpaceDE w:val="0"/>
        <w:spacing w:line="560" w:lineRule="exact"/>
        <w:jc w:val="center"/>
        <w:rPr>
          <w:rFonts w:ascii="黑体" w:eastAsia="黑体" w:cs="黑体"/>
          <w:sz w:val="32"/>
          <w:szCs w:val="32"/>
        </w:rPr>
      </w:pPr>
    </w:p>
    <w:p w14:paraId="7AD054F2">
      <w:pPr>
        <w:autoSpaceDE w:val="0"/>
        <w:spacing w:line="560" w:lineRule="exact"/>
        <w:jc w:val="center"/>
        <w:rPr>
          <w:rFonts w:ascii="黑体" w:eastAsia="黑体" w:cs="黑体"/>
          <w:sz w:val="32"/>
          <w:szCs w:val="32"/>
        </w:rPr>
      </w:pPr>
    </w:p>
    <w:p w14:paraId="3B625CC0">
      <w:pPr>
        <w:autoSpaceDE w:val="0"/>
        <w:spacing w:line="560" w:lineRule="exact"/>
        <w:jc w:val="center"/>
        <w:rPr>
          <w:rFonts w:ascii="黑体" w:eastAsia="黑体" w:cs="黑体"/>
          <w:sz w:val="32"/>
          <w:szCs w:val="32"/>
        </w:rPr>
      </w:pPr>
    </w:p>
    <w:p w14:paraId="25ACF7CB">
      <w:pPr>
        <w:autoSpaceDE w:val="0"/>
        <w:spacing w:line="560" w:lineRule="exact"/>
        <w:jc w:val="center"/>
        <w:rPr>
          <w:rFonts w:hint="default" w:ascii="Times New Roman" w:hAnsi="Times New Roman" w:eastAsia="楷体" w:cs="楷体"/>
          <w:sz w:val="32"/>
          <w:szCs w:val="32"/>
        </w:rPr>
      </w:pPr>
      <w:r>
        <w:rPr>
          <w:rFonts w:ascii="黑体" w:eastAsia="黑体" w:cs="黑体"/>
          <w:sz w:val="32"/>
          <w:szCs w:val="32"/>
        </w:rPr>
        <w:t>第一部分</w:t>
      </w:r>
      <w:r>
        <w:rPr>
          <w:rFonts w:ascii="Times New Roman" w:hAnsi="Times New Roman" w:eastAsia="黑体" w:cs="宋体"/>
          <w:sz w:val="32"/>
          <w:szCs w:val="32"/>
        </w:rPr>
        <w:t xml:space="preserve">  </w:t>
      </w:r>
      <w:r>
        <w:rPr>
          <w:rFonts w:ascii="黑体" w:eastAsia="黑体" w:cs="黑体"/>
          <w:sz w:val="32"/>
          <w:szCs w:val="32"/>
        </w:rPr>
        <w:t>海南中学部门概况</w:t>
      </w:r>
    </w:p>
    <w:p w14:paraId="7DA0B7DF">
      <w:pPr>
        <w:autoSpaceDE w:val="0"/>
        <w:spacing w:line="560" w:lineRule="exact"/>
        <w:ind w:firstLine="640" w:firstLineChars="200"/>
        <w:rPr>
          <w:rFonts w:hint="default" w:ascii="Times New Roman" w:hAnsi="Times New Roman" w:eastAsia="黑体" w:cs="黑体"/>
          <w:sz w:val="32"/>
          <w:szCs w:val="32"/>
        </w:rPr>
      </w:pPr>
      <w:r>
        <w:rPr>
          <w:rFonts w:ascii="黑体" w:eastAsia="黑体" w:cs="黑体"/>
          <w:sz w:val="32"/>
          <w:szCs w:val="32"/>
        </w:rPr>
        <w:t>一、部门职责</w:t>
      </w:r>
    </w:p>
    <w:p w14:paraId="55A95212">
      <w:pPr>
        <w:autoSpaceDE w:val="0"/>
        <w:ind w:firstLine="640" w:firstLineChars="200"/>
        <w:rPr>
          <w:rFonts w:ascii="仿宋" w:hAnsi="仿宋" w:eastAsia="仿宋" w:cs="仿宋"/>
          <w:sz w:val="32"/>
          <w:szCs w:val="32"/>
        </w:rPr>
      </w:pPr>
      <w:bookmarkStart w:id="1" w:name="_Toc24059_WPSOffice_Level2"/>
      <w:bookmarkEnd w:id="1"/>
      <w:bookmarkStart w:id="2" w:name="_Toc6572_WPSOffice_Level2"/>
      <w:bookmarkEnd w:id="2"/>
      <w:bookmarkStart w:id="3" w:name="_Toc17796_WPSOffice_Level2"/>
      <w:bookmarkEnd w:id="3"/>
      <w:bookmarkStart w:id="4" w:name="_Toc4833_WPSOffice_Level2"/>
      <w:bookmarkEnd w:id="4"/>
      <w:r>
        <w:rPr>
          <w:rFonts w:ascii="仿宋" w:hAnsi="仿宋" w:eastAsia="仿宋" w:cs="仿宋"/>
          <w:sz w:val="32"/>
          <w:szCs w:val="32"/>
        </w:rPr>
        <w:t>海南中学是一所海南省教育厅直属领导的完全中学，始建于1923年，具有百年建校历史，设有府城校区、美伦校区两个校区。学校主要职责是：</w:t>
      </w:r>
    </w:p>
    <w:p w14:paraId="141FAE74">
      <w:pPr>
        <w:autoSpaceDE w:val="0"/>
        <w:ind w:firstLine="640" w:firstLineChars="200"/>
        <w:rPr>
          <w:rFonts w:ascii="仿宋" w:hAnsi="仿宋" w:eastAsia="仿宋" w:cs="仿宋"/>
          <w:sz w:val="32"/>
          <w:szCs w:val="32"/>
        </w:rPr>
      </w:pPr>
      <w:r>
        <w:rPr>
          <w:rFonts w:ascii="仿宋" w:hAnsi="仿宋" w:eastAsia="仿宋" w:cs="仿宋"/>
          <w:sz w:val="32"/>
          <w:szCs w:val="32"/>
        </w:rPr>
        <w:t>（一）实施初中义务教育和高中学历教育，开展有关教育教学科研工作，积极发挥重点学校对全省中学教育教学活动的示范作用。</w:t>
      </w:r>
    </w:p>
    <w:p w14:paraId="001234A9">
      <w:pPr>
        <w:autoSpaceDE w:val="0"/>
        <w:ind w:firstLine="640" w:firstLineChars="200"/>
        <w:rPr>
          <w:rFonts w:ascii="仿宋" w:hAnsi="仿宋" w:eastAsia="仿宋" w:cs="仿宋"/>
          <w:sz w:val="32"/>
          <w:szCs w:val="32"/>
        </w:rPr>
      </w:pPr>
      <w:r>
        <w:rPr>
          <w:rFonts w:ascii="仿宋" w:hAnsi="仿宋" w:eastAsia="仿宋" w:cs="仿宋"/>
          <w:sz w:val="32"/>
          <w:szCs w:val="32"/>
        </w:rPr>
        <w:t>（二）承担本省数理化、生物、计算机、英语等学科全国竞赛培训工作。</w:t>
      </w:r>
    </w:p>
    <w:p w14:paraId="2F13102F">
      <w:pPr>
        <w:autoSpaceDE w:val="0"/>
        <w:ind w:firstLine="640" w:firstLineChars="200"/>
        <w:rPr>
          <w:rFonts w:ascii="仿宋" w:hAnsi="仿宋" w:eastAsia="仿宋" w:cs="仿宋"/>
          <w:sz w:val="32"/>
          <w:szCs w:val="32"/>
        </w:rPr>
      </w:pPr>
      <w:r>
        <w:rPr>
          <w:rFonts w:ascii="仿宋" w:hAnsi="仿宋" w:eastAsia="仿宋" w:cs="仿宋"/>
          <w:sz w:val="32"/>
          <w:szCs w:val="32"/>
        </w:rPr>
        <w:t>（三）承办上级主管部门交办的其他工作。</w:t>
      </w:r>
    </w:p>
    <w:p w14:paraId="3CC59C10">
      <w:pPr>
        <w:autoSpaceDE w:val="0"/>
        <w:ind w:firstLine="640" w:firstLineChars="200"/>
        <w:rPr>
          <w:rFonts w:ascii="黑体" w:eastAsia="黑体" w:cs="黑体"/>
          <w:sz w:val="32"/>
          <w:szCs w:val="32"/>
        </w:rPr>
      </w:pPr>
      <w:r>
        <w:rPr>
          <w:rFonts w:ascii="黑体" w:eastAsia="黑体" w:cs="黑体"/>
          <w:sz w:val="32"/>
          <w:szCs w:val="32"/>
        </w:rPr>
        <w:t xml:space="preserve">二、机构设置 </w:t>
      </w:r>
      <w:r>
        <w:rPr>
          <w:rFonts w:ascii="仿宋" w:hAnsi="仿宋" w:eastAsia="仿宋" w:cs="仿宋"/>
          <w:sz w:val="32"/>
          <w:szCs w:val="32"/>
        </w:rPr>
        <w:t xml:space="preserve">                                                                                                 </w:t>
      </w:r>
    </w:p>
    <w:p w14:paraId="4B0D9AE7">
      <w:pPr>
        <w:autoSpaceDE w:val="0"/>
        <w:spacing w:line="560" w:lineRule="exact"/>
        <w:ind w:firstLine="640" w:firstLineChars="200"/>
        <w:rPr>
          <w:rFonts w:hint="default" w:ascii="Times New Roman" w:hAnsi="Times New Roman" w:eastAsia="仿宋_GB2312" w:cs="宋体"/>
          <w:sz w:val="32"/>
          <w:szCs w:val="32"/>
        </w:rPr>
      </w:pPr>
      <w:r>
        <w:rPr>
          <w:rFonts w:hint="default" w:ascii="仿宋_GB2312" w:hAnsi="Times New Roman" w:eastAsia="仿宋_GB2312" w:cs="仿宋_GB2312"/>
          <w:sz w:val="32"/>
          <w:szCs w:val="32"/>
        </w:rPr>
        <w:t>机构设置：办公室、学生科、总务科、体卫科、党办、团委、教务科、工会、教研室（分府城校区初中部、高中部及美伦校区初中部、高中部）</w:t>
      </w:r>
      <w:r>
        <w:rPr>
          <w:rFonts w:hint="default" w:ascii="Times New Roman" w:hAnsi="Times New Roman" w:eastAsia="仿宋_GB2312" w:cs="宋体"/>
          <w:sz w:val="32"/>
          <w:szCs w:val="32"/>
        </w:rPr>
        <w:t xml:space="preserve"> </w:t>
      </w:r>
    </w:p>
    <w:p w14:paraId="064250B4">
      <w:pPr>
        <w:autoSpaceDE w:val="0"/>
        <w:spacing w:line="560" w:lineRule="exact"/>
        <w:jc w:val="center"/>
        <w:rPr>
          <w:rFonts w:hint="default" w:ascii="Times New Roman" w:hAnsi="Times New Roman" w:eastAsia="黑体" w:cs="宋体"/>
          <w:sz w:val="32"/>
          <w:szCs w:val="32"/>
        </w:rPr>
      </w:pPr>
      <w:r>
        <w:rPr>
          <w:rFonts w:ascii="黑体" w:eastAsia="黑体" w:cs="黑体"/>
          <w:sz w:val="32"/>
          <w:szCs w:val="32"/>
        </w:rPr>
        <w:t>第二部分、海南中学</w:t>
      </w:r>
      <w:r>
        <w:rPr>
          <w:rFonts w:hint="default" w:ascii="Times New Roman" w:hAnsi="Times New Roman" w:eastAsia="黑体"/>
          <w:sz w:val="32"/>
          <w:szCs w:val="32"/>
        </w:rPr>
        <w:t>2021</w:t>
      </w:r>
      <w:r>
        <w:rPr>
          <w:rFonts w:ascii="黑体" w:eastAsia="黑体" w:cs="黑体"/>
          <w:sz w:val="32"/>
          <w:szCs w:val="32"/>
        </w:rPr>
        <w:t>年度部门决算公开报表</w:t>
      </w:r>
    </w:p>
    <w:p w14:paraId="71685B50">
      <w:pPr>
        <w:autoSpaceDE w:val="0"/>
        <w:spacing w:line="560" w:lineRule="exact"/>
        <w:ind w:firstLine="645"/>
        <w:rPr>
          <w:rFonts w:hint="default" w:ascii="Times New Roman" w:hAnsi="Times New Roman" w:eastAsia="黑体" w:cs="黑体"/>
          <w:sz w:val="32"/>
          <w:szCs w:val="32"/>
        </w:rPr>
      </w:pPr>
      <w:r>
        <w:rPr>
          <w:rFonts w:ascii="黑体" w:eastAsia="黑体" w:cs="黑体"/>
          <w:sz w:val="32"/>
          <w:szCs w:val="32"/>
        </w:rPr>
        <w:t>一、收入支出决算公开表（见正文附件）。</w:t>
      </w:r>
    </w:p>
    <w:p w14:paraId="37013E25">
      <w:pPr>
        <w:autoSpaceDE w:val="0"/>
        <w:spacing w:line="560" w:lineRule="exact"/>
        <w:ind w:firstLine="645"/>
        <w:rPr>
          <w:rFonts w:hint="default" w:ascii="Times New Roman" w:hAnsi="Times New Roman" w:eastAsia="黑体" w:cs="黑体"/>
          <w:sz w:val="32"/>
          <w:szCs w:val="32"/>
        </w:rPr>
      </w:pPr>
      <w:bookmarkStart w:id="5" w:name="_Toc26621_WPSOffice_Level2"/>
      <w:bookmarkEnd w:id="5"/>
      <w:bookmarkStart w:id="6" w:name="_Toc28622_WPSOffice_Level2"/>
      <w:bookmarkEnd w:id="6"/>
      <w:bookmarkStart w:id="7" w:name="_Toc23139_WPSOffice_Level2"/>
      <w:bookmarkEnd w:id="7"/>
      <w:bookmarkStart w:id="8" w:name="_Toc25608_WPSOffice_Level2"/>
      <w:bookmarkEnd w:id="8"/>
      <w:bookmarkStart w:id="9" w:name="_Toc30334_WPSOffice_Level2"/>
      <w:bookmarkEnd w:id="9"/>
      <w:bookmarkStart w:id="10" w:name="_Toc14349_WPSOffice_Level2"/>
      <w:r>
        <w:rPr>
          <w:rFonts w:ascii="黑体" w:eastAsia="黑体" w:cs="黑体"/>
          <w:sz w:val="32"/>
          <w:szCs w:val="32"/>
        </w:rPr>
        <w:t>二、收入决算</w:t>
      </w:r>
      <w:bookmarkEnd w:id="10"/>
      <w:r>
        <w:rPr>
          <w:rFonts w:ascii="黑体" w:eastAsia="黑体" w:cs="黑体"/>
          <w:sz w:val="32"/>
          <w:szCs w:val="32"/>
        </w:rPr>
        <w:t>公开表（见正文附件）。</w:t>
      </w:r>
    </w:p>
    <w:p w14:paraId="5B6FB442">
      <w:pPr>
        <w:autoSpaceDE w:val="0"/>
        <w:spacing w:line="560" w:lineRule="exact"/>
        <w:ind w:firstLine="645"/>
        <w:rPr>
          <w:rFonts w:hint="default" w:ascii="Times New Roman" w:hAnsi="Times New Roman" w:eastAsia="黑体" w:cs="黑体"/>
          <w:sz w:val="32"/>
          <w:szCs w:val="32"/>
        </w:rPr>
      </w:pPr>
      <w:bookmarkStart w:id="11" w:name="_Toc17858_WPSOffice_Level2"/>
      <w:bookmarkEnd w:id="11"/>
      <w:bookmarkStart w:id="12" w:name="_Toc17626_WPSOffice_Level2"/>
      <w:bookmarkEnd w:id="12"/>
      <w:bookmarkStart w:id="13" w:name="_Toc5489_WPSOffice_Level2"/>
      <w:bookmarkEnd w:id="13"/>
      <w:bookmarkStart w:id="14" w:name="_Toc13854_WPSOffice_Level2"/>
      <w:bookmarkEnd w:id="14"/>
      <w:bookmarkStart w:id="15" w:name="_Toc3262_WPSOffice_Level2"/>
      <w:bookmarkEnd w:id="15"/>
      <w:bookmarkStart w:id="16" w:name="_Toc14658_WPSOffice_Level2"/>
      <w:r>
        <w:rPr>
          <w:rFonts w:ascii="黑体" w:eastAsia="黑体" w:cs="黑体"/>
          <w:sz w:val="32"/>
          <w:szCs w:val="32"/>
        </w:rPr>
        <w:t>三、支出决算</w:t>
      </w:r>
      <w:bookmarkEnd w:id="16"/>
      <w:r>
        <w:rPr>
          <w:rFonts w:ascii="黑体" w:eastAsia="黑体" w:cs="黑体"/>
          <w:sz w:val="32"/>
          <w:szCs w:val="32"/>
        </w:rPr>
        <w:t>公开表（见正文附件）。</w:t>
      </w:r>
    </w:p>
    <w:p w14:paraId="4D74B181">
      <w:pPr>
        <w:autoSpaceDE w:val="0"/>
        <w:spacing w:line="560" w:lineRule="exact"/>
        <w:ind w:firstLine="645"/>
        <w:rPr>
          <w:rFonts w:hint="default" w:ascii="Times New Roman" w:hAnsi="Times New Roman" w:eastAsia="黑体" w:cs="黑体"/>
          <w:sz w:val="32"/>
          <w:szCs w:val="32"/>
        </w:rPr>
      </w:pPr>
      <w:bookmarkStart w:id="17" w:name="_Toc23493_WPSOffice_Level2"/>
      <w:bookmarkEnd w:id="17"/>
      <w:bookmarkStart w:id="18" w:name="_Toc13701_WPSOffice_Level2"/>
      <w:bookmarkEnd w:id="18"/>
      <w:bookmarkStart w:id="19" w:name="_Toc7988_WPSOffice_Level2"/>
      <w:bookmarkEnd w:id="19"/>
      <w:bookmarkStart w:id="20" w:name="_Toc21415_WPSOffice_Level2"/>
      <w:bookmarkEnd w:id="20"/>
      <w:bookmarkStart w:id="21" w:name="_Toc23591_WPSOffice_Level2"/>
      <w:bookmarkEnd w:id="21"/>
      <w:bookmarkStart w:id="22" w:name="_Toc4265_WPSOffice_Level2"/>
      <w:r>
        <w:rPr>
          <w:rFonts w:ascii="黑体" w:eastAsia="黑体" w:cs="黑体"/>
          <w:sz w:val="32"/>
          <w:szCs w:val="32"/>
        </w:rPr>
        <w:t>四、财政拨款收入支出决算</w:t>
      </w:r>
      <w:bookmarkEnd w:id="22"/>
      <w:r>
        <w:rPr>
          <w:rFonts w:ascii="黑体" w:eastAsia="黑体" w:cs="黑体"/>
          <w:sz w:val="32"/>
          <w:szCs w:val="32"/>
        </w:rPr>
        <w:t>公开表（见正文附件）。</w:t>
      </w:r>
    </w:p>
    <w:p w14:paraId="661AF1F4">
      <w:pPr>
        <w:autoSpaceDE w:val="0"/>
        <w:spacing w:line="560" w:lineRule="exact"/>
        <w:ind w:firstLine="645"/>
        <w:rPr>
          <w:rFonts w:hint="default" w:ascii="Times New Roman" w:hAnsi="Times New Roman" w:eastAsia="黑体" w:cs="黑体"/>
          <w:sz w:val="32"/>
          <w:szCs w:val="32"/>
        </w:rPr>
      </w:pPr>
      <w:bookmarkStart w:id="23" w:name="_Toc23829_WPSOffice_Level2"/>
      <w:bookmarkEnd w:id="23"/>
      <w:bookmarkStart w:id="24" w:name="_Toc2158_WPSOffice_Level2"/>
      <w:bookmarkEnd w:id="24"/>
      <w:bookmarkStart w:id="25" w:name="_Toc22783_WPSOffice_Level2"/>
      <w:bookmarkEnd w:id="25"/>
      <w:bookmarkStart w:id="26" w:name="_Toc25166_WPSOffice_Level2"/>
      <w:bookmarkEnd w:id="26"/>
      <w:bookmarkStart w:id="27" w:name="_Toc7879_WPSOffice_Level2"/>
      <w:bookmarkEnd w:id="27"/>
      <w:bookmarkStart w:id="28" w:name="_Toc13516_WPSOffice_Level2"/>
      <w:r>
        <w:rPr>
          <w:rFonts w:ascii="黑体" w:eastAsia="黑体" w:cs="黑体"/>
          <w:sz w:val="32"/>
          <w:szCs w:val="32"/>
        </w:rPr>
        <w:t>五、</w:t>
      </w:r>
      <w:bookmarkEnd w:id="28"/>
      <w:r>
        <w:rPr>
          <w:rFonts w:ascii="黑体" w:eastAsia="黑体" w:cs="黑体"/>
          <w:sz w:val="32"/>
          <w:szCs w:val="32"/>
        </w:rPr>
        <w:t>一般公共预算财政拨款收入支出决算公开表</w:t>
      </w:r>
    </w:p>
    <w:p w14:paraId="510EAB7A">
      <w:pPr>
        <w:autoSpaceDE w:val="0"/>
        <w:spacing w:line="560" w:lineRule="exact"/>
        <w:ind w:firstLine="1302" w:firstLineChars="407"/>
        <w:rPr>
          <w:rFonts w:hint="default" w:ascii="Times New Roman" w:hAnsi="Times New Roman" w:eastAsia="黑体" w:cs="黑体"/>
          <w:sz w:val="32"/>
          <w:szCs w:val="32"/>
        </w:rPr>
      </w:pPr>
      <w:r>
        <w:rPr>
          <w:rFonts w:ascii="黑体" w:eastAsia="黑体" w:cs="黑体"/>
          <w:sz w:val="32"/>
          <w:szCs w:val="32"/>
        </w:rPr>
        <w:t>（见正文附件）。</w:t>
      </w:r>
    </w:p>
    <w:p w14:paraId="08582A38">
      <w:pPr>
        <w:autoSpaceDE w:val="0"/>
        <w:spacing w:line="560" w:lineRule="exact"/>
        <w:ind w:firstLine="640" w:firstLineChars="200"/>
        <w:rPr>
          <w:rFonts w:hint="default" w:ascii="Times New Roman" w:hAnsi="Times New Roman" w:eastAsia="黑体" w:cs="黑体"/>
          <w:sz w:val="32"/>
          <w:szCs w:val="32"/>
        </w:rPr>
      </w:pPr>
      <w:bookmarkStart w:id="29" w:name="_Toc5343_WPSOffice_Level2"/>
      <w:bookmarkEnd w:id="29"/>
      <w:bookmarkStart w:id="30" w:name="_Toc8373_WPSOffice_Level2"/>
      <w:bookmarkEnd w:id="30"/>
      <w:bookmarkStart w:id="31" w:name="_Toc25362_WPSOffice_Level2"/>
      <w:bookmarkEnd w:id="31"/>
      <w:bookmarkStart w:id="32" w:name="_Toc2632_WPSOffice_Level2"/>
      <w:bookmarkEnd w:id="32"/>
      <w:bookmarkStart w:id="33" w:name="_Toc17283_WPSOffice_Level2"/>
      <w:bookmarkEnd w:id="33"/>
      <w:bookmarkStart w:id="34" w:name="_Toc17833_WPSOffice_Level2"/>
      <w:r>
        <w:rPr>
          <w:rFonts w:ascii="黑体" w:eastAsia="黑体" w:cs="黑体"/>
          <w:sz w:val="32"/>
          <w:szCs w:val="32"/>
        </w:rPr>
        <w:t>六、</w:t>
      </w:r>
      <w:bookmarkEnd w:id="34"/>
      <w:r>
        <w:rPr>
          <w:rFonts w:ascii="黑体" w:eastAsia="黑体" w:cs="黑体"/>
          <w:sz w:val="32"/>
          <w:szCs w:val="32"/>
        </w:rPr>
        <w:t>一般公共预算财政拨款基本支出决算公开表</w:t>
      </w:r>
    </w:p>
    <w:p w14:paraId="060E1E7B">
      <w:pPr>
        <w:autoSpaceDE w:val="0"/>
        <w:spacing w:line="560" w:lineRule="exact"/>
        <w:ind w:firstLine="1280" w:firstLineChars="400"/>
        <w:rPr>
          <w:rFonts w:hint="default" w:ascii="Times New Roman" w:hAnsi="Times New Roman" w:eastAsia="黑体" w:cs="黑体"/>
          <w:sz w:val="32"/>
          <w:szCs w:val="32"/>
        </w:rPr>
      </w:pPr>
      <w:r>
        <w:rPr>
          <w:rFonts w:ascii="黑体" w:eastAsia="黑体" w:cs="黑体"/>
          <w:sz w:val="32"/>
          <w:szCs w:val="32"/>
        </w:rPr>
        <w:t>（见正文附件）。</w:t>
      </w:r>
    </w:p>
    <w:p w14:paraId="08BA38E0">
      <w:pPr>
        <w:autoSpaceDE w:val="0"/>
        <w:spacing w:line="560" w:lineRule="exact"/>
        <w:ind w:firstLine="640" w:firstLineChars="200"/>
        <w:rPr>
          <w:rFonts w:hint="default" w:ascii="Times New Roman" w:hAnsi="Times New Roman" w:eastAsia="黑体" w:cs="黑体"/>
          <w:sz w:val="32"/>
          <w:szCs w:val="32"/>
        </w:rPr>
      </w:pPr>
      <w:bookmarkStart w:id="35" w:name="_Toc11799_WPSOffice_Level2"/>
      <w:bookmarkEnd w:id="35"/>
      <w:bookmarkStart w:id="36" w:name="_Toc1533_WPSOffice_Level2"/>
      <w:bookmarkEnd w:id="36"/>
      <w:bookmarkStart w:id="37" w:name="_Toc21310_WPSOffice_Level2"/>
      <w:bookmarkEnd w:id="37"/>
      <w:bookmarkStart w:id="38" w:name="_Toc5594_WPSOffice_Level2"/>
      <w:bookmarkEnd w:id="38"/>
      <w:bookmarkStart w:id="39" w:name="_Toc6020_WPSOffice_Level2"/>
      <w:bookmarkEnd w:id="39"/>
      <w:bookmarkStart w:id="40" w:name="_Toc13345_WPSOffice_Level2"/>
      <w:r>
        <w:rPr>
          <w:rFonts w:ascii="黑体" w:eastAsia="黑体" w:cs="黑体"/>
          <w:sz w:val="32"/>
          <w:szCs w:val="32"/>
        </w:rPr>
        <w:t>七、</w:t>
      </w:r>
      <w:bookmarkEnd w:id="40"/>
      <w:r>
        <w:rPr>
          <w:rFonts w:ascii="黑体" w:eastAsia="黑体" w:cs="黑体"/>
          <w:sz w:val="32"/>
          <w:szCs w:val="32"/>
        </w:rPr>
        <w:t>政府性基金预算财政拨款收入支出决算公开表</w:t>
      </w:r>
    </w:p>
    <w:p w14:paraId="6F929695">
      <w:pPr>
        <w:autoSpaceDE w:val="0"/>
        <w:spacing w:line="560" w:lineRule="exact"/>
        <w:ind w:firstLine="1280" w:firstLineChars="400"/>
        <w:rPr>
          <w:rFonts w:hint="default" w:ascii="Times New Roman" w:hAnsi="Times New Roman" w:eastAsia="黑体" w:cs="黑体"/>
          <w:sz w:val="32"/>
          <w:szCs w:val="32"/>
        </w:rPr>
      </w:pPr>
      <w:r>
        <w:rPr>
          <w:rFonts w:ascii="黑体" w:eastAsia="黑体" w:cs="黑体"/>
          <w:sz w:val="32"/>
          <w:szCs w:val="32"/>
        </w:rPr>
        <w:t>（见正文附件）。</w:t>
      </w:r>
    </w:p>
    <w:p w14:paraId="30A25190">
      <w:pPr>
        <w:autoSpaceDE w:val="0"/>
        <w:spacing w:line="560" w:lineRule="exact"/>
        <w:ind w:left="1280" w:hanging="1280" w:hangingChars="400"/>
        <w:rPr>
          <w:rFonts w:hint="default" w:ascii="Times New Roman" w:hAnsi="Times New Roman" w:eastAsia="黑体" w:cs="黑体"/>
          <w:sz w:val="32"/>
          <w:szCs w:val="32"/>
        </w:rPr>
      </w:pPr>
      <w:bookmarkStart w:id="41" w:name="_Toc19961_WPSOffice_Level2"/>
      <w:bookmarkEnd w:id="41"/>
      <w:bookmarkStart w:id="42" w:name="_Toc9377_WPSOffice_Level2"/>
      <w:bookmarkEnd w:id="42"/>
      <w:bookmarkStart w:id="43" w:name="_Toc29886_WPSOffice_Level2"/>
      <w:bookmarkEnd w:id="43"/>
      <w:bookmarkStart w:id="44" w:name="_Toc1820_WPSOffice_Level2"/>
      <w:r>
        <w:rPr>
          <w:rFonts w:ascii="Times New Roman" w:hAnsi="Times New Roman" w:eastAsia="黑体" w:cs="黑体"/>
          <w:sz w:val="32"/>
          <w:szCs w:val="32"/>
        </w:rPr>
        <w:t xml:space="preserve">   </w:t>
      </w:r>
      <w:bookmarkEnd w:id="44"/>
      <w:r>
        <w:rPr>
          <w:rFonts w:ascii="Times New Roman" w:hAnsi="Times New Roman" w:eastAsia="黑体" w:cs="黑体"/>
          <w:sz w:val="32"/>
          <w:szCs w:val="32"/>
        </w:rPr>
        <w:t xml:space="preserve"> </w:t>
      </w:r>
      <w:r>
        <w:rPr>
          <w:rFonts w:ascii="黑体" w:eastAsia="黑体" w:cs="黑体"/>
          <w:sz w:val="32"/>
          <w:szCs w:val="32"/>
        </w:rPr>
        <w:t>八、国有资本经营预算财政拨款收入支出决算公开表（见正文附件）。</w:t>
      </w:r>
    </w:p>
    <w:p w14:paraId="0410FBE7">
      <w:pPr>
        <w:autoSpaceDE w:val="0"/>
        <w:spacing w:line="560" w:lineRule="exact"/>
        <w:ind w:left="1280" w:hanging="1280" w:hangingChars="400"/>
        <w:rPr>
          <w:rFonts w:hint="default" w:ascii="Times New Roman" w:hAnsi="Times New Roman" w:eastAsia="黑体" w:cs="黑体"/>
          <w:sz w:val="32"/>
          <w:szCs w:val="32"/>
        </w:rPr>
      </w:pPr>
      <w:r>
        <w:rPr>
          <w:rFonts w:ascii="Times New Roman" w:hAnsi="Times New Roman" w:eastAsia="黑体" w:cs="黑体"/>
          <w:sz w:val="32"/>
          <w:szCs w:val="32"/>
        </w:rPr>
        <w:t xml:space="preserve">    </w:t>
      </w:r>
      <w:r>
        <w:rPr>
          <w:rFonts w:ascii="黑体" w:eastAsia="黑体" w:cs="黑体"/>
          <w:sz w:val="32"/>
          <w:szCs w:val="32"/>
        </w:rPr>
        <w:t>九、一般公共预算财政拨款“三公”经费支出决算公开表（见正文附件）。</w:t>
      </w:r>
    </w:p>
    <w:p w14:paraId="79622F26">
      <w:pPr>
        <w:autoSpaceDE w:val="0"/>
        <w:spacing w:line="560" w:lineRule="exact"/>
        <w:ind w:left="1278" w:leftChars="266" w:hanging="640" w:hangingChars="200"/>
        <w:rPr>
          <w:rFonts w:hint="default" w:ascii="Times New Roman" w:hAnsi="Times New Roman" w:eastAsia="黑体" w:cs="黑体"/>
          <w:sz w:val="32"/>
          <w:szCs w:val="32"/>
        </w:rPr>
      </w:pPr>
      <w:r>
        <w:rPr>
          <w:rFonts w:ascii="黑体" w:eastAsia="黑体" w:cs="黑体"/>
          <w:sz w:val="32"/>
          <w:szCs w:val="32"/>
        </w:rPr>
        <w:t>十、政府性基金预算财政拨款“三公”经费支出决算公开表（见正文附件）。</w:t>
      </w:r>
    </w:p>
    <w:p w14:paraId="27A5A922">
      <w:pPr>
        <w:autoSpaceDE w:val="0"/>
        <w:spacing w:line="560" w:lineRule="exact"/>
        <w:ind w:left="1278" w:leftChars="266" w:hanging="640" w:hangingChars="200"/>
        <w:rPr>
          <w:rFonts w:hint="default" w:ascii="Times New Roman" w:hAnsi="Times New Roman" w:eastAsia="黑体" w:cs="黑体"/>
          <w:sz w:val="32"/>
          <w:szCs w:val="32"/>
        </w:rPr>
      </w:pPr>
      <w:r>
        <w:rPr>
          <w:rFonts w:ascii="黑体" w:eastAsia="黑体" w:cs="黑体"/>
          <w:sz w:val="32"/>
          <w:szCs w:val="32"/>
        </w:rPr>
        <w:t>十一、国有资本经营预算财政拨款“三公”经费支出决算公开表（见正文附件）。</w:t>
      </w:r>
    </w:p>
    <w:p w14:paraId="37CC0C34">
      <w:pPr>
        <w:autoSpaceDE w:val="0"/>
        <w:spacing w:line="560" w:lineRule="exact"/>
        <w:ind w:left="1661" w:leftChars="303" w:hanging="934" w:hangingChars="292"/>
        <w:rPr>
          <w:rFonts w:hint="default" w:ascii="Times New Roman" w:hAnsi="Times New Roman" w:eastAsia="黑体" w:cs="黑体"/>
          <w:sz w:val="32"/>
          <w:szCs w:val="32"/>
        </w:rPr>
      </w:pPr>
      <w:r>
        <w:rPr>
          <w:rFonts w:ascii="Times New Roman" w:hAnsi="Times New Roman" w:eastAsia="黑体" w:cs="黑体"/>
          <w:sz w:val="32"/>
          <w:szCs w:val="32"/>
        </w:rPr>
        <w:t xml:space="preserve"> </w:t>
      </w:r>
    </w:p>
    <w:p w14:paraId="6D7FF3D4">
      <w:pPr>
        <w:numPr>
          <w:ilvl w:val="0"/>
          <w:numId w:val="2"/>
        </w:numPr>
        <w:autoSpaceDE w:val="0"/>
        <w:spacing w:line="560" w:lineRule="exact"/>
        <w:jc w:val="center"/>
        <w:rPr>
          <w:rFonts w:hint="default" w:ascii="Times New Roman" w:hAnsi="Times New Roman" w:eastAsia="黑体" w:cs="黑体"/>
          <w:sz w:val="32"/>
          <w:szCs w:val="32"/>
        </w:rPr>
      </w:pPr>
      <w:bookmarkStart w:id="45" w:name="_Toc16686_WPSOffice_Level1"/>
      <w:bookmarkEnd w:id="45"/>
      <w:bookmarkStart w:id="46" w:name="_Toc31264_WPSOffice_Level1"/>
      <w:bookmarkEnd w:id="46"/>
      <w:bookmarkStart w:id="47" w:name="_Toc27590_WPSOffice_Level1"/>
      <w:bookmarkEnd w:id="47"/>
      <w:bookmarkStart w:id="48" w:name="_Toc28629_WPSOffice_Level1"/>
      <w:bookmarkEnd w:id="48"/>
      <w:bookmarkStart w:id="49" w:name="_Toc4402_WPSOffice_Level1"/>
      <w:bookmarkEnd w:id="49"/>
      <w:r>
        <w:rPr>
          <w:rFonts w:ascii="黑体" w:eastAsia="黑体" w:cs="黑体"/>
          <w:sz w:val="32"/>
          <w:szCs w:val="32"/>
        </w:rPr>
        <w:t>海南中学</w:t>
      </w:r>
      <w:r>
        <w:rPr>
          <w:rFonts w:hint="default" w:ascii="Times New Roman" w:hAnsi="Times New Roman" w:eastAsia="黑体"/>
          <w:sz w:val="32"/>
          <w:szCs w:val="32"/>
        </w:rPr>
        <w:t>2021</w:t>
      </w:r>
      <w:r>
        <w:rPr>
          <w:rFonts w:ascii="黑体" w:eastAsia="黑体" w:cs="黑体"/>
          <w:sz w:val="32"/>
          <w:szCs w:val="32"/>
        </w:rPr>
        <w:t>年度部门决算情况说明</w:t>
      </w:r>
    </w:p>
    <w:p w14:paraId="6D29D92D">
      <w:pPr>
        <w:numPr>
          <w:ilvl w:val="0"/>
          <w:numId w:val="3"/>
        </w:numPr>
        <w:autoSpaceDE w:val="0"/>
        <w:spacing w:line="560" w:lineRule="exact"/>
        <w:ind w:left="638" w:leftChars="266"/>
        <w:rPr>
          <w:rFonts w:hint="default" w:ascii="Times New Roman" w:hAnsi="Times New Roman" w:eastAsia="黑体" w:cs="黑体"/>
          <w:bCs/>
          <w:sz w:val="32"/>
          <w:szCs w:val="32"/>
        </w:rPr>
      </w:pPr>
      <w:r>
        <w:rPr>
          <w:rFonts w:ascii="黑体" w:eastAsia="黑体" w:cs="黑体"/>
          <w:bCs/>
          <w:sz w:val="32"/>
          <w:szCs w:val="32"/>
        </w:rPr>
        <w:t>收入支出决算总体情况说明</w:t>
      </w:r>
    </w:p>
    <w:p w14:paraId="5EC166C4">
      <w:pPr>
        <w:autoSpaceDE w:val="0"/>
        <w:spacing w:line="560" w:lineRule="exact"/>
        <w:ind w:firstLine="640" w:firstLineChars="200"/>
        <w:rPr>
          <w:rFonts w:hint="default" w:ascii="Times New Roman" w:hAnsi="Times New Roman" w:eastAsia="仿宋_GB2312" w:cs="仿宋_GB2312"/>
          <w:sz w:val="32"/>
          <w:szCs w:val="32"/>
        </w:rPr>
      </w:pPr>
      <w:r>
        <w:rPr>
          <w:rFonts w:hint="default" w:ascii="Times New Roman" w:hAnsi="Times New Roman" w:eastAsia="仿宋_GB2312" w:cs="仿宋_GB2312"/>
          <w:sz w:val="32"/>
          <w:szCs w:val="32"/>
        </w:rPr>
        <w:t>2021年度收入总计18066.32万元，与2020年度相比，收入总计增加5173.3万元，增加40.12%。主要原因是项目收入增加。使用非财政拨款结余0.00万元，较2020年度决算数减少74.47万元，主要原因是中高考及会考考务费、教师工作室经费支付完毕。年初结转结余431.64万元，主要是中高考及会考考务费、教师工作室经费资金结余，较2020年度决算数减少589.55万元，下降42.26%，主要原因是项目支出力度加大。结余分配0.7万元，转入非财政拨款结余，较2020年度决算数减少1.05万元，用于弥补单位资金收支差额。年末结转结余1116.94万元，主要是2021年末美伦校区开学办学经费及美伦校区校园文化改造项目资金两个项目资金结余。较2020年度决算数增加242.8万元，增加27.78%，主要是这两个项目资金支出开展缓慢。</w:t>
      </w:r>
    </w:p>
    <w:p w14:paraId="0AD2C026">
      <w:pPr>
        <w:autoSpaceDE w:val="0"/>
        <w:spacing w:line="560" w:lineRule="exact"/>
        <w:ind w:firstLine="640" w:firstLineChars="200"/>
        <w:rPr>
          <w:rFonts w:hint="default" w:ascii="Times New Roman" w:hAnsi="Times New Roman" w:eastAsia="黑体" w:cs="黑体"/>
          <w:bCs/>
          <w:sz w:val="32"/>
          <w:szCs w:val="32"/>
        </w:rPr>
      </w:pPr>
      <w:r>
        <w:rPr>
          <w:rFonts w:ascii="黑体" w:eastAsia="黑体" w:cs="黑体"/>
          <w:bCs/>
          <w:sz w:val="32"/>
          <w:szCs w:val="32"/>
        </w:rPr>
        <w:t>二、收入决算情况说明</w:t>
      </w:r>
    </w:p>
    <w:p w14:paraId="5C8056B9">
      <w:pPr>
        <w:autoSpaceDE w:val="0"/>
        <w:spacing w:line="560" w:lineRule="exact"/>
        <w:ind w:firstLine="640" w:firstLineChars="200"/>
        <w:rPr>
          <w:rFonts w:hint="default" w:ascii="Times New Roman" w:hAnsi="Times New Roman" w:eastAsia="仿宋_GB2312" w:cs="仿宋_GB2312"/>
          <w:sz w:val="32"/>
          <w:szCs w:val="32"/>
        </w:rPr>
      </w:pPr>
      <w:r>
        <w:rPr>
          <w:rFonts w:hint="default" w:ascii="仿宋_GB2312" w:hAnsi="Times New Roman" w:eastAsia="仿宋_GB2312" w:cs="仿宋_GB2312"/>
          <w:sz w:val="32"/>
          <w:szCs w:val="32"/>
        </w:rPr>
        <w:t>本年收入合计18066.32万元，其中：财政拨款收入15810.15万元，占87.51%；上级补助收入0.00 万元，占0%；事业收入1091.31万元，占6.04%；经营收入0.00万元，占0%；附属单位上缴收入0.00万元，占0%；其他收入1164.85万元，占6.45%。</w:t>
      </w:r>
      <w:r>
        <w:rPr>
          <w:rFonts w:ascii="仿宋_GB2312" w:hAnsi="Times New Roman" w:eastAsia="仿宋_GB2312" w:cs="仿宋_GB2312"/>
          <w:sz w:val="32"/>
          <w:szCs w:val="32"/>
        </w:rPr>
        <w:t xml:space="preserve">                   </w:t>
      </w:r>
      <w:r>
        <w:rPr>
          <w:rFonts w:hint="default" w:ascii="Times New Roman" w:hAnsi="Times New Roman" w:eastAsia="仿宋_GB2312" w:cs="仿宋_GB2312"/>
          <w:sz w:val="32"/>
          <w:szCs w:val="32"/>
        </w:rPr>
        <w:t xml:space="preserve"> </w:t>
      </w:r>
      <w:r>
        <w:rPr>
          <w:rFonts w:ascii="Times New Roman" w:hAnsi="Times New Roman" w:eastAsia="仿宋_GB2312" w:cs="仿宋_GB2312"/>
          <w:sz w:val="32"/>
          <w:szCs w:val="32"/>
        </w:rPr>
        <w:t xml:space="preserve">                   </w:t>
      </w:r>
      <w:r>
        <w:rPr>
          <w:rFonts w:hint="default" w:ascii="Times New Roman" w:hAnsi="Times New Roman" w:eastAsia="仿宋_GB2312" w:cs="仿宋_GB2312"/>
          <w:sz w:val="32"/>
          <w:szCs w:val="32"/>
        </w:rPr>
        <w:t xml:space="preserve"> </w:t>
      </w:r>
    </w:p>
    <w:p w14:paraId="75AC2078">
      <w:pPr>
        <w:autoSpaceDE w:val="0"/>
        <w:spacing w:line="560" w:lineRule="exact"/>
        <w:ind w:firstLine="640" w:firstLineChars="200"/>
        <w:rPr>
          <w:rFonts w:hint="default" w:ascii="Times New Roman" w:hAnsi="Times New Roman" w:eastAsia="黑体" w:cs="黑体"/>
          <w:bCs/>
          <w:sz w:val="32"/>
          <w:szCs w:val="32"/>
        </w:rPr>
      </w:pPr>
      <w:r>
        <w:rPr>
          <w:rFonts w:ascii="黑体" w:eastAsia="黑体" w:cs="黑体"/>
          <w:bCs/>
          <w:sz w:val="32"/>
          <w:szCs w:val="32"/>
        </w:rPr>
        <w:t>三、支出决算情况说明</w:t>
      </w:r>
    </w:p>
    <w:p w14:paraId="49E5C01D">
      <w:pPr>
        <w:autoSpaceDE w:val="0"/>
        <w:spacing w:line="560" w:lineRule="exact"/>
        <w:ind w:firstLine="640" w:firstLineChars="200"/>
        <w:rPr>
          <w:rFonts w:hint="default" w:ascii="Times New Roman" w:hAnsi="Times New Roman" w:eastAsia="仿宋_GB2312" w:cs="仿宋_GB2312"/>
          <w:sz w:val="32"/>
          <w:szCs w:val="32"/>
        </w:rPr>
      </w:pPr>
      <w:r>
        <w:rPr>
          <w:rFonts w:hint="default" w:ascii="仿宋_GB2312" w:hAnsi="Times New Roman" w:eastAsia="仿宋_GB2312" w:cs="仿宋_GB2312"/>
          <w:sz w:val="32"/>
          <w:szCs w:val="32"/>
        </w:rPr>
        <w:t xml:space="preserve">本年支出合计17381.00万元，其中：基本支出10930.78万元，占62.89%；项目支出6450.23万元，占37.11%。 </w:t>
      </w:r>
      <w:r>
        <w:rPr>
          <w:rFonts w:ascii="仿宋_GB2312" w:hAnsi="Times New Roman" w:eastAsia="仿宋_GB2312" w:cs="仿宋_GB2312"/>
          <w:sz w:val="32"/>
          <w:szCs w:val="32"/>
        </w:rPr>
        <w:t xml:space="preserve">        </w:t>
      </w:r>
    </w:p>
    <w:p w14:paraId="7A058940">
      <w:pPr>
        <w:autoSpaceDE w:val="0"/>
        <w:spacing w:line="560" w:lineRule="exact"/>
        <w:ind w:firstLine="640" w:firstLineChars="200"/>
        <w:rPr>
          <w:rFonts w:hint="default" w:ascii="Times New Roman" w:hAnsi="Times New Roman" w:eastAsia="黑体" w:cs="黑体"/>
          <w:bCs/>
          <w:sz w:val="32"/>
          <w:szCs w:val="32"/>
        </w:rPr>
      </w:pPr>
      <w:r>
        <w:rPr>
          <w:rFonts w:ascii="黑体" w:eastAsia="黑体" w:cs="黑体"/>
          <w:bCs/>
          <w:sz w:val="32"/>
          <w:szCs w:val="32"/>
        </w:rPr>
        <w:t>四、财政拨款收入支出决算总体情况说明</w:t>
      </w:r>
    </w:p>
    <w:p w14:paraId="73DA2386">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 xml:space="preserve">2021年度财政拨款收入总计15810.15万元。与2020年度相比，财政拨款收入总计增加3868.68万元，增加32.4%。主要原因是项目拨款增加。 </w:t>
      </w:r>
    </w:p>
    <w:p w14:paraId="61BC1D9E">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财政拨款年初结转结余0.00万元</w:t>
      </w:r>
      <w:r>
        <w:rPr>
          <w:rFonts w:ascii="仿宋_GB2312" w:hAnsi="Times New Roman" w:eastAsia="仿宋_GB2312" w:cs="仿宋_GB2312"/>
          <w:sz w:val="32"/>
          <w:szCs w:val="32"/>
        </w:rPr>
        <w:t>，</w:t>
      </w:r>
      <w:r>
        <w:rPr>
          <w:rFonts w:hint="default" w:ascii="仿宋_GB2312" w:hAnsi="Times New Roman" w:eastAsia="仿宋_GB2312" w:cs="仿宋_GB2312"/>
          <w:sz w:val="32"/>
          <w:szCs w:val="32"/>
        </w:rPr>
        <w:t xml:space="preserve">较2020年度决算数减少197.08万元，主要是项目资金，减少100%，主要原因是2020年末未支出的项目资金全部收回。 </w:t>
      </w:r>
    </w:p>
    <w:p w14:paraId="66CD5388">
      <w:pPr>
        <w:autoSpaceDE w:val="0"/>
        <w:spacing w:line="560" w:lineRule="exact"/>
        <w:ind w:firstLine="640" w:firstLineChars="200"/>
        <w:rPr>
          <w:rFonts w:hint="default" w:ascii="Times New Roman" w:hAnsi="Times New Roman" w:eastAsia="仿宋_GB2312" w:cs="仿宋_GB2312"/>
          <w:sz w:val="32"/>
          <w:szCs w:val="32"/>
        </w:rPr>
      </w:pPr>
      <w:r>
        <w:rPr>
          <w:rFonts w:hint="default" w:ascii="仿宋_GB2312" w:hAnsi="Times New Roman" w:eastAsia="仿宋_GB2312" w:cs="仿宋_GB2312"/>
          <w:sz w:val="32"/>
          <w:szCs w:val="32"/>
        </w:rPr>
        <w:t xml:space="preserve">财政拨款年末结转结余0.00万元，较2020年度年末决算数减少0.19万元，下降100%，主要原因是学校积极推动项目实施，项目资金执行加快，年底大部分已经支出完毕。 </w:t>
      </w:r>
    </w:p>
    <w:p w14:paraId="666E681B">
      <w:pPr>
        <w:autoSpaceDE w:val="0"/>
        <w:spacing w:line="560" w:lineRule="exact"/>
        <w:ind w:firstLine="640" w:firstLineChars="200"/>
        <w:rPr>
          <w:rFonts w:hint="default" w:ascii="Times New Roman" w:hAnsi="Times New Roman" w:eastAsia="黑体" w:cs="黑体"/>
          <w:bCs/>
          <w:sz w:val="32"/>
          <w:szCs w:val="32"/>
        </w:rPr>
      </w:pPr>
      <w:r>
        <w:rPr>
          <w:rFonts w:ascii="黑体" w:eastAsia="黑体" w:cs="黑体"/>
          <w:bCs/>
          <w:sz w:val="32"/>
          <w:szCs w:val="32"/>
        </w:rPr>
        <w:t>五、一般公共预算财政拨款支出决算情况说明</w:t>
      </w:r>
    </w:p>
    <w:p w14:paraId="1F4B5C95">
      <w:pPr>
        <w:autoSpaceDE w:val="0"/>
        <w:spacing w:line="560" w:lineRule="exact"/>
        <w:ind w:firstLine="640" w:firstLineChars="200"/>
        <w:rPr>
          <w:rFonts w:hint="default" w:ascii="Times New Roman" w:hAnsi="Times New Roman" w:eastAsia="仿宋_GB2312" w:cs="仿宋_GB2312"/>
          <w:sz w:val="32"/>
          <w:szCs w:val="32"/>
        </w:rPr>
      </w:pPr>
      <w:bookmarkStart w:id="50" w:name="_Toc9989_WPSOffice_Level2"/>
      <w:bookmarkEnd w:id="50"/>
      <w:bookmarkStart w:id="51" w:name="_Toc13694_WPSOffice_Level2"/>
      <w:bookmarkEnd w:id="51"/>
      <w:bookmarkStart w:id="52" w:name="_Toc19665_WPSOffice_Level2"/>
      <w:bookmarkEnd w:id="52"/>
      <w:bookmarkStart w:id="53" w:name="_Toc23005_WPSOffice_Level2"/>
      <w:bookmarkEnd w:id="53"/>
      <w:bookmarkStart w:id="54" w:name="_Toc17398_WPSOffice_Level2"/>
      <w:bookmarkEnd w:id="54"/>
      <w:bookmarkStart w:id="55" w:name="_Toc21737_WPSOffice_Level2"/>
      <w:r>
        <w:rPr>
          <w:rFonts w:hint="default" w:ascii="仿宋_GB2312" w:hAnsi="Times New Roman" w:eastAsia="仿宋_GB2312" w:cs="仿宋_GB2312"/>
          <w:sz w:val="32"/>
          <w:szCs w:val="32"/>
        </w:rPr>
        <w:t>（一）一般公共预算财政拨款支出决算总体情况</w:t>
      </w:r>
      <w:bookmarkEnd w:id="55"/>
      <w:r>
        <w:rPr>
          <w:rFonts w:hint="default" w:ascii="仿宋_GB2312" w:hAnsi="Times New Roman" w:eastAsia="仿宋_GB2312" w:cs="仿宋_GB2312"/>
          <w:sz w:val="32"/>
          <w:szCs w:val="32"/>
        </w:rPr>
        <w:t>。</w:t>
      </w:r>
    </w:p>
    <w:p w14:paraId="2B14E89E">
      <w:pPr>
        <w:autoSpaceDE w:val="0"/>
        <w:spacing w:line="560" w:lineRule="exact"/>
        <w:ind w:firstLine="640" w:firstLineChars="200"/>
        <w:rPr>
          <w:rFonts w:hint="default" w:ascii="Times New Roman" w:hAnsi="Times New Roman" w:eastAsia="仿宋_GB2312" w:cs="仿宋_GB2312"/>
          <w:sz w:val="32"/>
          <w:szCs w:val="32"/>
        </w:rPr>
      </w:pPr>
      <w:bookmarkStart w:id="56" w:name="_Toc19535_WPSOffice_Level2"/>
      <w:bookmarkEnd w:id="56"/>
      <w:bookmarkStart w:id="57" w:name="_Toc19075_WPSOffice_Level2"/>
      <w:bookmarkEnd w:id="57"/>
      <w:bookmarkStart w:id="58" w:name="_Toc2711_WPSOffice_Level2"/>
      <w:bookmarkEnd w:id="58"/>
      <w:bookmarkStart w:id="59" w:name="_Toc18793_WPSOffice_Level2"/>
      <w:bookmarkEnd w:id="59"/>
      <w:bookmarkStart w:id="60" w:name="_Toc27767_WPSOffice_Level2"/>
      <w:bookmarkEnd w:id="60"/>
      <w:bookmarkStart w:id="61" w:name="_Toc23864_WPSOffice_Level2"/>
      <w:r>
        <w:rPr>
          <w:rFonts w:hint="default" w:ascii="Times New Roman" w:hAnsi="Times New Roman" w:eastAsia="仿宋_GB2312" w:cs="仿宋_GB2312"/>
          <w:sz w:val="32"/>
          <w:szCs w:val="32"/>
        </w:rPr>
        <w:t>2021年度一般公共预算财政拨款支出15810.15万元</w:t>
      </w:r>
      <w:r>
        <w:rPr>
          <w:rFonts w:ascii="Times New Roman" w:hAnsi="Times New Roman" w:eastAsia="仿宋_GB2312" w:cs="仿宋_GB2312"/>
          <w:sz w:val="32"/>
          <w:szCs w:val="32"/>
        </w:rPr>
        <w:t>，</w:t>
      </w:r>
      <w:r>
        <w:rPr>
          <w:rFonts w:hint="default" w:ascii="Times New Roman" w:hAnsi="Times New Roman" w:eastAsia="仿宋_GB2312" w:cs="仿宋_GB2312"/>
          <w:sz w:val="32"/>
          <w:szCs w:val="32"/>
        </w:rPr>
        <w:t xml:space="preserve">占本年支出合计的90.96%。与2020年度相比，一般公共预算财政拨款支出增加3671.79万元，增加30.25%，主要原因是项目资金比2020年增加。 </w:t>
      </w:r>
    </w:p>
    <w:p w14:paraId="1D1F9736">
      <w:pPr>
        <w:autoSpaceDE w:val="0"/>
        <w:spacing w:line="560" w:lineRule="exact"/>
        <w:ind w:firstLine="640" w:firstLineChars="200"/>
        <w:rPr>
          <w:rFonts w:hint="default" w:ascii="Times New Roman" w:hAnsi="Times New Roman" w:eastAsia="仿宋_GB2312" w:cs="仿宋_GB2312"/>
          <w:sz w:val="32"/>
          <w:szCs w:val="32"/>
        </w:rPr>
      </w:pPr>
      <w:r>
        <w:rPr>
          <w:rFonts w:hint="default" w:ascii="仿宋_GB2312" w:hAnsi="Times New Roman" w:eastAsia="仿宋_GB2312" w:cs="仿宋_GB2312"/>
          <w:sz w:val="32"/>
          <w:szCs w:val="32"/>
        </w:rPr>
        <w:t>（二）一般公共预算财政拨款支出决算结构情况</w:t>
      </w:r>
      <w:bookmarkEnd w:id="61"/>
      <w:r>
        <w:rPr>
          <w:rFonts w:hint="default" w:ascii="仿宋_GB2312" w:hAnsi="Times New Roman" w:eastAsia="仿宋_GB2312" w:cs="仿宋_GB2312"/>
          <w:sz w:val="32"/>
          <w:szCs w:val="32"/>
        </w:rPr>
        <w:t>。</w:t>
      </w:r>
    </w:p>
    <w:p w14:paraId="791E5449">
      <w:pPr>
        <w:autoSpaceDE w:val="0"/>
        <w:spacing w:line="560" w:lineRule="exact"/>
        <w:ind w:firstLine="640" w:firstLineChars="200"/>
        <w:rPr>
          <w:rFonts w:hint="default" w:ascii="Times New Roman" w:hAnsi="Times New Roman" w:eastAsia="仿宋_GB2312" w:cs="仿宋_GB2312"/>
          <w:sz w:val="32"/>
          <w:szCs w:val="32"/>
        </w:rPr>
      </w:pPr>
      <w:r>
        <w:rPr>
          <w:rFonts w:hint="default" w:ascii="Times New Roman" w:hAnsi="Times New Roman" w:eastAsia="仿宋_GB2312" w:cs="仿宋_GB2312"/>
          <w:sz w:val="32"/>
          <w:szCs w:val="32"/>
        </w:rPr>
        <w:t>2021年度一般公共预算财政拨款支出15810.15万元</w:t>
      </w:r>
      <w:r>
        <w:rPr>
          <w:rFonts w:ascii="Times New Roman" w:hAnsi="Times New Roman" w:eastAsia="仿宋_GB2312" w:cs="仿宋_GB2312"/>
          <w:sz w:val="32"/>
          <w:szCs w:val="32"/>
        </w:rPr>
        <w:t>，</w:t>
      </w:r>
      <w:r>
        <w:rPr>
          <w:rFonts w:hint="default" w:ascii="Times New Roman" w:hAnsi="Times New Roman" w:eastAsia="仿宋_GB2312" w:cs="仿宋_GB2312"/>
          <w:sz w:val="32"/>
          <w:szCs w:val="32"/>
        </w:rPr>
        <w:t>主要用于以下方面：教育支出（类）支出13796.63万元，占87.26%；社会保障和就业（类）支出931.28万元，占5.89%；住房保障（类）支出 640.11 万元，占4.05%。</w:t>
      </w:r>
      <w:r>
        <w:rPr>
          <w:rFonts w:ascii="Times New Roman" w:hAnsi="Times New Roman" w:eastAsia="仿宋_GB2312" w:cs="仿宋_GB2312"/>
          <w:sz w:val="32"/>
          <w:szCs w:val="32"/>
        </w:rPr>
        <w:t xml:space="preserve">            </w:t>
      </w:r>
    </w:p>
    <w:p w14:paraId="794C4EC2">
      <w:pPr>
        <w:numPr>
          <w:ilvl w:val="0"/>
          <w:numId w:val="4"/>
        </w:numPr>
        <w:autoSpaceDE w:val="0"/>
        <w:spacing w:line="560" w:lineRule="exact"/>
        <w:ind w:firstLine="640" w:firstLineChars="200"/>
        <w:rPr>
          <w:rFonts w:hint="default" w:ascii="仿宋_GB2312" w:hAnsi="Times New Roman" w:eastAsia="仿宋_GB2312" w:cs="仿宋_GB2312"/>
          <w:sz w:val="32"/>
          <w:szCs w:val="32"/>
        </w:rPr>
      </w:pPr>
      <w:bookmarkStart w:id="62" w:name="_Toc21701_WPSOffice_Level2"/>
      <w:bookmarkEnd w:id="62"/>
      <w:bookmarkStart w:id="63" w:name="_Toc29364_WPSOffice_Level2"/>
      <w:bookmarkEnd w:id="63"/>
      <w:bookmarkStart w:id="64" w:name="_Toc25136_WPSOffice_Level2"/>
      <w:bookmarkEnd w:id="64"/>
      <w:bookmarkStart w:id="65" w:name="_Toc22318_WPSOffice_Level2"/>
      <w:bookmarkEnd w:id="65"/>
      <w:bookmarkStart w:id="66" w:name="_Toc15415_WPSOffice_Level2"/>
      <w:bookmarkEnd w:id="66"/>
      <w:bookmarkStart w:id="67" w:name="_Toc9502_WPSOffice_Level2"/>
      <w:r>
        <w:rPr>
          <w:rFonts w:hint="default" w:ascii="仿宋_GB2312" w:hAnsi="Times New Roman" w:eastAsia="仿宋_GB2312" w:cs="仿宋_GB2312"/>
          <w:sz w:val="32"/>
          <w:szCs w:val="32"/>
        </w:rPr>
        <w:t>一般公共预算财政拨款支出决算具体情况。</w:t>
      </w:r>
      <w:bookmarkEnd w:id="67"/>
    </w:p>
    <w:p w14:paraId="61F9B19A">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2021年度一般公共预算财政拨款支出年初预算为11282.21万元，支出决算为15810.15万元，完成年初预算的</w:t>
      </w:r>
      <w:r>
        <w:rPr>
          <w:rFonts w:hint="eastAsia" w:ascii="仿宋_GB2312" w:hAnsi="Times New Roman" w:eastAsia="仿宋_GB2312" w:cs="仿宋_GB2312"/>
          <w:sz w:val="32"/>
          <w:szCs w:val="32"/>
          <w:lang w:val="en-US" w:eastAsia="zh-CN"/>
        </w:rPr>
        <w:t>140.13</w:t>
      </w:r>
      <w:r>
        <w:rPr>
          <w:rFonts w:hint="default" w:ascii="仿宋_GB2312" w:hAnsi="Times New Roman" w:eastAsia="仿宋_GB2312" w:cs="仿宋_GB2312"/>
          <w:sz w:val="32"/>
          <w:szCs w:val="32"/>
        </w:rPr>
        <w:t>%。其中：</w:t>
      </w:r>
    </w:p>
    <w:p w14:paraId="4E84446E">
      <w:pPr>
        <w:numPr>
          <w:ilvl w:val="0"/>
          <w:numId w:val="5"/>
        </w:numPr>
        <w:autoSpaceDE w:val="0"/>
        <w:spacing w:line="560" w:lineRule="exact"/>
        <w:ind w:firstLine="640" w:firstLineChars="200"/>
        <w:rPr>
          <w:rFonts w:hint="default" w:ascii="仿宋_GB2312" w:hAnsi="Times New Roman" w:eastAsia="仿宋_GB2312" w:cs="仿宋_GB2312"/>
          <w:sz w:val="32"/>
          <w:szCs w:val="32"/>
        </w:rPr>
      </w:pPr>
      <w:r>
        <w:rPr>
          <w:rFonts w:hint="eastAsia" w:ascii="仿宋_GB2312" w:hAnsi="Times New Roman" w:eastAsia="仿宋_GB2312" w:cs="仿宋_GB2312"/>
          <w:sz w:val="32"/>
          <w:szCs w:val="32"/>
          <w:lang w:val="en-US" w:eastAsia="zh-CN"/>
        </w:rPr>
        <w:t>教育支出（类）普通教育（款）初中教育（项）</w:t>
      </w:r>
      <w:r>
        <w:rPr>
          <w:rFonts w:hint="default" w:ascii="仿宋_GB2312" w:hAnsi="Times New Roman" w:eastAsia="仿宋_GB2312" w:cs="仿宋_GB2312"/>
          <w:sz w:val="32"/>
          <w:szCs w:val="32"/>
        </w:rPr>
        <w:t>年初预算为</w:t>
      </w:r>
      <w:r>
        <w:rPr>
          <w:rFonts w:hint="eastAsia" w:ascii="仿宋_GB2312" w:hAnsi="Times New Roman" w:eastAsia="仿宋_GB2312" w:cs="仿宋_GB2312"/>
          <w:sz w:val="32"/>
          <w:szCs w:val="32"/>
          <w:lang w:val="en-US" w:eastAsia="zh-CN"/>
        </w:rPr>
        <w:t>162</w:t>
      </w:r>
      <w:r>
        <w:rPr>
          <w:rFonts w:hint="default" w:ascii="仿宋_GB2312" w:hAnsi="Times New Roman" w:eastAsia="仿宋_GB2312" w:cs="仿宋_GB2312"/>
          <w:sz w:val="32"/>
          <w:szCs w:val="32"/>
        </w:rPr>
        <w:t>万元，支出决算为</w:t>
      </w:r>
      <w:r>
        <w:rPr>
          <w:rFonts w:hint="eastAsia" w:ascii="仿宋_GB2312" w:hAnsi="Times New Roman" w:eastAsia="仿宋_GB2312" w:cs="仿宋_GB2312"/>
          <w:sz w:val="32"/>
          <w:szCs w:val="32"/>
          <w:lang w:val="en-US" w:eastAsia="zh-CN"/>
        </w:rPr>
        <w:t>186.36</w:t>
      </w:r>
      <w:r>
        <w:rPr>
          <w:rFonts w:hint="default" w:ascii="仿宋_GB2312" w:hAnsi="Times New Roman" w:eastAsia="仿宋_GB2312" w:cs="仿宋_GB2312"/>
          <w:sz w:val="32"/>
          <w:szCs w:val="32"/>
        </w:rPr>
        <w:t>万元，完成年初预算的</w:t>
      </w:r>
      <w:r>
        <w:rPr>
          <w:rFonts w:hint="eastAsia" w:ascii="仿宋_GB2312" w:hAnsi="Times New Roman" w:eastAsia="仿宋_GB2312" w:cs="仿宋_GB2312"/>
          <w:sz w:val="32"/>
          <w:szCs w:val="32"/>
          <w:lang w:val="en-US" w:eastAsia="zh-CN"/>
        </w:rPr>
        <w:t>115.03</w:t>
      </w:r>
      <w:r>
        <w:rPr>
          <w:rFonts w:hint="default" w:ascii="仿宋_GB2312" w:hAnsi="Times New Roman" w:eastAsia="仿宋_GB2312" w:cs="仿宋_GB2312"/>
          <w:sz w:val="32"/>
          <w:szCs w:val="32"/>
        </w:rPr>
        <w:t>%。决算数大于预算数的主要原因：</w:t>
      </w:r>
      <w:r>
        <w:rPr>
          <w:rFonts w:hint="eastAsia" w:ascii="仿宋_GB2312" w:hAnsi="Times New Roman" w:eastAsia="仿宋_GB2312" w:cs="仿宋_GB2312"/>
          <w:sz w:val="32"/>
          <w:szCs w:val="32"/>
          <w:lang w:val="en-US" w:eastAsia="zh-CN"/>
        </w:rPr>
        <w:t>年中下达城乡义务教育补助经费用于初中教育费用支出。</w:t>
      </w:r>
    </w:p>
    <w:p w14:paraId="321F28D8">
      <w:pPr>
        <w:numPr>
          <w:ilvl w:val="0"/>
          <w:numId w:val="5"/>
        </w:numPr>
        <w:autoSpaceDE w:val="0"/>
        <w:spacing w:line="560" w:lineRule="exact"/>
        <w:ind w:firstLine="640" w:firstLineChars="200"/>
        <w:rPr>
          <w:rFonts w:hint="default" w:ascii="仿宋_GB2312" w:hAnsi="Times New Roman" w:eastAsia="仿宋_GB2312" w:cs="仿宋_GB2312"/>
          <w:sz w:val="32"/>
          <w:szCs w:val="32"/>
        </w:rPr>
      </w:pPr>
      <w:r>
        <w:rPr>
          <w:rFonts w:hint="eastAsia" w:ascii="仿宋_GB2312" w:hAnsi="Times New Roman" w:eastAsia="仿宋_GB2312" w:cs="仿宋_GB2312"/>
          <w:sz w:val="32"/>
          <w:szCs w:val="32"/>
          <w:lang w:val="en-US" w:eastAsia="zh-CN"/>
        </w:rPr>
        <w:t>教育支出（类）普通教育（款）高中教育（项）</w:t>
      </w:r>
      <w:r>
        <w:rPr>
          <w:rFonts w:hint="default" w:ascii="仿宋_GB2312" w:hAnsi="Times New Roman" w:eastAsia="仿宋_GB2312" w:cs="仿宋_GB2312"/>
          <w:sz w:val="32"/>
          <w:szCs w:val="32"/>
        </w:rPr>
        <w:t>年初预算为</w:t>
      </w:r>
      <w:r>
        <w:rPr>
          <w:rFonts w:hint="eastAsia" w:ascii="仿宋_GB2312" w:hAnsi="Times New Roman" w:eastAsia="仿宋_GB2312" w:cs="仿宋_GB2312"/>
          <w:sz w:val="32"/>
          <w:szCs w:val="32"/>
          <w:lang w:val="en-US" w:eastAsia="zh-CN"/>
        </w:rPr>
        <w:t>9010.43</w:t>
      </w:r>
      <w:r>
        <w:rPr>
          <w:rFonts w:hint="default" w:ascii="仿宋_GB2312" w:hAnsi="Times New Roman" w:eastAsia="仿宋_GB2312" w:cs="仿宋_GB2312"/>
          <w:sz w:val="32"/>
          <w:szCs w:val="32"/>
        </w:rPr>
        <w:t>万元，支出决算为</w:t>
      </w:r>
      <w:r>
        <w:rPr>
          <w:rFonts w:hint="eastAsia" w:ascii="仿宋_GB2312" w:hAnsi="Times New Roman" w:eastAsia="仿宋_GB2312" w:cs="仿宋_GB2312"/>
          <w:sz w:val="32"/>
          <w:szCs w:val="32"/>
          <w:lang w:val="en-US" w:eastAsia="zh-CN"/>
        </w:rPr>
        <w:t>13596.95</w:t>
      </w:r>
      <w:r>
        <w:rPr>
          <w:rFonts w:hint="default" w:ascii="仿宋_GB2312" w:hAnsi="Times New Roman" w:eastAsia="仿宋_GB2312" w:cs="仿宋_GB2312"/>
          <w:sz w:val="32"/>
          <w:szCs w:val="32"/>
        </w:rPr>
        <w:t>万元，完成年初预算的</w:t>
      </w:r>
      <w:r>
        <w:rPr>
          <w:rFonts w:hint="eastAsia" w:ascii="仿宋_GB2312" w:hAnsi="Times New Roman" w:eastAsia="仿宋_GB2312" w:cs="仿宋_GB2312"/>
          <w:sz w:val="32"/>
          <w:szCs w:val="32"/>
          <w:lang w:val="en-US" w:eastAsia="zh-CN"/>
        </w:rPr>
        <w:t>150.9</w:t>
      </w:r>
      <w:r>
        <w:rPr>
          <w:rFonts w:hint="default" w:ascii="仿宋_GB2312" w:hAnsi="Times New Roman" w:eastAsia="仿宋_GB2312" w:cs="仿宋_GB2312"/>
          <w:sz w:val="32"/>
          <w:szCs w:val="32"/>
        </w:rPr>
        <w:t>%。决算数大于预算数的主要原因：</w:t>
      </w:r>
      <w:r>
        <w:rPr>
          <w:rFonts w:hint="eastAsia" w:ascii="仿宋_GB2312" w:hAnsi="Times New Roman" w:eastAsia="仿宋_GB2312" w:cs="仿宋_GB2312"/>
          <w:sz w:val="32"/>
          <w:szCs w:val="32"/>
          <w:lang w:val="en-US" w:eastAsia="zh-CN"/>
        </w:rPr>
        <w:t>一是在编在岗人员工资变动，人员经费支出增加；二是下达创办国际学校借款冲抵指标；三是根据学校建设需求，为改善高中办学条件，申请追加修缮、设备购置等款项。</w:t>
      </w:r>
      <w:bookmarkStart w:id="80" w:name="_GoBack"/>
      <w:bookmarkEnd w:id="80"/>
    </w:p>
    <w:p w14:paraId="2A5657DB">
      <w:pPr>
        <w:numPr>
          <w:ilvl w:val="0"/>
          <w:numId w:val="5"/>
        </w:numPr>
        <w:autoSpaceDE w:val="0"/>
        <w:spacing w:line="560" w:lineRule="exact"/>
        <w:ind w:firstLine="640" w:firstLineChars="200"/>
        <w:rPr>
          <w:rFonts w:hint="default" w:ascii="仿宋_GB2312" w:hAnsi="Times New Roman" w:eastAsia="仿宋_GB2312" w:cs="仿宋_GB2312"/>
          <w:sz w:val="32"/>
          <w:szCs w:val="32"/>
        </w:rPr>
      </w:pPr>
      <w:r>
        <w:rPr>
          <w:rFonts w:hint="eastAsia" w:ascii="仿宋_GB2312" w:hAnsi="Times New Roman" w:eastAsia="仿宋_GB2312" w:cs="仿宋_GB2312"/>
          <w:sz w:val="32"/>
          <w:szCs w:val="32"/>
          <w:lang w:val="en-US" w:eastAsia="zh-CN"/>
        </w:rPr>
        <w:t>教育支出（类）普通教育（款）高等教育（项）</w:t>
      </w:r>
      <w:r>
        <w:rPr>
          <w:rFonts w:hint="default" w:ascii="仿宋_GB2312" w:hAnsi="Times New Roman" w:eastAsia="仿宋_GB2312" w:cs="仿宋_GB2312"/>
          <w:sz w:val="32"/>
          <w:szCs w:val="32"/>
        </w:rPr>
        <w:t>年初预算为</w:t>
      </w:r>
      <w:r>
        <w:rPr>
          <w:rFonts w:hint="eastAsia" w:ascii="仿宋_GB2312" w:hAnsi="Times New Roman" w:eastAsia="仿宋_GB2312" w:cs="仿宋_GB2312"/>
          <w:sz w:val="32"/>
          <w:szCs w:val="32"/>
          <w:lang w:val="en-US" w:eastAsia="zh-CN"/>
        </w:rPr>
        <w:t>55.5</w:t>
      </w:r>
      <w:r>
        <w:rPr>
          <w:rFonts w:hint="default" w:ascii="仿宋_GB2312" w:hAnsi="Times New Roman" w:eastAsia="仿宋_GB2312" w:cs="仿宋_GB2312"/>
          <w:sz w:val="32"/>
          <w:szCs w:val="32"/>
        </w:rPr>
        <w:t>万元，支出决算为</w:t>
      </w:r>
      <w:r>
        <w:rPr>
          <w:rFonts w:hint="eastAsia" w:ascii="仿宋_GB2312" w:hAnsi="Times New Roman" w:eastAsia="仿宋_GB2312" w:cs="仿宋_GB2312"/>
          <w:sz w:val="32"/>
          <w:szCs w:val="32"/>
          <w:lang w:val="en-US" w:eastAsia="zh-CN"/>
        </w:rPr>
        <w:t>11.33</w:t>
      </w:r>
      <w:r>
        <w:rPr>
          <w:rFonts w:hint="default" w:ascii="仿宋_GB2312" w:hAnsi="Times New Roman" w:eastAsia="仿宋_GB2312" w:cs="仿宋_GB2312"/>
          <w:sz w:val="32"/>
          <w:szCs w:val="32"/>
        </w:rPr>
        <w:t>万元，完成年初预算的</w:t>
      </w:r>
      <w:r>
        <w:rPr>
          <w:rFonts w:hint="eastAsia" w:ascii="仿宋_GB2312" w:hAnsi="Times New Roman" w:eastAsia="仿宋_GB2312" w:cs="仿宋_GB2312"/>
          <w:sz w:val="32"/>
          <w:szCs w:val="32"/>
          <w:lang w:val="en-US" w:eastAsia="zh-CN"/>
        </w:rPr>
        <w:t>20.41</w:t>
      </w:r>
      <w:r>
        <w:rPr>
          <w:rFonts w:hint="default" w:ascii="仿宋_GB2312" w:hAnsi="Times New Roman" w:eastAsia="仿宋_GB2312" w:cs="仿宋_GB2312"/>
          <w:sz w:val="32"/>
          <w:szCs w:val="32"/>
        </w:rPr>
        <w:t>%。决算数</w:t>
      </w:r>
      <w:r>
        <w:rPr>
          <w:rFonts w:hint="eastAsia" w:ascii="仿宋_GB2312" w:hAnsi="Times New Roman" w:eastAsia="仿宋_GB2312" w:cs="仿宋_GB2312"/>
          <w:sz w:val="32"/>
          <w:szCs w:val="32"/>
          <w:lang w:val="en-US" w:eastAsia="zh-CN"/>
        </w:rPr>
        <w:t>小</w:t>
      </w:r>
      <w:r>
        <w:rPr>
          <w:rFonts w:hint="default" w:ascii="仿宋_GB2312" w:hAnsi="Times New Roman" w:eastAsia="仿宋_GB2312" w:cs="仿宋_GB2312"/>
          <w:sz w:val="32"/>
          <w:szCs w:val="32"/>
        </w:rPr>
        <w:t>于预算数的主要原因：</w:t>
      </w:r>
      <w:r>
        <w:rPr>
          <w:rFonts w:hint="eastAsia" w:ascii="仿宋_GB2312" w:hAnsi="Times New Roman" w:eastAsia="仿宋_GB2312" w:cs="仿宋_GB2312"/>
          <w:sz w:val="32"/>
          <w:szCs w:val="32"/>
          <w:lang w:val="en-US" w:eastAsia="zh-CN"/>
        </w:rPr>
        <w:t>该预算为民族生专项补助，需根据在校民族生实际人数列支，故决算数小于预算数</w:t>
      </w:r>
    </w:p>
    <w:p w14:paraId="581B8D09">
      <w:pPr>
        <w:numPr>
          <w:ilvl w:val="0"/>
          <w:numId w:val="5"/>
        </w:numPr>
        <w:autoSpaceDE w:val="0"/>
        <w:spacing w:line="560" w:lineRule="exact"/>
        <w:ind w:firstLine="640" w:firstLineChars="200"/>
        <w:rPr>
          <w:rFonts w:hint="default" w:ascii="仿宋_GB2312" w:hAnsi="Times New Roman" w:eastAsia="仿宋_GB2312" w:cs="仿宋_GB2312"/>
          <w:sz w:val="32"/>
          <w:szCs w:val="32"/>
        </w:rPr>
      </w:pPr>
      <w:r>
        <w:rPr>
          <w:rFonts w:hint="eastAsia" w:ascii="仿宋_GB2312" w:hAnsi="Times New Roman" w:eastAsia="仿宋_GB2312" w:cs="仿宋_GB2312"/>
          <w:sz w:val="32"/>
          <w:szCs w:val="32"/>
          <w:lang w:val="en-US" w:eastAsia="zh-CN"/>
        </w:rPr>
        <w:t>社会保障和就业支出（类）行政事业单位养老支出（款）事业单位离退休（项）</w:t>
      </w:r>
      <w:r>
        <w:rPr>
          <w:rFonts w:hint="default" w:ascii="仿宋_GB2312" w:hAnsi="Times New Roman" w:eastAsia="仿宋_GB2312" w:cs="仿宋_GB2312"/>
          <w:sz w:val="32"/>
          <w:szCs w:val="32"/>
        </w:rPr>
        <w:t>年初预算为</w:t>
      </w:r>
      <w:r>
        <w:rPr>
          <w:rFonts w:hint="eastAsia" w:ascii="仿宋_GB2312" w:hAnsi="Times New Roman" w:eastAsia="仿宋_GB2312" w:cs="仿宋_GB2312"/>
          <w:sz w:val="32"/>
          <w:szCs w:val="32"/>
          <w:lang w:val="en-US" w:eastAsia="zh-CN"/>
        </w:rPr>
        <w:t>2.64</w:t>
      </w:r>
      <w:r>
        <w:rPr>
          <w:rFonts w:hint="default" w:ascii="仿宋_GB2312" w:hAnsi="Times New Roman" w:eastAsia="仿宋_GB2312" w:cs="仿宋_GB2312"/>
          <w:sz w:val="32"/>
          <w:szCs w:val="32"/>
        </w:rPr>
        <w:t>万元，支出决算为</w:t>
      </w:r>
      <w:r>
        <w:rPr>
          <w:rFonts w:hint="eastAsia" w:ascii="仿宋_GB2312" w:hAnsi="Times New Roman" w:eastAsia="仿宋_GB2312" w:cs="仿宋_GB2312"/>
          <w:sz w:val="32"/>
          <w:szCs w:val="32"/>
          <w:lang w:val="en-US" w:eastAsia="zh-CN"/>
        </w:rPr>
        <w:t>0</w:t>
      </w:r>
      <w:r>
        <w:rPr>
          <w:rFonts w:hint="default" w:ascii="仿宋_GB2312" w:hAnsi="Times New Roman" w:eastAsia="仿宋_GB2312" w:cs="仿宋_GB2312"/>
          <w:sz w:val="32"/>
          <w:szCs w:val="32"/>
        </w:rPr>
        <w:t>万元，完成年初预算的</w:t>
      </w:r>
      <w:r>
        <w:rPr>
          <w:rFonts w:hint="eastAsia" w:ascii="仿宋_GB2312" w:hAnsi="Times New Roman" w:eastAsia="仿宋_GB2312" w:cs="仿宋_GB2312"/>
          <w:sz w:val="32"/>
          <w:szCs w:val="32"/>
          <w:lang w:val="en-US" w:eastAsia="zh-CN"/>
        </w:rPr>
        <w:t>0</w:t>
      </w:r>
      <w:r>
        <w:rPr>
          <w:rFonts w:hint="default" w:ascii="仿宋_GB2312" w:hAnsi="Times New Roman" w:eastAsia="仿宋_GB2312" w:cs="仿宋_GB2312"/>
          <w:sz w:val="32"/>
          <w:szCs w:val="32"/>
        </w:rPr>
        <w:t>%。决算数</w:t>
      </w:r>
      <w:r>
        <w:rPr>
          <w:rFonts w:hint="eastAsia" w:ascii="仿宋_GB2312" w:hAnsi="Times New Roman" w:eastAsia="仿宋_GB2312" w:cs="仿宋_GB2312"/>
          <w:sz w:val="32"/>
          <w:szCs w:val="32"/>
          <w:lang w:val="en-US" w:eastAsia="zh-CN"/>
        </w:rPr>
        <w:t>小</w:t>
      </w:r>
      <w:r>
        <w:rPr>
          <w:rFonts w:hint="default" w:ascii="仿宋_GB2312" w:hAnsi="Times New Roman" w:eastAsia="仿宋_GB2312" w:cs="仿宋_GB2312"/>
          <w:sz w:val="32"/>
          <w:szCs w:val="32"/>
        </w:rPr>
        <w:t>于预算数的主要原因：</w:t>
      </w:r>
      <w:r>
        <w:rPr>
          <w:rFonts w:hint="eastAsia" w:ascii="仿宋_GB2312" w:hAnsi="Times New Roman" w:eastAsia="仿宋_GB2312" w:cs="仿宋_GB2312"/>
          <w:sz w:val="32"/>
          <w:szCs w:val="32"/>
          <w:lang w:val="en-US" w:eastAsia="zh-CN"/>
        </w:rPr>
        <w:t>本年度未发生此项支出。</w:t>
      </w:r>
    </w:p>
    <w:p w14:paraId="72F4763B">
      <w:pPr>
        <w:numPr>
          <w:ilvl w:val="0"/>
          <w:numId w:val="5"/>
        </w:numPr>
        <w:autoSpaceDE w:val="0"/>
        <w:spacing w:line="560" w:lineRule="exact"/>
        <w:ind w:firstLine="640" w:firstLineChars="200"/>
        <w:rPr>
          <w:rFonts w:hint="default" w:ascii="仿宋_GB2312" w:hAnsi="Times New Roman" w:eastAsia="仿宋_GB2312" w:cs="仿宋_GB2312"/>
          <w:sz w:val="32"/>
          <w:szCs w:val="32"/>
        </w:rPr>
      </w:pPr>
      <w:r>
        <w:rPr>
          <w:rFonts w:hint="eastAsia" w:ascii="仿宋_GB2312" w:hAnsi="Times New Roman" w:eastAsia="仿宋_GB2312" w:cs="仿宋_GB2312"/>
          <w:sz w:val="32"/>
          <w:szCs w:val="32"/>
          <w:lang w:val="en-US" w:eastAsia="zh-CN"/>
        </w:rPr>
        <w:t>社会保障和就业支出（类）行政事业单位养老支出（款）机关事业单位基本养老保险缴费支出（项）</w:t>
      </w:r>
      <w:r>
        <w:rPr>
          <w:rFonts w:hint="default" w:ascii="仿宋_GB2312" w:hAnsi="Times New Roman" w:eastAsia="仿宋_GB2312" w:cs="仿宋_GB2312"/>
          <w:sz w:val="32"/>
          <w:szCs w:val="32"/>
        </w:rPr>
        <w:t>年初预算为</w:t>
      </w:r>
      <w:r>
        <w:rPr>
          <w:rFonts w:hint="eastAsia" w:ascii="仿宋_GB2312" w:hAnsi="Times New Roman" w:eastAsia="仿宋_GB2312" w:cs="仿宋_GB2312"/>
          <w:sz w:val="32"/>
          <w:szCs w:val="32"/>
          <w:lang w:val="en-US" w:eastAsia="zh-CN"/>
        </w:rPr>
        <w:t>832.23</w:t>
      </w:r>
      <w:r>
        <w:rPr>
          <w:rFonts w:hint="default" w:ascii="仿宋_GB2312" w:hAnsi="Times New Roman" w:eastAsia="仿宋_GB2312" w:cs="仿宋_GB2312"/>
          <w:sz w:val="32"/>
          <w:szCs w:val="32"/>
        </w:rPr>
        <w:t>万元，支出决算为</w:t>
      </w:r>
      <w:r>
        <w:rPr>
          <w:rFonts w:hint="eastAsia" w:ascii="仿宋_GB2312" w:hAnsi="Times New Roman" w:eastAsia="仿宋_GB2312" w:cs="仿宋_GB2312"/>
          <w:sz w:val="32"/>
          <w:szCs w:val="32"/>
          <w:lang w:val="en-US" w:eastAsia="zh-CN"/>
        </w:rPr>
        <w:t>824.3</w:t>
      </w:r>
      <w:r>
        <w:rPr>
          <w:rFonts w:hint="default" w:ascii="仿宋_GB2312" w:hAnsi="Times New Roman" w:eastAsia="仿宋_GB2312" w:cs="仿宋_GB2312"/>
          <w:sz w:val="32"/>
          <w:szCs w:val="32"/>
        </w:rPr>
        <w:t>万元，完成年初预算的</w:t>
      </w:r>
      <w:r>
        <w:rPr>
          <w:rFonts w:hint="eastAsia" w:ascii="仿宋_GB2312" w:hAnsi="Times New Roman" w:eastAsia="仿宋_GB2312" w:cs="仿宋_GB2312"/>
          <w:sz w:val="32"/>
          <w:szCs w:val="32"/>
          <w:lang w:val="en-US" w:eastAsia="zh-CN"/>
        </w:rPr>
        <w:t>99.04</w:t>
      </w:r>
      <w:r>
        <w:rPr>
          <w:rFonts w:hint="default" w:ascii="仿宋_GB2312" w:hAnsi="Times New Roman" w:eastAsia="仿宋_GB2312" w:cs="仿宋_GB2312"/>
          <w:sz w:val="32"/>
          <w:szCs w:val="32"/>
        </w:rPr>
        <w:t>%。决算数</w:t>
      </w:r>
      <w:r>
        <w:rPr>
          <w:rFonts w:hint="eastAsia" w:ascii="仿宋_GB2312" w:hAnsi="Times New Roman" w:eastAsia="仿宋_GB2312" w:cs="仿宋_GB2312"/>
          <w:sz w:val="32"/>
          <w:szCs w:val="32"/>
          <w:lang w:val="en-US" w:eastAsia="zh-CN"/>
        </w:rPr>
        <w:t>小</w:t>
      </w:r>
      <w:r>
        <w:rPr>
          <w:rFonts w:hint="default" w:ascii="仿宋_GB2312" w:hAnsi="Times New Roman" w:eastAsia="仿宋_GB2312" w:cs="仿宋_GB2312"/>
          <w:sz w:val="32"/>
          <w:szCs w:val="32"/>
        </w:rPr>
        <w:t>于预算数的主要原因：</w:t>
      </w:r>
      <w:r>
        <w:rPr>
          <w:rFonts w:hint="eastAsia" w:ascii="仿宋_GB2312" w:hAnsi="Times New Roman" w:eastAsia="仿宋_GB2312" w:cs="仿宋_GB2312"/>
          <w:sz w:val="32"/>
          <w:szCs w:val="32"/>
          <w:lang w:val="en-US" w:eastAsia="zh-CN"/>
        </w:rPr>
        <w:t>根据在编在岗人员实缴养老保险缴费支出。</w:t>
      </w:r>
    </w:p>
    <w:p w14:paraId="1AB5484E">
      <w:pPr>
        <w:numPr>
          <w:ilvl w:val="0"/>
          <w:numId w:val="5"/>
        </w:numPr>
        <w:autoSpaceDE w:val="0"/>
        <w:spacing w:line="560" w:lineRule="exact"/>
        <w:ind w:firstLine="640" w:firstLineChars="200"/>
        <w:rPr>
          <w:rFonts w:hint="default" w:ascii="仿宋_GB2312" w:hAnsi="Times New Roman" w:eastAsia="仿宋_GB2312" w:cs="仿宋_GB2312"/>
          <w:sz w:val="32"/>
          <w:szCs w:val="32"/>
        </w:rPr>
      </w:pPr>
      <w:r>
        <w:rPr>
          <w:rFonts w:hint="eastAsia" w:ascii="仿宋_GB2312" w:hAnsi="Times New Roman" w:eastAsia="仿宋_GB2312" w:cs="仿宋_GB2312"/>
          <w:sz w:val="32"/>
          <w:szCs w:val="32"/>
          <w:lang w:val="en-US" w:eastAsia="zh-CN"/>
        </w:rPr>
        <w:t>社会保障和就业支出（类）行政事业单位养老支出（款）机关事业单位职业年金缴费支出（项）</w:t>
      </w:r>
      <w:r>
        <w:rPr>
          <w:rFonts w:hint="default" w:ascii="仿宋_GB2312" w:hAnsi="Times New Roman" w:eastAsia="仿宋_GB2312" w:cs="仿宋_GB2312"/>
          <w:sz w:val="32"/>
          <w:szCs w:val="32"/>
        </w:rPr>
        <w:t>年初预算为</w:t>
      </w:r>
      <w:r>
        <w:rPr>
          <w:rFonts w:hint="eastAsia" w:ascii="仿宋_GB2312" w:hAnsi="Times New Roman" w:eastAsia="仿宋_GB2312" w:cs="仿宋_GB2312"/>
          <w:sz w:val="32"/>
          <w:szCs w:val="32"/>
          <w:lang w:val="en-US" w:eastAsia="zh-CN"/>
        </w:rPr>
        <w:t>126.57</w:t>
      </w:r>
      <w:r>
        <w:rPr>
          <w:rFonts w:hint="default" w:ascii="仿宋_GB2312" w:hAnsi="Times New Roman" w:eastAsia="仿宋_GB2312" w:cs="仿宋_GB2312"/>
          <w:sz w:val="32"/>
          <w:szCs w:val="32"/>
        </w:rPr>
        <w:t>万元，支出决算为</w:t>
      </w:r>
      <w:r>
        <w:rPr>
          <w:rFonts w:hint="eastAsia" w:ascii="仿宋_GB2312" w:hAnsi="Times New Roman" w:eastAsia="仿宋_GB2312" w:cs="仿宋_GB2312"/>
          <w:sz w:val="32"/>
          <w:szCs w:val="32"/>
          <w:lang w:val="en-US" w:eastAsia="zh-CN"/>
        </w:rPr>
        <w:t>102.77</w:t>
      </w:r>
      <w:r>
        <w:rPr>
          <w:rFonts w:hint="default" w:ascii="仿宋_GB2312" w:hAnsi="Times New Roman" w:eastAsia="仿宋_GB2312" w:cs="仿宋_GB2312"/>
          <w:sz w:val="32"/>
          <w:szCs w:val="32"/>
        </w:rPr>
        <w:t>万元，完成年初预算的</w:t>
      </w:r>
      <w:r>
        <w:rPr>
          <w:rFonts w:hint="eastAsia" w:ascii="仿宋_GB2312" w:hAnsi="Times New Roman" w:eastAsia="仿宋_GB2312" w:cs="仿宋_GB2312"/>
          <w:sz w:val="32"/>
          <w:szCs w:val="32"/>
          <w:lang w:val="en-US" w:eastAsia="zh-CN"/>
        </w:rPr>
        <w:t>81.19</w:t>
      </w:r>
      <w:r>
        <w:rPr>
          <w:rFonts w:hint="default" w:ascii="仿宋_GB2312" w:hAnsi="Times New Roman" w:eastAsia="仿宋_GB2312" w:cs="仿宋_GB2312"/>
          <w:sz w:val="32"/>
          <w:szCs w:val="32"/>
        </w:rPr>
        <w:t>%。决算数</w:t>
      </w:r>
      <w:r>
        <w:rPr>
          <w:rFonts w:hint="eastAsia" w:ascii="仿宋_GB2312" w:hAnsi="Times New Roman" w:eastAsia="仿宋_GB2312" w:cs="仿宋_GB2312"/>
          <w:sz w:val="32"/>
          <w:szCs w:val="32"/>
          <w:lang w:val="en-US" w:eastAsia="zh-CN"/>
        </w:rPr>
        <w:t>小</w:t>
      </w:r>
      <w:r>
        <w:rPr>
          <w:rFonts w:hint="default" w:ascii="仿宋_GB2312" w:hAnsi="Times New Roman" w:eastAsia="仿宋_GB2312" w:cs="仿宋_GB2312"/>
          <w:sz w:val="32"/>
          <w:szCs w:val="32"/>
        </w:rPr>
        <w:t>于预算数的主要原因：</w:t>
      </w:r>
      <w:r>
        <w:rPr>
          <w:rFonts w:hint="eastAsia" w:ascii="仿宋_GB2312" w:hAnsi="Times New Roman" w:eastAsia="仿宋_GB2312" w:cs="仿宋_GB2312"/>
          <w:sz w:val="32"/>
          <w:szCs w:val="32"/>
          <w:lang w:val="en-US" w:eastAsia="zh-CN"/>
        </w:rPr>
        <w:t>根据在编在岗人员实缴职业年金缴费支出。</w:t>
      </w:r>
    </w:p>
    <w:p w14:paraId="5BA95AFC">
      <w:pPr>
        <w:numPr>
          <w:ilvl w:val="0"/>
          <w:numId w:val="5"/>
        </w:numPr>
        <w:autoSpaceDE w:val="0"/>
        <w:spacing w:line="560" w:lineRule="exact"/>
        <w:ind w:firstLine="640" w:firstLineChars="200"/>
        <w:rPr>
          <w:rFonts w:hint="default" w:ascii="仿宋_GB2312" w:hAnsi="Times New Roman" w:eastAsia="仿宋_GB2312" w:cs="仿宋_GB2312"/>
          <w:sz w:val="32"/>
          <w:szCs w:val="32"/>
        </w:rPr>
      </w:pPr>
      <w:r>
        <w:rPr>
          <w:rFonts w:hint="eastAsia" w:ascii="仿宋_GB2312" w:hAnsi="Times New Roman" w:eastAsia="仿宋_GB2312" w:cs="仿宋_GB2312"/>
          <w:sz w:val="32"/>
          <w:szCs w:val="32"/>
          <w:lang w:val="en-US" w:eastAsia="zh-CN"/>
        </w:rPr>
        <w:t>社会保障和就业支出（类）抚恤（款）其他优抚支出（项）</w:t>
      </w:r>
      <w:r>
        <w:rPr>
          <w:rFonts w:hint="default" w:ascii="仿宋_GB2312" w:hAnsi="Times New Roman" w:eastAsia="仿宋_GB2312" w:cs="仿宋_GB2312"/>
          <w:sz w:val="32"/>
          <w:szCs w:val="32"/>
        </w:rPr>
        <w:t>年初预算为</w:t>
      </w:r>
      <w:r>
        <w:rPr>
          <w:rFonts w:hint="eastAsia" w:ascii="仿宋_GB2312" w:hAnsi="Times New Roman" w:eastAsia="仿宋_GB2312" w:cs="仿宋_GB2312"/>
          <w:sz w:val="32"/>
          <w:szCs w:val="32"/>
          <w:lang w:val="en-US" w:eastAsia="zh-CN"/>
        </w:rPr>
        <w:t>4.21</w:t>
      </w:r>
      <w:r>
        <w:rPr>
          <w:rFonts w:hint="default" w:ascii="仿宋_GB2312" w:hAnsi="Times New Roman" w:eastAsia="仿宋_GB2312" w:cs="仿宋_GB2312"/>
          <w:sz w:val="32"/>
          <w:szCs w:val="32"/>
        </w:rPr>
        <w:t>万元，支出决算为</w:t>
      </w:r>
      <w:r>
        <w:rPr>
          <w:rFonts w:hint="eastAsia" w:ascii="仿宋_GB2312" w:hAnsi="Times New Roman" w:eastAsia="仿宋_GB2312" w:cs="仿宋_GB2312"/>
          <w:sz w:val="32"/>
          <w:szCs w:val="32"/>
          <w:lang w:val="en-US" w:eastAsia="zh-CN"/>
        </w:rPr>
        <w:t>4.21</w:t>
      </w:r>
      <w:r>
        <w:rPr>
          <w:rFonts w:hint="default" w:ascii="仿宋_GB2312" w:hAnsi="Times New Roman" w:eastAsia="仿宋_GB2312" w:cs="仿宋_GB2312"/>
          <w:sz w:val="32"/>
          <w:szCs w:val="32"/>
        </w:rPr>
        <w:t>万元，完成年初预算的</w:t>
      </w:r>
      <w:r>
        <w:rPr>
          <w:rFonts w:hint="eastAsia" w:ascii="仿宋_GB2312" w:hAnsi="Times New Roman" w:eastAsia="仿宋_GB2312" w:cs="仿宋_GB2312"/>
          <w:sz w:val="32"/>
          <w:szCs w:val="32"/>
          <w:lang w:val="en-US" w:eastAsia="zh-CN"/>
        </w:rPr>
        <w:t>100</w:t>
      </w:r>
      <w:r>
        <w:rPr>
          <w:rFonts w:hint="default" w:ascii="仿宋_GB2312" w:hAnsi="Times New Roman" w:eastAsia="仿宋_GB2312" w:cs="仿宋_GB2312"/>
          <w:sz w:val="32"/>
          <w:szCs w:val="32"/>
        </w:rPr>
        <w:t>%。决算数</w:t>
      </w:r>
      <w:r>
        <w:rPr>
          <w:rFonts w:hint="eastAsia" w:ascii="仿宋_GB2312" w:hAnsi="Times New Roman" w:eastAsia="仿宋_GB2312" w:cs="仿宋_GB2312"/>
          <w:sz w:val="32"/>
          <w:szCs w:val="32"/>
          <w:lang w:val="en-US" w:eastAsia="zh-CN"/>
        </w:rPr>
        <w:t>等</w:t>
      </w:r>
      <w:r>
        <w:rPr>
          <w:rFonts w:hint="default" w:ascii="仿宋_GB2312" w:hAnsi="Times New Roman" w:eastAsia="仿宋_GB2312" w:cs="仿宋_GB2312"/>
          <w:sz w:val="32"/>
          <w:szCs w:val="32"/>
        </w:rPr>
        <w:t>于预算数的主要原因：</w:t>
      </w:r>
      <w:r>
        <w:rPr>
          <w:rFonts w:hint="eastAsia" w:ascii="仿宋_GB2312" w:hAnsi="Times New Roman" w:eastAsia="仿宋_GB2312" w:cs="仿宋_GB2312"/>
          <w:sz w:val="32"/>
          <w:szCs w:val="32"/>
          <w:lang w:val="en-US" w:eastAsia="zh-CN"/>
        </w:rPr>
        <w:t>按月按标准发放遗属生活补助。</w:t>
      </w:r>
    </w:p>
    <w:p w14:paraId="5A79619C">
      <w:pPr>
        <w:numPr>
          <w:ilvl w:val="0"/>
          <w:numId w:val="5"/>
        </w:numPr>
        <w:autoSpaceDE w:val="0"/>
        <w:spacing w:line="560" w:lineRule="exact"/>
        <w:ind w:firstLine="640" w:firstLineChars="200"/>
        <w:rPr>
          <w:rFonts w:hint="default" w:ascii="仿宋_GB2312" w:hAnsi="Times New Roman" w:eastAsia="仿宋_GB2312" w:cs="仿宋_GB2312"/>
          <w:sz w:val="32"/>
          <w:szCs w:val="32"/>
        </w:rPr>
      </w:pPr>
      <w:r>
        <w:rPr>
          <w:rFonts w:hint="eastAsia" w:ascii="仿宋_GB2312" w:hAnsi="Times New Roman" w:eastAsia="仿宋_GB2312" w:cs="仿宋_GB2312"/>
          <w:sz w:val="32"/>
          <w:szCs w:val="32"/>
          <w:lang w:val="en-US" w:eastAsia="zh-CN"/>
        </w:rPr>
        <w:t>卫生健康支出（类）行政事业单位医疗（款）事业单位医疗（项）</w:t>
      </w:r>
      <w:r>
        <w:rPr>
          <w:rFonts w:hint="default" w:ascii="仿宋_GB2312" w:hAnsi="Times New Roman" w:eastAsia="仿宋_GB2312" w:cs="仿宋_GB2312"/>
          <w:sz w:val="32"/>
          <w:szCs w:val="32"/>
        </w:rPr>
        <w:t>年初预算为</w:t>
      </w:r>
      <w:r>
        <w:rPr>
          <w:rFonts w:hint="eastAsia" w:ascii="仿宋_GB2312" w:hAnsi="Times New Roman" w:eastAsia="仿宋_GB2312" w:cs="仿宋_GB2312"/>
          <w:sz w:val="32"/>
          <w:szCs w:val="32"/>
          <w:lang w:val="en-US" w:eastAsia="zh-CN"/>
        </w:rPr>
        <w:t>442.12</w:t>
      </w:r>
      <w:r>
        <w:rPr>
          <w:rFonts w:hint="default" w:ascii="仿宋_GB2312" w:hAnsi="Times New Roman" w:eastAsia="仿宋_GB2312" w:cs="仿宋_GB2312"/>
          <w:sz w:val="32"/>
          <w:szCs w:val="32"/>
        </w:rPr>
        <w:t>万元，支出决算为</w:t>
      </w:r>
      <w:r>
        <w:rPr>
          <w:rFonts w:hint="eastAsia" w:ascii="仿宋_GB2312" w:hAnsi="Times New Roman" w:eastAsia="仿宋_GB2312" w:cs="仿宋_GB2312"/>
          <w:sz w:val="32"/>
          <w:szCs w:val="32"/>
          <w:lang w:val="en-US" w:eastAsia="zh-CN"/>
        </w:rPr>
        <w:t>442.12</w:t>
      </w:r>
      <w:r>
        <w:rPr>
          <w:rFonts w:hint="default" w:ascii="仿宋_GB2312" w:hAnsi="Times New Roman" w:eastAsia="仿宋_GB2312" w:cs="仿宋_GB2312"/>
          <w:sz w:val="32"/>
          <w:szCs w:val="32"/>
        </w:rPr>
        <w:t>万元，完成年初预算的</w:t>
      </w:r>
      <w:r>
        <w:rPr>
          <w:rFonts w:hint="eastAsia" w:ascii="仿宋_GB2312" w:hAnsi="Times New Roman" w:eastAsia="仿宋_GB2312" w:cs="仿宋_GB2312"/>
          <w:sz w:val="32"/>
          <w:szCs w:val="32"/>
          <w:lang w:val="en-US" w:eastAsia="zh-CN"/>
        </w:rPr>
        <w:t>100</w:t>
      </w:r>
      <w:r>
        <w:rPr>
          <w:rFonts w:hint="default" w:ascii="仿宋_GB2312" w:hAnsi="Times New Roman" w:eastAsia="仿宋_GB2312" w:cs="仿宋_GB2312"/>
          <w:sz w:val="32"/>
          <w:szCs w:val="32"/>
        </w:rPr>
        <w:t>%。决算数</w:t>
      </w:r>
      <w:r>
        <w:rPr>
          <w:rFonts w:hint="eastAsia" w:ascii="仿宋_GB2312" w:hAnsi="Times New Roman" w:eastAsia="仿宋_GB2312" w:cs="仿宋_GB2312"/>
          <w:sz w:val="32"/>
          <w:szCs w:val="32"/>
          <w:lang w:val="en-US" w:eastAsia="zh-CN"/>
        </w:rPr>
        <w:t>等</w:t>
      </w:r>
      <w:r>
        <w:rPr>
          <w:rFonts w:hint="default" w:ascii="仿宋_GB2312" w:hAnsi="Times New Roman" w:eastAsia="仿宋_GB2312" w:cs="仿宋_GB2312"/>
          <w:sz w:val="32"/>
          <w:szCs w:val="32"/>
        </w:rPr>
        <w:t>于预算数的主要原因：</w:t>
      </w:r>
      <w:r>
        <w:rPr>
          <w:rFonts w:hint="eastAsia" w:ascii="仿宋_GB2312" w:hAnsi="Times New Roman" w:eastAsia="仿宋_GB2312" w:cs="仿宋_GB2312"/>
          <w:sz w:val="32"/>
          <w:szCs w:val="32"/>
          <w:lang w:val="en-US" w:eastAsia="zh-CN"/>
        </w:rPr>
        <w:t>根据在编在岗人员实缴医疗保险缴费支出。</w:t>
      </w:r>
    </w:p>
    <w:p w14:paraId="71A2B00C">
      <w:pPr>
        <w:numPr>
          <w:ilvl w:val="0"/>
          <w:numId w:val="5"/>
        </w:numPr>
        <w:autoSpaceDE w:val="0"/>
        <w:spacing w:line="560" w:lineRule="exact"/>
        <w:ind w:firstLine="640" w:firstLineChars="200"/>
        <w:rPr>
          <w:rFonts w:hint="default" w:ascii="仿宋_GB2312" w:hAnsi="Times New Roman" w:eastAsia="仿宋_GB2312" w:cs="仿宋_GB2312"/>
          <w:sz w:val="32"/>
          <w:szCs w:val="32"/>
        </w:rPr>
      </w:pPr>
      <w:r>
        <w:rPr>
          <w:rFonts w:hint="eastAsia" w:ascii="仿宋_GB2312" w:hAnsi="Times New Roman" w:eastAsia="仿宋_GB2312" w:cs="仿宋_GB2312"/>
          <w:sz w:val="32"/>
          <w:szCs w:val="32"/>
          <w:lang w:val="en-US" w:eastAsia="zh-CN"/>
        </w:rPr>
        <w:t>住房保障支出（类）住房改革支出（款）住房公积金（项）</w:t>
      </w:r>
      <w:r>
        <w:rPr>
          <w:rFonts w:hint="default" w:ascii="仿宋_GB2312" w:hAnsi="Times New Roman" w:eastAsia="仿宋_GB2312" w:cs="仿宋_GB2312"/>
          <w:sz w:val="32"/>
          <w:szCs w:val="32"/>
        </w:rPr>
        <w:t>年初预算为</w:t>
      </w:r>
      <w:r>
        <w:rPr>
          <w:rFonts w:hint="eastAsia" w:ascii="仿宋_GB2312" w:hAnsi="Times New Roman" w:eastAsia="仿宋_GB2312" w:cs="仿宋_GB2312"/>
          <w:sz w:val="32"/>
          <w:szCs w:val="32"/>
          <w:lang w:val="en-US" w:eastAsia="zh-CN"/>
        </w:rPr>
        <w:t>646.51</w:t>
      </w:r>
      <w:r>
        <w:rPr>
          <w:rFonts w:hint="default" w:ascii="仿宋_GB2312" w:hAnsi="Times New Roman" w:eastAsia="仿宋_GB2312" w:cs="仿宋_GB2312"/>
          <w:sz w:val="32"/>
          <w:szCs w:val="32"/>
        </w:rPr>
        <w:t>万元，支出决算为</w:t>
      </w:r>
      <w:r>
        <w:rPr>
          <w:rFonts w:hint="eastAsia" w:ascii="仿宋_GB2312" w:hAnsi="Times New Roman" w:eastAsia="仿宋_GB2312" w:cs="仿宋_GB2312"/>
          <w:sz w:val="32"/>
          <w:szCs w:val="32"/>
          <w:lang w:val="en-US" w:eastAsia="zh-CN"/>
        </w:rPr>
        <w:t>640.11</w:t>
      </w:r>
      <w:r>
        <w:rPr>
          <w:rFonts w:hint="default" w:ascii="仿宋_GB2312" w:hAnsi="Times New Roman" w:eastAsia="仿宋_GB2312" w:cs="仿宋_GB2312"/>
          <w:sz w:val="32"/>
          <w:szCs w:val="32"/>
        </w:rPr>
        <w:t>万元，完成年初预算的</w:t>
      </w:r>
      <w:r>
        <w:rPr>
          <w:rFonts w:hint="eastAsia" w:ascii="仿宋_GB2312" w:hAnsi="Times New Roman" w:eastAsia="仿宋_GB2312" w:cs="仿宋_GB2312"/>
          <w:sz w:val="32"/>
          <w:szCs w:val="32"/>
          <w:lang w:val="en-US" w:eastAsia="zh-CN"/>
        </w:rPr>
        <w:t>99.01</w:t>
      </w:r>
      <w:r>
        <w:rPr>
          <w:rFonts w:hint="default" w:ascii="仿宋_GB2312" w:hAnsi="Times New Roman" w:eastAsia="仿宋_GB2312" w:cs="仿宋_GB2312"/>
          <w:sz w:val="32"/>
          <w:szCs w:val="32"/>
        </w:rPr>
        <w:t>%。决算数</w:t>
      </w:r>
      <w:r>
        <w:rPr>
          <w:rFonts w:hint="eastAsia" w:ascii="仿宋_GB2312" w:hAnsi="Times New Roman" w:eastAsia="仿宋_GB2312" w:cs="仿宋_GB2312"/>
          <w:sz w:val="32"/>
          <w:szCs w:val="32"/>
          <w:lang w:val="en-US" w:eastAsia="zh-CN"/>
        </w:rPr>
        <w:t>小</w:t>
      </w:r>
      <w:r>
        <w:rPr>
          <w:rFonts w:hint="default" w:ascii="仿宋_GB2312" w:hAnsi="Times New Roman" w:eastAsia="仿宋_GB2312" w:cs="仿宋_GB2312"/>
          <w:sz w:val="32"/>
          <w:szCs w:val="32"/>
        </w:rPr>
        <w:t>于预算数的主要原因：</w:t>
      </w:r>
      <w:r>
        <w:rPr>
          <w:rFonts w:hint="eastAsia" w:ascii="仿宋_GB2312" w:hAnsi="Times New Roman" w:eastAsia="仿宋_GB2312" w:cs="仿宋_GB2312"/>
          <w:sz w:val="32"/>
          <w:szCs w:val="32"/>
          <w:lang w:val="en-US" w:eastAsia="zh-CN"/>
        </w:rPr>
        <w:t>根据在编在岗人员实缴住房公积金缴费支出。</w:t>
      </w:r>
    </w:p>
    <w:p w14:paraId="045FF2B3">
      <w:pPr>
        <w:autoSpaceDE w:val="0"/>
        <w:spacing w:line="560" w:lineRule="exact"/>
        <w:ind w:firstLine="640" w:firstLineChars="200"/>
        <w:rPr>
          <w:rFonts w:hint="default" w:ascii="仿宋_GB2312" w:hAnsi="Times New Roman" w:eastAsia="仿宋_GB2312" w:cs="仿宋_GB2312"/>
          <w:sz w:val="32"/>
          <w:szCs w:val="32"/>
        </w:rPr>
      </w:pPr>
      <w:r>
        <w:rPr>
          <w:rFonts w:ascii="黑体" w:eastAsia="黑体" w:cs="黑体"/>
          <w:bCs/>
          <w:sz w:val="32"/>
          <w:szCs w:val="32"/>
        </w:rPr>
        <w:t>六、一般公共预算财政拨款基本支出决算情况说明。</w:t>
      </w:r>
    </w:p>
    <w:p w14:paraId="70CBF1E6">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2021年度财政拨款基本支出9839.47万元，其中：人员经费9235.92万元，主要包括：基本工资、津贴补贴、奖金、社会保障缴费、伙食费、伙食补助费、绩效工资、其他工资福利支出等、离休费、退休费、退职（役）费、抚恤金、生活补助、救济费、医疗费、助学金、奖励金、生产补贴、住房公积金、提租补贴、购房补贴、其他对个人和家庭的补助支出等。公用经费 603.54 万元，主要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w:t>
      </w:r>
    </w:p>
    <w:p w14:paraId="05044F6B">
      <w:pPr>
        <w:autoSpaceDE w:val="0"/>
        <w:spacing w:line="560" w:lineRule="exact"/>
        <w:ind w:firstLine="640" w:firstLineChars="200"/>
        <w:rPr>
          <w:rFonts w:hint="default" w:ascii="Times New Roman" w:hAnsi="Times New Roman" w:eastAsia="仿宋_GB2312" w:cs="仿宋_GB2312"/>
          <w:sz w:val="32"/>
          <w:szCs w:val="32"/>
        </w:rPr>
      </w:pPr>
      <w:r>
        <w:rPr>
          <w:rFonts w:ascii="黑体" w:eastAsia="黑体" w:cs="黑体"/>
          <w:bCs/>
          <w:sz w:val="32"/>
          <w:szCs w:val="32"/>
        </w:rPr>
        <w:t>七、政府性基金预算财政拨款支出决算情况说明</w:t>
      </w:r>
    </w:p>
    <w:p w14:paraId="04844FF2">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（一）政府性基金预算财政拨款支出决算总体情况。</w:t>
      </w:r>
    </w:p>
    <w:p w14:paraId="630DF625">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2021年度政府性基金预算财政拨款支出0万元，占本年支出合计的0%。与2020年度相比，政府性基金预算财政拨款支出增加（减少）0万元，增长（下降）100%，主要原因是本年度没有发生政府性基金相关的预算支出数据。</w:t>
      </w:r>
    </w:p>
    <w:p w14:paraId="4D236136">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（二）政府性基金预算财政拨款支出决算结构情况。</w:t>
      </w:r>
    </w:p>
    <w:p w14:paraId="330852F0">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2021年度政府性基金预算财政拨款支出0万元，主要用于以下方面：无（类）支出0万元，占100%；无（类）支出0万元，占100%；无（类）支出0万元，占100%。</w:t>
      </w:r>
    </w:p>
    <w:p w14:paraId="72A0B0D8">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（三）政府性基金预算财政拨款支出决算具体情况。</w:t>
      </w:r>
    </w:p>
    <w:p w14:paraId="1141BF61">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2021年度政府性基金预算财政拨款支出年初预算为0万元，支出决算为0万元，完成年初预算的100%。其中：</w:t>
      </w:r>
    </w:p>
    <w:p w14:paraId="374D3A1D">
      <w:pPr>
        <w:autoSpaceDE w:val="0"/>
        <w:spacing w:line="560" w:lineRule="exact"/>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1.无（类）无（款）无（项）。</w:t>
      </w:r>
    </w:p>
    <w:p w14:paraId="39317EF9">
      <w:pPr>
        <w:autoSpaceDE w:val="0"/>
        <w:spacing w:line="560" w:lineRule="exact"/>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年初预算为0万元，支出决算为0万元，完成年初预算的100%。决算数大于（小于）预算数的主要原因：一是本年度没有发生政府性基金相关的预算支出数据；二是本年度没有发生政府性基金相关的预算支出数据。</w:t>
      </w:r>
    </w:p>
    <w:p w14:paraId="79B31236">
      <w:pPr>
        <w:autoSpaceDE w:val="0"/>
        <w:spacing w:line="560" w:lineRule="exact"/>
        <w:ind w:firstLine="640" w:firstLineChars="200"/>
        <w:rPr>
          <w:rFonts w:hint="default" w:ascii="Times New Roman" w:hAnsi="Times New Roman" w:eastAsia="黑体" w:cs="黑体"/>
          <w:bCs/>
          <w:sz w:val="32"/>
          <w:szCs w:val="32"/>
        </w:rPr>
      </w:pPr>
      <w:r>
        <w:rPr>
          <w:rFonts w:ascii="黑体" w:eastAsia="黑体" w:cs="黑体"/>
          <w:bCs/>
          <w:sz w:val="32"/>
          <w:szCs w:val="32"/>
        </w:rPr>
        <w:t>八、国有资本经营预算财政拨款支出决算情况说明</w:t>
      </w:r>
    </w:p>
    <w:p w14:paraId="452F070A">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一）国有资本经营预算财政拨款支出决算总体情况。2021年度国有资本经营预算财政拨款支出0万元，占本年支出合计的100%。与2020年度相比，国有资本经营预算财政拨款支出增加（减少）0万元，增长（下降）100%，主要原因是本年度没有发生国有资本经营相关的预算支出数据。</w:t>
      </w:r>
    </w:p>
    <w:p w14:paraId="479ECD74">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（二）国有资本经营预算财政拨款支出决算结构情况。</w:t>
      </w:r>
    </w:p>
    <w:p w14:paraId="7DD4FC39">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2021年度国有资本经营预算财政拨款支出0万元，主要用于以下方面：无（类）支出0万元，占100%；无（类）支出0万元，占100%；无（类）支出0万元，占100%。</w:t>
      </w:r>
    </w:p>
    <w:p w14:paraId="7354C6F1">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（三）国有资本经营预算财政拨款支出决算具体情况。</w:t>
      </w:r>
    </w:p>
    <w:p w14:paraId="382C80AA">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2021年度国有资本经营预算财政拨款支出年初预算为0万元，支出决算为0万元，完成年初预算的100%。其中：</w:t>
      </w:r>
    </w:p>
    <w:p w14:paraId="3BF71BEF">
      <w:pPr>
        <w:autoSpaceDE w:val="0"/>
        <w:spacing w:line="560" w:lineRule="exact"/>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1.无（类）无（款）无（项）。</w:t>
      </w:r>
    </w:p>
    <w:p w14:paraId="25420FE1">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年初预算为0万元，支出决算为0万元，完成年初预算的100%。决算数大于（小于）预算数的主要原因：一是本年度没有发生国有资本经营相关的预算支出数据；二是本年度没有发生国有资本经营相关的预算支出数据。</w:t>
      </w:r>
    </w:p>
    <w:p w14:paraId="414A5F42">
      <w:pPr>
        <w:autoSpaceDE w:val="0"/>
        <w:spacing w:line="560" w:lineRule="exact"/>
        <w:ind w:firstLine="640" w:firstLineChars="200"/>
        <w:rPr>
          <w:rFonts w:hint="default" w:ascii="Times New Roman" w:hAnsi="Times New Roman" w:eastAsia="黑体" w:cs="黑体"/>
          <w:bCs/>
          <w:sz w:val="32"/>
          <w:szCs w:val="32"/>
        </w:rPr>
      </w:pPr>
      <w:r>
        <w:rPr>
          <w:rFonts w:ascii="黑体" w:eastAsia="黑体" w:cs="黑体"/>
          <w:bCs/>
          <w:sz w:val="32"/>
          <w:szCs w:val="32"/>
        </w:rPr>
        <w:t>九、一般公共预算财政拨款“三公”经费支出决算情况说明</w:t>
      </w:r>
    </w:p>
    <w:p w14:paraId="7DCE7B9C">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 xml:space="preserve">（一）一般公共预算财政拨款“三公”经费支出决算总体情况说明。 </w:t>
      </w:r>
    </w:p>
    <w:p w14:paraId="1E9AB66C">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 xml:space="preserve">2021年度一般公共预算财政拨款“三公”经费支出预算为 39.90万元，支出决算为0.81万元，完成预算的2.03%。 </w:t>
      </w:r>
    </w:p>
    <w:p w14:paraId="0EA8F392">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 xml:space="preserve">（二）一般公共预算财政拨款“三公”经费支出决算具体情况说明。 </w:t>
      </w:r>
    </w:p>
    <w:p w14:paraId="08B88354">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 xml:space="preserve">2021年度一般公共预算财政拨款“三公”经费支出决算中，因公出国（境）费支出决算0.00万元，占0%；公务用车购置及运行费支出决算0.29万元，占35.8%；公务接待费支出决算0.53万元，占64.2%。具体情况如下： </w:t>
      </w:r>
    </w:p>
    <w:p w14:paraId="50D0F748">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 xml:space="preserve">1.因公出国（境）费支出0.00万元。 </w:t>
      </w:r>
    </w:p>
    <w:p w14:paraId="2BA74870">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 xml:space="preserve">因公出国（境）费支出决算比预算数减少20万元，主要原因是国（境）外疫情严重，只能线上教育教学交流。 </w:t>
      </w:r>
    </w:p>
    <w:p w14:paraId="74D32D8E">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 xml:space="preserve">2.公务用车购置及运行费支出0.29万元。其中： </w:t>
      </w:r>
    </w:p>
    <w:p w14:paraId="30FFF7B3">
      <w:pPr>
        <w:autoSpaceDE w:val="0"/>
        <w:spacing w:line="560" w:lineRule="exact"/>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ab/>
      </w:r>
      <w:r>
        <w:rPr>
          <w:rFonts w:ascii="仿宋_GB2312" w:hAnsi="Times New Roman" w:eastAsia="仿宋_GB2312" w:cs="仿宋_GB2312"/>
          <w:sz w:val="32"/>
          <w:szCs w:val="32"/>
        </w:rPr>
        <w:t xml:space="preserve"> </w:t>
      </w:r>
      <w:r>
        <w:rPr>
          <w:rFonts w:hint="default" w:ascii="仿宋_GB2312" w:hAnsi="Times New Roman" w:eastAsia="仿宋_GB2312" w:cs="仿宋_GB2312"/>
          <w:sz w:val="32"/>
          <w:szCs w:val="32"/>
        </w:rPr>
        <w:t xml:space="preserve">公务用车购置支出0.00万元，年末公务用车保有量1辆。 </w:t>
      </w:r>
    </w:p>
    <w:p w14:paraId="58E02DE6">
      <w:pPr>
        <w:autoSpaceDE w:val="0"/>
        <w:spacing w:line="560" w:lineRule="exact"/>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ab/>
      </w:r>
      <w:r>
        <w:rPr>
          <w:rFonts w:ascii="仿宋_GB2312" w:hAnsi="Times New Roman" w:eastAsia="仿宋_GB2312" w:cs="仿宋_GB2312"/>
          <w:sz w:val="32"/>
          <w:szCs w:val="32"/>
        </w:rPr>
        <w:t xml:space="preserve"> </w:t>
      </w:r>
      <w:r>
        <w:rPr>
          <w:rFonts w:hint="default" w:ascii="仿宋_GB2312" w:hAnsi="Times New Roman" w:eastAsia="仿宋_GB2312" w:cs="仿宋_GB2312"/>
          <w:sz w:val="32"/>
          <w:szCs w:val="32"/>
        </w:rPr>
        <w:t xml:space="preserve">公务用车运行维护费支出0.29万元，主要用于学校教职工公务用车活动。 </w:t>
      </w:r>
    </w:p>
    <w:p w14:paraId="2753171F">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 xml:space="preserve">公务用车购置及运行费支出决算数比预算数减少1.71万元，下降85.5%。主要原因是国（境）内外疫情严重，只能线上教育教学交流。线下交流减少致使公务用车费用降低。 </w:t>
      </w:r>
    </w:p>
    <w:p w14:paraId="4B11E5AD">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 xml:space="preserve">3.公务接待费支出0.53万元，其中：国内接待费支出0.53万元，国内公务接待32批次，接待120人次；主要用于中高考监考老师、特长生监考老师、六校联盟教师交流、名师工作室活动、校庆活动、各大院校来我校招生、军训教官等人员的接待餐。线下交流减少致使接待费降低。国（境）外接待费支出0万元。 </w:t>
      </w:r>
    </w:p>
    <w:p w14:paraId="7568CFF6">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 xml:space="preserve">公务接待费支出决算数比预算数减少15.47万元，下降96.69%。主要原因是国（境）内外疫情严重，只能线上教育教学交流。线下交流减少致使接待费降低。 </w:t>
      </w:r>
    </w:p>
    <w:p w14:paraId="67351A49">
      <w:pPr>
        <w:autoSpaceDE w:val="0"/>
        <w:spacing w:line="560" w:lineRule="exact"/>
        <w:ind w:firstLine="640" w:firstLineChars="200"/>
        <w:rPr>
          <w:rFonts w:hint="default" w:ascii="Times New Roman" w:hAnsi="Times New Roman" w:eastAsia="黑体" w:cs="黑体"/>
          <w:bCs/>
          <w:sz w:val="32"/>
          <w:szCs w:val="32"/>
        </w:rPr>
      </w:pPr>
      <w:r>
        <w:rPr>
          <w:rFonts w:ascii="黑体" w:eastAsia="黑体" w:cs="黑体"/>
          <w:bCs/>
          <w:sz w:val="32"/>
          <w:szCs w:val="32"/>
        </w:rPr>
        <w:t>十、政府性基金预算财政拨款“三公”经费支出决算情况说明</w:t>
      </w:r>
    </w:p>
    <w:p w14:paraId="60D13898">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2021年度政府性基金预算财政拨款“三公”经费支出合计0万元。其中：因公出国（境）费支出决算0万；公务用车购置及运行维护费支出决算 0万元；公务接待费支出决算  0万元。</w:t>
      </w:r>
    </w:p>
    <w:p w14:paraId="51F2EE7F">
      <w:pPr>
        <w:autoSpaceDE w:val="0"/>
        <w:spacing w:line="560" w:lineRule="exact"/>
        <w:ind w:firstLine="640" w:firstLineChars="200"/>
        <w:rPr>
          <w:rFonts w:hint="default" w:ascii="Times New Roman" w:hAnsi="Times New Roman" w:eastAsia="黑体" w:cs="黑体"/>
          <w:bCs/>
          <w:sz w:val="32"/>
          <w:szCs w:val="32"/>
        </w:rPr>
      </w:pPr>
      <w:r>
        <w:rPr>
          <w:rFonts w:ascii="黑体" w:eastAsia="黑体" w:cs="黑体"/>
          <w:bCs/>
          <w:sz w:val="32"/>
          <w:szCs w:val="32"/>
        </w:rPr>
        <w:t>十一、国有资本经营预算财政拨款“三公”经费支出决算情况说明</w:t>
      </w:r>
    </w:p>
    <w:p w14:paraId="6AA4F6EB">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2021年度国有资本经营预算财政拨款“三公”经费支出合计0万元。其中：因公出国（境）费支出决算0万元，占100%；公务用车购置及运行维护费支出决算</w:t>
      </w:r>
      <w:r>
        <w:rPr>
          <w:rFonts w:ascii="仿宋_GB2312" w:hAnsi="Times New Roman" w:eastAsia="仿宋_GB2312" w:cs="仿宋_GB2312"/>
          <w:sz w:val="32"/>
          <w:szCs w:val="32"/>
        </w:rPr>
        <w:t>0</w:t>
      </w:r>
      <w:r>
        <w:rPr>
          <w:rFonts w:hint="default" w:ascii="仿宋_GB2312" w:hAnsi="Times New Roman" w:eastAsia="仿宋_GB2312" w:cs="仿宋_GB2312"/>
          <w:sz w:val="32"/>
          <w:szCs w:val="32"/>
        </w:rPr>
        <w:t>万元，占0%；公务接待费支出决算0万元，占100%。</w:t>
      </w:r>
    </w:p>
    <w:p w14:paraId="3218427A">
      <w:pPr>
        <w:numPr>
          <w:ilvl w:val="0"/>
          <w:numId w:val="6"/>
        </w:numPr>
        <w:autoSpaceDE w:val="0"/>
        <w:spacing w:line="560" w:lineRule="exact"/>
        <w:ind w:firstLine="640" w:firstLineChars="200"/>
        <w:rPr>
          <w:rFonts w:ascii="黑体" w:eastAsia="黑体" w:cs="黑体"/>
          <w:bCs/>
          <w:sz w:val="32"/>
          <w:szCs w:val="32"/>
        </w:rPr>
      </w:pPr>
      <w:r>
        <w:rPr>
          <w:rFonts w:ascii="黑体" w:eastAsia="黑体" w:cs="黑体"/>
          <w:bCs/>
          <w:sz w:val="32"/>
          <w:szCs w:val="32"/>
        </w:rPr>
        <w:t xml:space="preserve">预算绩效情况说明。 </w:t>
      </w:r>
    </w:p>
    <w:p w14:paraId="0091DDCF">
      <w:pPr>
        <w:autoSpaceDE w:val="0"/>
        <w:spacing w:line="560" w:lineRule="exact"/>
        <w:ind w:left="480" w:leftChars="200"/>
        <w:rPr>
          <w:rFonts w:hint="default" w:ascii="Times New Roman" w:hAnsi="Times New Roman" w:eastAsia="楷体" w:cs="楷体"/>
          <w:b/>
          <w:sz w:val="32"/>
          <w:szCs w:val="32"/>
        </w:rPr>
      </w:pPr>
      <w:r>
        <w:rPr>
          <w:rFonts w:ascii="楷体" w:hAnsi="楷体" w:eastAsia="楷体" w:cs="楷体"/>
          <w:b/>
          <w:sz w:val="32"/>
          <w:szCs w:val="32"/>
        </w:rPr>
        <w:t>（一）绩效管理工作开展情况。</w:t>
      </w:r>
    </w:p>
    <w:p w14:paraId="237FE611">
      <w:pPr>
        <w:autoSpaceDE w:val="0"/>
        <w:spacing w:line="560" w:lineRule="exact"/>
        <w:ind w:firstLine="640" w:firstLineChars="200"/>
        <w:rPr>
          <w:rFonts w:ascii="黑体" w:eastAsia="黑体" w:cs="黑体"/>
          <w:bCs/>
          <w:sz w:val="32"/>
          <w:szCs w:val="32"/>
        </w:rPr>
      </w:pPr>
      <w:r>
        <w:rPr>
          <w:rFonts w:ascii="仿宋_GB2312" w:hAnsi="Times New Roman" w:eastAsia="仿宋_GB2312" w:cs="仿宋_GB2312"/>
          <w:sz w:val="32"/>
          <w:szCs w:val="32"/>
        </w:rPr>
        <w:t xml:space="preserve">根据财政预算管理要求，我校组织对2021年度一般公共预算项目支出全面开展绩效自评。自评项目8个，共涉及资金1,776.30万元，自评覆盖率达到100%。2021年海南省教育厅8个项目实行绩效目标管理，涉及一般公共预算拨款2229万元。 </w:t>
      </w:r>
    </w:p>
    <w:p w14:paraId="7548FB40">
      <w:pPr>
        <w:autoSpaceDE w:val="0"/>
        <w:spacing w:line="560" w:lineRule="exact"/>
        <w:ind w:firstLine="640" w:firstLineChars="200"/>
        <w:rPr>
          <w:rFonts w:ascii="黑体" w:eastAsia="黑体" w:cs="黑体"/>
          <w:bCs/>
          <w:sz w:val="32"/>
          <w:szCs w:val="32"/>
        </w:rPr>
      </w:pPr>
      <w:r>
        <w:rPr>
          <w:rFonts w:ascii="黑体" w:eastAsia="黑体" w:cs="黑体"/>
          <w:bCs/>
          <w:sz w:val="32"/>
          <w:szCs w:val="32"/>
        </w:rPr>
        <w:t>（二） 部门决算中项目绩效自评结果</w:t>
      </w:r>
    </w:p>
    <w:p w14:paraId="24AA0B80">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教育教学管理与监督项目：用途和主要内容：为提高教师教学水平，需要安排老师进行业务提升培训学习，需要与亲兄弟学校互相交流学习。在教学过程中，需要通过学科竞赛来激发学生学习的积极性。 </w:t>
      </w:r>
    </w:p>
    <w:p w14:paraId="469668AB">
      <w:pPr>
        <w:autoSpaceDE w:val="0"/>
        <w:spacing w:line="560" w:lineRule="exact"/>
        <w:ind w:firstLine="640" w:firstLineChars="200"/>
        <w:rPr>
          <w:rFonts w:ascii="黑体" w:eastAsia="黑体" w:cs="黑体"/>
          <w:bCs/>
          <w:sz w:val="32"/>
          <w:szCs w:val="32"/>
        </w:rPr>
      </w:pPr>
      <w:r>
        <w:rPr>
          <w:rFonts w:ascii="黑体" w:eastAsia="黑体" w:cs="黑体"/>
          <w:bCs/>
          <w:sz w:val="32"/>
          <w:szCs w:val="32"/>
        </w:rPr>
        <w:t xml:space="preserve">（二）项目绩效目标 </w:t>
      </w:r>
    </w:p>
    <w:p w14:paraId="766B177F">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1.组织学生参加各类主题活动≥1000人次； </w:t>
      </w:r>
    </w:p>
    <w:p w14:paraId="70FE74DD">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2.教师参加培训≥500人次； </w:t>
      </w:r>
    </w:p>
    <w:p w14:paraId="2087FBCC">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3.学生参加竞赛锻炼学习得到提高人数≥40人次。 </w:t>
      </w:r>
    </w:p>
    <w:p w14:paraId="1D31995D">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设施维护与改造项目：项目基本性质：改善师生工作学习和生活环境和条件。 </w:t>
      </w:r>
    </w:p>
    <w:p w14:paraId="3045897E">
      <w:pPr>
        <w:autoSpaceDE w:val="0"/>
        <w:spacing w:line="560" w:lineRule="exact"/>
        <w:ind w:firstLine="640" w:firstLineChars="200"/>
        <w:rPr>
          <w:rFonts w:ascii="黑体" w:eastAsia="黑体" w:cs="黑体"/>
          <w:bCs/>
          <w:sz w:val="32"/>
          <w:szCs w:val="32"/>
        </w:rPr>
      </w:pPr>
      <w:r>
        <w:rPr>
          <w:rFonts w:ascii="仿宋_GB2312" w:hAnsi="Times New Roman" w:eastAsia="仿宋_GB2312" w:cs="仿宋_GB2312"/>
          <w:sz w:val="32"/>
          <w:szCs w:val="32"/>
        </w:rPr>
        <w:t>用途和主要内容：做好2021年校园基础设施的维修维护工作，保障学校教育教学工作的正常运行；实现初中部食堂改造；做好项目各项咨询工作。</w:t>
      </w:r>
      <w:r>
        <w:rPr>
          <w:rFonts w:ascii="黑体" w:eastAsia="黑体" w:cs="黑体"/>
          <w:bCs/>
          <w:sz w:val="32"/>
          <w:szCs w:val="32"/>
        </w:rPr>
        <w:t xml:space="preserve"> </w:t>
      </w:r>
    </w:p>
    <w:p w14:paraId="45180C08">
      <w:pPr>
        <w:autoSpaceDE w:val="0"/>
        <w:spacing w:line="560" w:lineRule="exact"/>
        <w:rPr>
          <w:rFonts w:ascii="黑体" w:eastAsia="黑体" w:cs="黑体"/>
          <w:bCs/>
          <w:sz w:val="32"/>
          <w:szCs w:val="32"/>
        </w:rPr>
      </w:pPr>
      <w:r>
        <w:rPr>
          <w:rFonts w:ascii="黑体" w:eastAsia="黑体" w:cs="黑体"/>
          <w:bCs/>
          <w:sz w:val="32"/>
          <w:szCs w:val="32"/>
        </w:rPr>
        <w:tab/>
      </w:r>
      <w:r>
        <w:rPr>
          <w:rFonts w:ascii="黑体" w:eastAsia="黑体" w:cs="黑体"/>
          <w:bCs/>
          <w:sz w:val="32"/>
          <w:szCs w:val="32"/>
        </w:rPr>
        <w:t xml:space="preserve">（二）项目绩效目标 </w:t>
      </w:r>
    </w:p>
    <w:p w14:paraId="7BF6CA63">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ab/>
      </w:r>
      <w:r>
        <w:rPr>
          <w:rFonts w:ascii="仿宋_GB2312" w:hAnsi="Times New Roman" w:eastAsia="仿宋_GB2312" w:cs="仿宋_GB2312"/>
          <w:sz w:val="32"/>
          <w:szCs w:val="32"/>
        </w:rPr>
        <w:t xml:space="preserve">1.实现校园中需要维修维护的校舍和基础全面修复，恢复正常使用≥100%； </w:t>
      </w:r>
    </w:p>
    <w:p w14:paraId="1E7A43B2">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2.初中部食堂改造≥800平方米； </w:t>
      </w:r>
    </w:p>
    <w:p w14:paraId="4FB9D668">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3.做好财务年度审计咨询工作。 </w:t>
      </w:r>
    </w:p>
    <w:p w14:paraId="1FAA1457">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设备（装备）购置与运行维护项目: </w:t>
      </w:r>
    </w:p>
    <w:p w14:paraId="39769CC9">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项目基本性质：保障教学办公设备、课堂教学用品、图书购置、实验常规仪器的合理配置。 </w:t>
      </w:r>
    </w:p>
    <w:p w14:paraId="0DC8AB3E">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用途和主要内容：购置图书约 6000 册，购置教学仪器、设备、器材、试剂、药品等，不断更新和完善教学仪器设备；购买办公设备。 </w:t>
      </w:r>
    </w:p>
    <w:p w14:paraId="018ADCA9">
      <w:pPr>
        <w:autoSpaceDE w:val="0"/>
        <w:spacing w:line="560" w:lineRule="exact"/>
        <w:ind w:firstLine="640" w:firstLineChars="200"/>
        <w:rPr>
          <w:rFonts w:ascii="黑体" w:eastAsia="黑体" w:cs="黑体"/>
          <w:bCs/>
          <w:sz w:val="32"/>
          <w:szCs w:val="32"/>
        </w:rPr>
      </w:pPr>
      <w:r>
        <w:rPr>
          <w:rFonts w:ascii="黑体" w:eastAsia="黑体" w:cs="黑体"/>
          <w:bCs/>
          <w:sz w:val="32"/>
          <w:szCs w:val="32"/>
        </w:rPr>
        <w:t xml:space="preserve">（二）项目绩效目标 </w:t>
      </w:r>
    </w:p>
    <w:p w14:paraId="4BCA078B">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1.购置教学常规仪器、教学教具、用品一批； </w:t>
      </w:r>
    </w:p>
    <w:p w14:paraId="3A87974E">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2.购置初中部计算机教室设备一批； </w:t>
      </w:r>
    </w:p>
    <w:p w14:paraId="3588D83E">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3.购置图书≥6000册； </w:t>
      </w:r>
    </w:p>
    <w:p w14:paraId="5FA04ED6">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4.购置办公家具、办公电脑及设备一批。 </w:t>
      </w:r>
    </w:p>
    <w:p w14:paraId="2EFB1A87">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信息系统运行维护项目: 基本性质：加强校园网络教育信息化建设，教育教学走向网络信息化。 </w:t>
      </w:r>
    </w:p>
    <w:p w14:paraId="2B666B4E">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用途和主要内容：学校校园网络使用电信宽带，需要缴纳专网费，根据工信厅评审报告，年入网费为44.4万元。</w:t>
      </w:r>
    </w:p>
    <w:p w14:paraId="39F68803">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另外，校园网络设备在运行过程中，为保障其正常运行，对损坏的设备设施以及软件需要维修、维护、改造和更新及其它，年需费用约88.03万元。 </w:t>
      </w:r>
    </w:p>
    <w:p w14:paraId="696AB315">
      <w:pPr>
        <w:autoSpaceDE w:val="0"/>
        <w:spacing w:line="560" w:lineRule="exact"/>
        <w:ind w:firstLine="640" w:firstLineChars="200"/>
        <w:rPr>
          <w:rFonts w:ascii="黑体" w:eastAsia="黑体" w:cs="黑体"/>
          <w:bCs/>
          <w:sz w:val="32"/>
          <w:szCs w:val="32"/>
        </w:rPr>
      </w:pPr>
      <w:r>
        <w:rPr>
          <w:rFonts w:ascii="黑体" w:eastAsia="黑体" w:cs="黑体"/>
          <w:bCs/>
          <w:sz w:val="32"/>
          <w:szCs w:val="32"/>
        </w:rPr>
        <w:t xml:space="preserve">（二）项目绩效目标 </w:t>
      </w:r>
    </w:p>
    <w:p w14:paraId="6064D339">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1. 保障校园网络正常运转的互联网租赁费缴纳； </w:t>
      </w:r>
    </w:p>
    <w:p w14:paraId="1E1225C8">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2. 保障校园网络正常运转。 </w:t>
      </w:r>
    </w:p>
    <w:p w14:paraId="537DA06A">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城乡义务教育补助经费:项目基本性质：保障义务教育正常运行和稳定发展。 </w:t>
      </w:r>
    </w:p>
    <w:p w14:paraId="56B9AC72">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用途和主要内容：经费主要服务于义务教育以及对家庭困难的学生发放生活补助。 </w:t>
      </w:r>
    </w:p>
    <w:p w14:paraId="5E63D954">
      <w:pPr>
        <w:autoSpaceDE w:val="0"/>
        <w:spacing w:line="560" w:lineRule="exact"/>
        <w:ind w:firstLine="640" w:firstLineChars="200"/>
        <w:rPr>
          <w:rFonts w:ascii="黑体" w:eastAsia="黑体" w:cs="黑体"/>
          <w:bCs/>
          <w:sz w:val="32"/>
          <w:szCs w:val="32"/>
        </w:rPr>
      </w:pPr>
      <w:r>
        <w:rPr>
          <w:rFonts w:ascii="黑体" w:eastAsia="黑体" w:cs="黑体"/>
          <w:bCs/>
          <w:sz w:val="32"/>
          <w:szCs w:val="32"/>
        </w:rPr>
        <w:t xml:space="preserve">（二）项目绩效目标 </w:t>
      </w:r>
    </w:p>
    <w:p w14:paraId="45AFCFCF">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1.服务于义务教育的经费≥159万元； </w:t>
      </w:r>
    </w:p>
    <w:p w14:paraId="19F7A099">
      <w:pPr>
        <w:autoSpaceDE w:val="0"/>
        <w:spacing w:line="560" w:lineRule="exact"/>
        <w:ind w:left="638" w:leftChars="266"/>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2.获得发放家庭困难学生生活补助人数≥100人次；   3.家庭困难学生受益人次≥100人次； </w:t>
      </w:r>
    </w:p>
    <w:p w14:paraId="3E599DE4">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4.保障义务教育教学正常秩序情况≥95%； </w:t>
      </w:r>
    </w:p>
    <w:p w14:paraId="34117A6E">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5.师生满意程度≥95%。 </w:t>
      </w:r>
    </w:p>
    <w:p w14:paraId="3B628021">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教育发展专项资金项目:基本性质：推进新课程教育改革。 </w:t>
      </w:r>
    </w:p>
    <w:p w14:paraId="05DAEFE9">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用途和主要内容：教育发展专项资金主要用于触控一体教学设备购置、高中部人行道及广场改造、教学综合楼卫生间改造工程、高中部男生公寓和旧女生公寓楼维修改造、高中部报告厅改造、体育运动场改造、高中部校园围墙修缮改造七个项目的建设及推进新课程教育改革。 </w:t>
      </w:r>
    </w:p>
    <w:p w14:paraId="3E88CB1E">
      <w:pPr>
        <w:autoSpaceDE w:val="0"/>
        <w:spacing w:line="560" w:lineRule="exact"/>
        <w:ind w:firstLine="320" w:firstLineChars="100"/>
        <w:rPr>
          <w:rFonts w:ascii="黑体" w:eastAsia="黑体" w:cs="黑体"/>
          <w:bCs/>
          <w:sz w:val="32"/>
          <w:szCs w:val="32"/>
        </w:rPr>
      </w:pPr>
      <w:r>
        <w:rPr>
          <w:rFonts w:ascii="黑体" w:eastAsia="黑体" w:cs="黑体"/>
          <w:bCs/>
          <w:sz w:val="32"/>
          <w:szCs w:val="32"/>
        </w:rPr>
        <w:t xml:space="preserve">（二）项目绩效目标 </w:t>
      </w:r>
    </w:p>
    <w:p w14:paraId="55C30B36">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1.教育发展专项资金项目：派出新课程改革学习交流人数≥12人；得以参加新课程改革学习交流人数≥12人；参加新课程改革学习交流收获满意度≥95%。 </w:t>
      </w:r>
    </w:p>
    <w:p w14:paraId="596CBC05">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2.触控一体教学设备购置项目：购置智慧型的多媒体一体机70套；稳定保障学校正常教学需求≥5年。 </w:t>
      </w:r>
    </w:p>
    <w:p w14:paraId="22E0A644">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3.校舍修缮改造项目：维修改造学生宿舍间数308套；</w:t>
      </w:r>
    </w:p>
    <w:p w14:paraId="12000D67">
      <w:pPr>
        <w:autoSpaceDE w:val="0"/>
        <w:spacing w:line="560" w:lineRule="exact"/>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维修改造卫生间 42 个；改造会议报告厅≥208 平方米；改善学生宿舍环境 308 套；改善教学办公公共卫生环境 42个；改善会议报告活动环境≥208平方米。 </w:t>
      </w:r>
    </w:p>
    <w:p w14:paraId="6C2C1CB1">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4.校园设施改造项目：改造修缮围墙数量≥1200米；维修改造人行道及广场数量≥3000平方米。 </w:t>
      </w:r>
    </w:p>
    <w:p w14:paraId="31693B07">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5.学生运动场改造项目：改造建设1个400米标准橡胶跑道和改扩建1个200米橡胶跑道成250米橡胶跑道≥7800平方米；为学校体育教学提供保障，保障全校学生的体育教学≥4300人；建成后的运动场所师生使用满意度≥90%。 </w:t>
      </w:r>
    </w:p>
    <w:p w14:paraId="3D8F0ABF">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社会化管理后勤服务项目:基本性质：海南中学于2011年开始进行后勤社会化管理改革。为学校教学教研提供后勤保障工作，做好学校教育教学管理的保障，保障教学办公设备的正常运转，保障校园的良好卫生，为师生提供优美整洁的校园环境。 </w:t>
      </w:r>
    </w:p>
    <w:p w14:paraId="576FF8AE">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用途和主要内容：学校范围内的清洁卫生、安全保卫、水电管理等全方位的服务得到保障；支付物业管理费；保障全校教学与办公区域的空调正常使用；支付213站的土地租赁费；保障学校消防设备设施正常使用；保障教学与办公设备得到及时维护。 </w:t>
      </w:r>
    </w:p>
    <w:p w14:paraId="0C4F37D6">
      <w:pPr>
        <w:autoSpaceDE w:val="0"/>
        <w:spacing w:line="560" w:lineRule="exact"/>
        <w:ind w:firstLine="643" w:firstLineChars="200"/>
        <w:rPr>
          <w:rFonts w:hint="default" w:ascii="仿宋_GB2312" w:hAnsi="Times New Roman" w:eastAsia="仿宋_GB2312" w:cs="仿宋_GB2312"/>
          <w:b/>
          <w:bCs/>
          <w:sz w:val="32"/>
          <w:szCs w:val="32"/>
        </w:rPr>
      </w:pPr>
      <w:r>
        <w:rPr>
          <w:rFonts w:ascii="仿宋_GB2312" w:hAnsi="Times New Roman" w:eastAsia="仿宋_GB2312" w:cs="仿宋_GB2312"/>
          <w:b/>
          <w:bCs/>
          <w:sz w:val="32"/>
          <w:szCs w:val="32"/>
        </w:rPr>
        <w:t xml:space="preserve">（二）项目绩效目标 </w:t>
      </w:r>
    </w:p>
    <w:p w14:paraId="57AA397C">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1.全校范围的清洁卫生、安全保卫、水电管理等全方位的服务得到保障； </w:t>
      </w:r>
    </w:p>
    <w:p w14:paraId="6F397581">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2.租房为无房教师提供住房保障，有效的履行租房合约，若无法保障无房教师住房，租房合约履行不到位则为坏； </w:t>
      </w:r>
    </w:p>
    <w:p w14:paraId="17C4F44E">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3.我校对213站土地得以续租，很好的履行租赁合同条约，就是好，履行租赁合同条约出现违约责任就是坏；  </w:t>
      </w:r>
    </w:p>
    <w:p w14:paraId="45785176">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4.保障全校教学与办公区域的空调正常使用≥95%； </w:t>
      </w:r>
    </w:p>
    <w:p w14:paraId="0558F843">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5.校园卫生治理和灾害治理均达高标准为优，有一项出现达标但未达高标准为良，两项均未达高标准，但达标，或一项达高标准，有一项未达标，则为中，均未达标为低差； </w:t>
      </w:r>
    </w:p>
    <w:p w14:paraId="435EB937">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6.保障学校消防设备设施正常使用率≥95%； </w:t>
      </w:r>
    </w:p>
    <w:p w14:paraId="64D9D1A8">
      <w:pPr>
        <w:autoSpaceDE w:val="0"/>
        <w:spacing w:line="560" w:lineRule="exact"/>
        <w:ind w:left="638" w:leftChars="266"/>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7.保障全校教学与办公区域的空调正常使用率≥95%； 8.校园后勤服务管理满意情况≥90%。 </w:t>
      </w:r>
    </w:p>
    <w:p w14:paraId="5D6C822F">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学生资助补助经费项目:基本性质、用途和主要内容海南省教育厅、海南省财政厅《关于印发海南红色普通高中家庭经济困难学生国家助学金管理实施细则的通知》（琼教勤助【2017】61号）“第五条家庭困难学生分为困难和特殊困难两种，其中：孤残学生、烈士子女；家庭成员长期患重病需支付大额医疗费用的学生；遭遇重大自然灾害或突发性事件，造成家庭经济困难的学生；家庭无经济来源，经济特别困难的学生，可认定为特殊困难学生”。“第六条学生助学金的标准：国家助学金的平均资助标准为每生每年2000元，具体分为2档：第1档资助对象为家庭经济困难学生，资助标准为每年每生1500元，第2档资助对象为家庭经济特殊困难学生，资助标准为每年每生2500元。” </w:t>
      </w:r>
    </w:p>
    <w:p w14:paraId="0F283043">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海南中学2021年度绩效目标为发放200名家庭困难学生补助金40万元。 </w:t>
      </w:r>
    </w:p>
    <w:p w14:paraId="26D4273E">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（二）项目绩效目标 </w:t>
      </w:r>
    </w:p>
    <w:p w14:paraId="2D9EA1CE">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1.发放助学金40万元； </w:t>
      </w:r>
    </w:p>
    <w:p w14:paraId="069E5000">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2.受益学生人数200名； </w:t>
      </w:r>
    </w:p>
    <w:p w14:paraId="690F4E56">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3.受益学生满意度95%以上. </w:t>
      </w:r>
    </w:p>
    <w:p w14:paraId="4C129089">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（三）财政评价项目绩效评价结果。</w:t>
      </w:r>
    </w:p>
    <w:p w14:paraId="73C76B68">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财政未对本单位进行绩效评价。</w:t>
      </w:r>
    </w:p>
    <w:p w14:paraId="2C337FE2">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（四）部门评价项目绩效评价结果。 </w:t>
      </w:r>
    </w:p>
    <w:p w14:paraId="0E844D24">
      <w:pPr>
        <w:autoSpaceDE w:val="0"/>
        <w:spacing w:line="560" w:lineRule="exact"/>
        <w:ind w:firstLine="640" w:firstLineChars="200"/>
        <w:rPr>
          <w:rFonts w:hint="default" w:ascii="仿宋_GB2312" w:hAnsi="Times New Roman" w:eastAsia="仿宋_GB2312" w:cs="仿宋_GB2312"/>
          <w:sz w:val="32"/>
          <w:szCs w:val="32"/>
        </w:rPr>
      </w:pPr>
      <w:r>
        <w:rPr>
          <w:rFonts w:ascii="仿宋_GB2312" w:hAnsi="Times New Roman" w:eastAsia="仿宋_GB2312" w:cs="仿宋_GB2312"/>
          <w:sz w:val="32"/>
          <w:szCs w:val="32"/>
        </w:rPr>
        <w:t xml:space="preserve">单位为二级预算单位，无需开展部门评价。 </w:t>
      </w:r>
    </w:p>
    <w:p w14:paraId="645FA43E">
      <w:pPr>
        <w:autoSpaceDE w:val="0"/>
        <w:spacing w:line="560" w:lineRule="exact"/>
        <w:ind w:firstLine="643" w:firstLineChars="200"/>
        <w:rPr>
          <w:rFonts w:hint="default" w:ascii="仿宋_GB2312" w:hAnsi="Times New Roman" w:eastAsia="仿宋_GB2312" w:cs="仿宋_GB2312"/>
          <w:b/>
          <w:bCs/>
          <w:sz w:val="32"/>
          <w:szCs w:val="32"/>
        </w:rPr>
      </w:pPr>
      <w:r>
        <w:rPr>
          <w:rFonts w:ascii="仿宋_GB2312" w:hAnsi="Times New Roman" w:eastAsia="仿宋_GB2312" w:cs="仿宋_GB2312"/>
          <w:b/>
          <w:bCs/>
          <w:sz w:val="32"/>
          <w:szCs w:val="32"/>
        </w:rPr>
        <w:t>十三、其他重要事项情况说明。</w:t>
      </w:r>
    </w:p>
    <w:p w14:paraId="53D9A38B">
      <w:pPr>
        <w:autoSpaceDE w:val="0"/>
        <w:spacing w:line="560" w:lineRule="exact"/>
        <w:ind w:firstLine="640" w:firstLineChars="200"/>
        <w:rPr>
          <w:rFonts w:hint="default" w:ascii="仿宋_GB2312" w:hAnsi="Times New Roman" w:eastAsia="仿宋_GB2312" w:cs="仿宋_GB2312"/>
          <w:sz w:val="32"/>
          <w:szCs w:val="32"/>
        </w:rPr>
      </w:pPr>
      <w:bookmarkStart w:id="68" w:name="_Toc15262_WPSOffice_Level2"/>
      <w:bookmarkEnd w:id="68"/>
      <w:bookmarkStart w:id="69" w:name="_Toc32639_WPSOffice_Level2"/>
      <w:bookmarkEnd w:id="69"/>
      <w:bookmarkStart w:id="70" w:name="_Toc5978_WPSOffice_Level2"/>
      <w:bookmarkEnd w:id="70"/>
      <w:bookmarkStart w:id="71" w:name="_Toc18325_WPSOffice_Level2"/>
      <w:bookmarkEnd w:id="71"/>
      <w:bookmarkStart w:id="72" w:name="_Toc23598_WPSOffice_Level2"/>
      <w:bookmarkEnd w:id="72"/>
      <w:r>
        <w:rPr>
          <w:rFonts w:hint="default" w:ascii="仿宋_GB2312" w:hAnsi="Times New Roman" w:eastAsia="仿宋_GB2312" w:cs="仿宋_GB2312"/>
          <w:sz w:val="32"/>
          <w:szCs w:val="32"/>
        </w:rPr>
        <w:t>（</w:t>
      </w:r>
      <w:r>
        <w:rPr>
          <w:rFonts w:hint="default" w:ascii="仿宋_GB2312" w:hAnsi="Times New Roman" w:eastAsia="仿宋_GB2312" w:cs="仿宋_GB2312"/>
          <w:sz w:val="32"/>
          <w:szCs w:val="32"/>
        </w:rPr>
        <w:t>一）</w:t>
      </w:r>
      <w:bookmarkStart w:id="73" w:name="_Toc15565_WPSOffice_Level2"/>
      <w:r>
        <w:rPr>
          <w:rFonts w:hint="default" w:ascii="仿宋_GB2312" w:hAnsi="Times New Roman" w:eastAsia="仿宋_GB2312" w:cs="仿宋_GB2312"/>
          <w:sz w:val="32"/>
          <w:szCs w:val="32"/>
        </w:rPr>
        <w:t>机关运行经费支出情况。</w:t>
      </w:r>
      <w:bookmarkEnd w:id="73"/>
    </w:p>
    <w:p w14:paraId="3AF6A8CC">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无。</w:t>
      </w:r>
    </w:p>
    <w:p w14:paraId="75638546">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 xml:space="preserve">（二）政府采购支出情况。 </w:t>
      </w:r>
    </w:p>
    <w:p w14:paraId="795C5212">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 xml:space="preserve">2021年单位政府采购支出总额2783.49万元，其中：政府采购货物支出663.20万元、政府采购工程支出1520.29万元、政府采购服务支出600万元。授予中小企业合同金额2442.36万元，占政府采购支出总额的87.74%，其中：授予小微企业合同金额341.13万元，占政府采购支出总额的12.26%。 </w:t>
      </w:r>
    </w:p>
    <w:p w14:paraId="2BEA6353">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w:t>
      </w:r>
      <w:r>
        <w:rPr>
          <w:rFonts w:cs="宋体"/>
          <w:sz w:val="32"/>
          <w:szCs w:val="32"/>
        </w:rPr>
        <w:t>三</w:t>
      </w:r>
      <w:r>
        <w:rPr>
          <w:rFonts w:hint="default" w:ascii="仿宋_GB2312" w:hAnsi="Times New Roman" w:eastAsia="仿宋_GB2312" w:cs="仿宋_GB2312"/>
          <w:sz w:val="32"/>
          <w:szCs w:val="32"/>
        </w:rPr>
        <w:t xml:space="preserve">）国有资产占用情况。 </w:t>
      </w:r>
    </w:p>
    <w:p w14:paraId="13D414AD">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 xml:space="preserve">截至2021年12月31日，我校占用房屋面积139909平方米，其中：办公用房7222平方米，业务用房32173平方米，其他（不含构筑物）100514平方米。 </w:t>
      </w:r>
    </w:p>
    <w:p w14:paraId="7244EE33">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 xml:space="preserve">本部门共有车辆1辆，其中：从车辆种类说明：小型载客汽车1辆；从车辆使用情况说明：其他用车1辆。 </w:t>
      </w:r>
    </w:p>
    <w:p w14:paraId="4438874A">
      <w:pPr>
        <w:autoSpaceDE w:val="0"/>
        <w:spacing w:line="560" w:lineRule="exact"/>
        <w:ind w:firstLine="640" w:firstLineChars="200"/>
        <w:rPr>
          <w:rFonts w:hint="default" w:ascii="仿宋_GB2312" w:hAnsi="Times New Roman" w:eastAsia="仿宋_GB2312" w:cs="仿宋_GB2312"/>
          <w:sz w:val="32"/>
          <w:szCs w:val="32"/>
        </w:rPr>
      </w:pPr>
      <w:r>
        <w:rPr>
          <w:rFonts w:hint="default" w:ascii="仿宋_GB2312" w:hAnsi="Times New Roman" w:eastAsia="仿宋_GB2312" w:cs="仿宋_GB2312"/>
          <w:sz w:val="32"/>
          <w:szCs w:val="32"/>
        </w:rPr>
        <w:t>单位价值50万元（含）以上通用设备0台（套），单价100万元（含）以上专用设备0台（套）</w:t>
      </w:r>
      <w:r>
        <w:rPr>
          <w:rFonts w:ascii="仿宋_GB2312" w:hAnsi="Times New Roman" w:eastAsia="仿宋_GB2312" w:cs="仿宋_GB2312"/>
          <w:sz w:val="32"/>
          <w:szCs w:val="32"/>
        </w:rPr>
        <w:t>。</w:t>
      </w:r>
      <w:r>
        <w:rPr>
          <w:rFonts w:hint="default" w:ascii="仿宋_GB2312" w:hAnsi="Times New Roman" w:eastAsia="仿宋_GB2312" w:cs="仿宋_GB2312"/>
          <w:sz w:val="32"/>
          <w:szCs w:val="32"/>
        </w:rPr>
        <w:t xml:space="preserve">年末在建工程95.29万元。 </w:t>
      </w:r>
    </w:p>
    <w:p w14:paraId="55E28796">
      <w:pPr>
        <w:autoSpaceDE w:val="0"/>
        <w:spacing w:line="560" w:lineRule="exact"/>
        <w:jc w:val="center"/>
        <w:rPr>
          <w:rFonts w:hint="default" w:ascii="Times New Roman" w:hAnsi="Times New Roman" w:eastAsia="黑体" w:cs="黑体"/>
          <w:sz w:val="32"/>
          <w:szCs w:val="32"/>
        </w:rPr>
      </w:pPr>
      <w:bookmarkStart w:id="74" w:name="_Toc15425_WPSOffice_Level1"/>
      <w:bookmarkEnd w:id="74"/>
      <w:bookmarkStart w:id="75" w:name="_Toc17580_WPSOffice_Level1"/>
      <w:bookmarkEnd w:id="75"/>
      <w:bookmarkStart w:id="76" w:name="_Toc4398_WPSOffice_Level1"/>
      <w:bookmarkEnd w:id="76"/>
      <w:bookmarkStart w:id="77" w:name="_Toc8808_WPSOffice_Level1"/>
      <w:bookmarkEnd w:id="77"/>
      <w:bookmarkStart w:id="78" w:name="_Toc11039_WPSOffice_Level1"/>
      <w:bookmarkEnd w:id="78"/>
      <w:bookmarkStart w:id="79" w:name="_Toc8874_WPSOffice_Level1"/>
      <w:r>
        <w:rPr>
          <w:rFonts w:ascii="黑体" w:eastAsia="黑体" w:cs="黑体"/>
          <w:sz w:val="32"/>
          <w:szCs w:val="32"/>
        </w:rPr>
        <w:t>第四部分</w:t>
      </w:r>
      <w:bookmarkEnd w:id="79"/>
      <w:r>
        <w:rPr>
          <w:rFonts w:ascii="Times New Roman" w:hAnsi="Times New Roman" w:eastAsia="黑体" w:cs="黑体"/>
          <w:sz w:val="32"/>
          <w:szCs w:val="32"/>
        </w:rPr>
        <w:t xml:space="preserve">  </w:t>
      </w:r>
      <w:r>
        <w:rPr>
          <w:rFonts w:ascii="黑体" w:eastAsia="黑体" w:cs="黑体"/>
          <w:sz w:val="32"/>
          <w:szCs w:val="32"/>
        </w:rPr>
        <w:t>名词解释</w:t>
      </w:r>
    </w:p>
    <w:p w14:paraId="4211FB65">
      <w:pPr>
        <w:autoSpaceDE w:val="0"/>
        <w:spacing w:line="560" w:lineRule="exact"/>
        <w:jc w:val="center"/>
        <w:rPr>
          <w:rFonts w:hint="default" w:ascii="Times New Roman" w:hAnsi="Times New Roman" w:eastAsia="黑体" w:cs="黑体"/>
          <w:sz w:val="32"/>
          <w:szCs w:val="32"/>
        </w:rPr>
      </w:pPr>
      <w:r>
        <w:rPr>
          <w:rFonts w:ascii="Times New Roman" w:hAnsi="Times New Roman" w:eastAsia="黑体" w:cs="黑体"/>
          <w:sz w:val="32"/>
          <w:szCs w:val="32"/>
        </w:rPr>
        <w:t xml:space="preserve"> </w:t>
      </w:r>
    </w:p>
    <w:p w14:paraId="2F849573">
      <w:pPr>
        <w:autoSpaceDE w:val="0"/>
        <w:spacing w:line="560" w:lineRule="exact"/>
        <w:ind w:firstLine="640" w:firstLineChars="200"/>
        <w:rPr>
          <w:rFonts w:hint="default" w:ascii="Times New Roman" w:hAnsi="Times New Roman" w:eastAsia="仿宋_GB2312" w:cs="仿宋_GB2312"/>
          <w:sz w:val="32"/>
          <w:szCs w:val="32"/>
        </w:rPr>
      </w:pPr>
      <w:r>
        <w:rPr>
          <w:rFonts w:ascii="仿宋_GB2312" w:hAnsi="Times New Roman" w:eastAsia="仿宋_GB2312" w:cs="仿宋_GB2312"/>
          <w:sz w:val="32"/>
          <w:szCs w:val="32"/>
        </w:rPr>
        <w:t>一、</w:t>
      </w:r>
      <w:r>
        <w:rPr>
          <w:rFonts w:hint="default" w:ascii="仿宋_GB2312" w:hAnsi="Times New Roman" w:eastAsia="仿宋_GB2312" w:cs="仿宋_GB2312"/>
          <w:sz w:val="32"/>
          <w:szCs w:val="32"/>
        </w:rPr>
        <w:t>财政拨款收入：指同级政府财政部门当年拨付的各类财政拨款。</w:t>
      </w:r>
    </w:p>
    <w:p w14:paraId="4B606038">
      <w:pPr>
        <w:autoSpaceDE w:val="0"/>
        <w:spacing w:line="560" w:lineRule="exact"/>
        <w:ind w:firstLine="640" w:firstLineChars="200"/>
        <w:rPr>
          <w:rFonts w:hint="default" w:ascii="Times New Roman" w:hAnsi="Times New Roman" w:eastAsia="仿宋_GB2312" w:cs="仿宋_GB2312"/>
          <w:sz w:val="32"/>
          <w:szCs w:val="32"/>
        </w:rPr>
      </w:pPr>
      <w:r>
        <w:rPr>
          <w:rFonts w:hint="default" w:ascii="仿宋_GB2312" w:hAnsi="Times New Roman" w:eastAsia="仿宋_GB2312" w:cs="仿宋_GB2312"/>
          <w:sz w:val="32"/>
          <w:szCs w:val="32"/>
        </w:rPr>
        <w:t>二、上级补助收入：指事业单位从主管部门和上级单位取得的非财政补助收入。</w:t>
      </w:r>
    </w:p>
    <w:p w14:paraId="5C25E8C8">
      <w:pPr>
        <w:autoSpaceDE w:val="0"/>
        <w:spacing w:line="560" w:lineRule="exact"/>
        <w:ind w:firstLine="640" w:firstLineChars="200"/>
        <w:rPr>
          <w:rFonts w:hint="default" w:ascii="Times New Roman" w:hAnsi="Times New Roman" w:eastAsia="仿宋_GB2312" w:cs="仿宋_GB2312"/>
          <w:sz w:val="32"/>
          <w:szCs w:val="32"/>
        </w:rPr>
      </w:pPr>
      <w:r>
        <w:rPr>
          <w:rFonts w:hint="default" w:ascii="仿宋_GB2312" w:hAnsi="Times New Roman" w:eastAsia="仿宋_GB2312" w:cs="仿宋_GB2312"/>
          <w:sz w:val="32"/>
          <w:szCs w:val="32"/>
        </w:rPr>
        <w:t>三、事业收入：指事业单位开展专业业务活动及辅助活动取得的收入。</w:t>
      </w:r>
    </w:p>
    <w:p w14:paraId="6758E489">
      <w:pPr>
        <w:autoSpaceDE w:val="0"/>
        <w:spacing w:line="560" w:lineRule="exact"/>
        <w:ind w:firstLine="640" w:firstLineChars="200"/>
        <w:rPr>
          <w:rFonts w:hint="default" w:ascii="Times New Roman" w:hAnsi="Times New Roman" w:eastAsia="仿宋_GB2312" w:cs="仿宋_GB2312"/>
          <w:sz w:val="32"/>
          <w:szCs w:val="32"/>
        </w:rPr>
      </w:pPr>
      <w:r>
        <w:rPr>
          <w:rFonts w:hint="default" w:ascii="仿宋_GB2312" w:hAnsi="Times New Roman" w:eastAsia="仿宋_GB2312" w:cs="仿宋_GB2312"/>
          <w:sz w:val="32"/>
          <w:szCs w:val="32"/>
        </w:rPr>
        <w:t>四、经营收入：指事业单位在专业业务活动及其辅助活动之外开展非独立核算经营活动取得的收入。</w:t>
      </w:r>
    </w:p>
    <w:p w14:paraId="0FB6FA24">
      <w:pPr>
        <w:autoSpaceDE w:val="0"/>
        <w:spacing w:line="560" w:lineRule="exact"/>
        <w:ind w:firstLine="640" w:firstLineChars="200"/>
        <w:rPr>
          <w:rFonts w:hint="default" w:ascii="Times New Roman" w:hAnsi="Times New Roman" w:eastAsia="仿宋_GB2312" w:cs="仿宋_GB2312"/>
          <w:sz w:val="32"/>
          <w:szCs w:val="32"/>
        </w:rPr>
      </w:pPr>
      <w:r>
        <w:rPr>
          <w:rFonts w:hint="default" w:ascii="仿宋_GB2312" w:hAnsi="Times New Roman" w:eastAsia="仿宋_GB2312" w:cs="仿宋_GB2312"/>
          <w:sz w:val="32"/>
          <w:szCs w:val="32"/>
        </w:rPr>
        <w:t>五、附属单位上缴收入：指事业单位取得附属独立核算单位根据有关规定上缴的收入。</w:t>
      </w:r>
    </w:p>
    <w:p w14:paraId="0B43E440">
      <w:pPr>
        <w:autoSpaceDE w:val="0"/>
        <w:spacing w:line="560" w:lineRule="exact"/>
        <w:ind w:firstLine="640" w:firstLineChars="200"/>
        <w:rPr>
          <w:rFonts w:hint="default" w:ascii="Times New Roman" w:hAnsi="Times New Roman" w:eastAsia="仿宋_GB2312" w:cs="仿宋_GB2312"/>
          <w:sz w:val="32"/>
          <w:szCs w:val="32"/>
        </w:rPr>
      </w:pPr>
      <w:r>
        <w:rPr>
          <w:rFonts w:hint="default" w:ascii="仿宋_GB2312" w:hAnsi="Times New Roman" w:eastAsia="仿宋_GB2312" w:cs="仿宋_GB2312"/>
          <w:sz w:val="32"/>
          <w:szCs w:val="32"/>
        </w:rPr>
        <w:t>六、其他收入：指除上述</w:t>
      </w:r>
      <w:r>
        <w:rPr>
          <w:rFonts w:hint="default" w:ascii="Times New Roman" w:hAnsi="Times New Roman" w:eastAsia="仿宋_GB2312"/>
          <w:sz w:val="32"/>
          <w:szCs w:val="32"/>
        </w:rPr>
        <w:t>“</w:t>
      </w:r>
      <w:r>
        <w:rPr>
          <w:rFonts w:hint="default" w:ascii="仿宋_GB2312" w:hAnsi="Times New Roman" w:eastAsia="仿宋_GB2312" w:cs="仿宋_GB2312"/>
          <w:sz w:val="32"/>
          <w:szCs w:val="32"/>
        </w:rPr>
        <w:t>财政拨款收入</w:t>
      </w:r>
      <w:r>
        <w:rPr>
          <w:rFonts w:hint="default" w:ascii="Times New Roman" w:hAnsi="Times New Roman" w:eastAsia="仿宋_GB2312"/>
          <w:sz w:val="32"/>
          <w:szCs w:val="32"/>
        </w:rPr>
        <w:t>”“</w:t>
      </w:r>
      <w:r>
        <w:rPr>
          <w:rFonts w:hint="default" w:ascii="仿宋_GB2312" w:hAnsi="Times New Roman" w:eastAsia="仿宋_GB2312" w:cs="仿宋_GB2312"/>
          <w:sz w:val="32"/>
          <w:szCs w:val="32"/>
        </w:rPr>
        <w:t>事业收入</w:t>
      </w:r>
      <w:r>
        <w:rPr>
          <w:rFonts w:hint="default" w:ascii="Times New Roman" w:hAnsi="Times New Roman" w:eastAsia="仿宋_GB2312"/>
          <w:sz w:val="32"/>
          <w:szCs w:val="32"/>
        </w:rPr>
        <w:t>”“</w:t>
      </w:r>
      <w:r>
        <w:rPr>
          <w:rFonts w:hint="default" w:ascii="仿宋_GB2312" w:hAnsi="Times New Roman" w:eastAsia="仿宋_GB2312" w:cs="仿宋_GB2312"/>
          <w:sz w:val="32"/>
          <w:szCs w:val="32"/>
        </w:rPr>
        <w:t>上级补助收入</w:t>
      </w:r>
      <w:r>
        <w:rPr>
          <w:rFonts w:hint="default" w:ascii="Times New Roman" w:hAnsi="Times New Roman" w:eastAsia="仿宋_GB2312"/>
          <w:sz w:val="32"/>
          <w:szCs w:val="32"/>
        </w:rPr>
        <w:t>”“</w:t>
      </w:r>
      <w:r>
        <w:rPr>
          <w:rFonts w:hint="default" w:ascii="仿宋_GB2312" w:hAnsi="Times New Roman" w:eastAsia="仿宋_GB2312" w:cs="仿宋_GB2312"/>
          <w:sz w:val="32"/>
          <w:szCs w:val="32"/>
        </w:rPr>
        <w:t>经营收入</w:t>
      </w:r>
      <w:r>
        <w:rPr>
          <w:rFonts w:hint="default" w:ascii="Times New Roman" w:hAnsi="Times New Roman" w:eastAsia="仿宋_GB2312"/>
          <w:sz w:val="32"/>
          <w:szCs w:val="32"/>
        </w:rPr>
        <w:t>”“</w:t>
      </w:r>
      <w:r>
        <w:rPr>
          <w:rFonts w:hint="default" w:ascii="仿宋_GB2312" w:hAnsi="Times New Roman" w:eastAsia="仿宋_GB2312" w:cs="仿宋_GB2312"/>
          <w:sz w:val="32"/>
          <w:szCs w:val="32"/>
        </w:rPr>
        <w:t>附属单位上缴收入</w:t>
      </w:r>
      <w:r>
        <w:rPr>
          <w:rFonts w:hint="default" w:ascii="Times New Roman" w:hAnsi="Times New Roman" w:eastAsia="仿宋_GB2312"/>
          <w:sz w:val="32"/>
          <w:szCs w:val="32"/>
        </w:rPr>
        <w:t>”</w:t>
      </w:r>
      <w:r>
        <w:rPr>
          <w:rFonts w:hint="default" w:ascii="仿宋_GB2312" w:hAnsi="Times New Roman" w:eastAsia="仿宋_GB2312" w:cs="仿宋_GB2312"/>
          <w:sz w:val="32"/>
          <w:szCs w:val="32"/>
        </w:rPr>
        <w:t>等以外的收入。</w:t>
      </w:r>
    </w:p>
    <w:p w14:paraId="4AB4205B">
      <w:pPr>
        <w:autoSpaceDE w:val="0"/>
        <w:spacing w:line="560" w:lineRule="exact"/>
        <w:ind w:firstLine="640" w:firstLineChars="200"/>
        <w:rPr>
          <w:rFonts w:hint="default" w:ascii="Times New Roman" w:hAnsi="Times New Roman" w:eastAsia="仿宋_GB2312" w:cs="仿宋_GB2312"/>
          <w:sz w:val="32"/>
          <w:szCs w:val="32"/>
        </w:rPr>
      </w:pPr>
      <w:r>
        <w:rPr>
          <w:rFonts w:hint="default" w:ascii="仿宋_GB2312" w:hAnsi="Times New Roman" w:eastAsia="仿宋_GB2312" w:cs="仿宋_GB2312"/>
          <w:sz w:val="32"/>
          <w:szCs w:val="32"/>
        </w:rPr>
        <w:t>七、使用非财政拨款结余：指事业单位在当年的</w:t>
      </w:r>
      <w:r>
        <w:rPr>
          <w:rFonts w:hint="default" w:ascii="Times New Roman" w:hAnsi="Times New Roman" w:eastAsia="仿宋_GB2312"/>
          <w:sz w:val="32"/>
          <w:szCs w:val="32"/>
        </w:rPr>
        <w:t>“</w:t>
      </w:r>
      <w:r>
        <w:rPr>
          <w:rFonts w:hint="default" w:ascii="仿宋_GB2312" w:hAnsi="Times New Roman" w:eastAsia="仿宋_GB2312" w:cs="仿宋_GB2312"/>
          <w:sz w:val="32"/>
          <w:szCs w:val="32"/>
        </w:rPr>
        <w:t>财政拨款收入</w:t>
      </w:r>
      <w:r>
        <w:rPr>
          <w:rFonts w:hint="default" w:ascii="Times New Roman" w:hAnsi="Times New Roman" w:eastAsia="仿宋_GB2312"/>
          <w:sz w:val="32"/>
          <w:szCs w:val="32"/>
        </w:rPr>
        <w:t>”“</w:t>
      </w:r>
      <w:r>
        <w:rPr>
          <w:rFonts w:hint="default" w:ascii="仿宋_GB2312" w:hAnsi="Times New Roman" w:eastAsia="仿宋_GB2312" w:cs="仿宋_GB2312"/>
          <w:sz w:val="32"/>
          <w:szCs w:val="32"/>
        </w:rPr>
        <w:t>事业收入</w:t>
      </w:r>
      <w:r>
        <w:rPr>
          <w:rFonts w:hint="default" w:ascii="Times New Roman" w:hAnsi="Times New Roman" w:eastAsia="仿宋_GB2312"/>
          <w:sz w:val="32"/>
          <w:szCs w:val="32"/>
        </w:rPr>
        <w:t>”“</w:t>
      </w:r>
      <w:r>
        <w:rPr>
          <w:rFonts w:hint="default" w:ascii="仿宋_GB2312" w:hAnsi="Times New Roman" w:eastAsia="仿宋_GB2312" w:cs="仿宋_GB2312"/>
          <w:sz w:val="32"/>
          <w:szCs w:val="32"/>
        </w:rPr>
        <w:t>经营收入</w:t>
      </w:r>
      <w:r>
        <w:rPr>
          <w:rFonts w:hint="default" w:ascii="Times New Roman" w:hAnsi="Times New Roman" w:eastAsia="仿宋_GB2312"/>
          <w:sz w:val="32"/>
          <w:szCs w:val="32"/>
        </w:rPr>
        <w:t>”“</w:t>
      </w:r>
      <w:r>
        <w:rPr>
          <w:rFonts w:hint="default" w:ascii="仿宋_GB2312" w:hAnsi="Times New Roman" w:eastAsia="仿宋_GB2312" w:cs="仿宋_GB2312"/>
          <w:sz w:val="32"/>
          <w:szCs w:val="32"/>
        </w:rPr>
        <w:t>其他收入</w:t>
      </w:r>
      <w:r>
        <w:rPr>
          <w:rFonts w:hint="default" w:ascii="Times New Roman" w:hAnsi="Times New Roman" w:eastAsia="仿宋_GB2312"/>
          <w:sz w:val="32"/>
          <w:szCs w:val="32"/>
        </w:rPr>
        <w:t>”</w:t>
      </w:r>
      <w:r>
        <w:rPr>
          <w:rFonts w:hint="default" w:ascii="仿宋_GB2312" w:hAnsi="Times New Roman" w:eastAsia="仿宋_GB2312" w:cs="仿宋_GB2312"/>
          <w:sz w:val="32"/>
          <w:szCs w:val="32"/>
        </w:rPr>
        <w:t>等不足以安排当年支出的情况下，使用以前年度积累的非限定用途的非同级财政拨款结余资金弥补本年度收支缺口。</w:t>
      </w:r>
    </w:p>
    <w:p w14:paraId="23F0372C">
      <w:pPr>
        <w:autoSpaceDE w:val="0"/>
        <w:spacing w:line="560" w:lineRule="exact"/>
        <w:ind w:firstLine="640" w:firstLineChars="200"/>
        <w:rPr>
          <w:rFonts w:hint="default" w:ascii="Times New Roman" w:hAnsi="Times New Roman" w:eastAsia="仿宋_GB2312" w:cs="仿宋_GB2312"/>
          <w:sz w:val="32"/>
          <w:szCs w:val="32"/>
        </w:rPr>
      </w:pPr>
      <w:r>
        <w:rPr>
          <w:rFonts w:hint="default" w:ascii="仿宋_GB2312" w:hAnsi="Times New Roman" w:eastAsia="仿宋_GB2312" w:cs="仿宋_GB2312"/>
          <w:sz w:val="32"/>
          <w:szCs w:val="32"/>
        </w:rPr>
        <w:t>八、年初结转和结余：指以前年度尚未完成、结转到本年按有关规定继续使用的资金。</w:t>
      </w:r>
    </w:p>
    <w:p w14:paraId="1EF4A5E1">
      <w:pPr>
        <w:autoSpaceDE w:val="0"/>
        <w:spacing w:line="560" w:lineRule="exact"/>
        <w:ind w:firstLine="640" w:firstLineChars="200"/>
        <w:rPr>
          <w:rFonts w:hint="default" w:ascii="Times New Roman" w:hAnsi="Times New Roman" w:eastAsia="仿宋_GB2312" w:cs="仿宋_GB2312"/>
          <w:sz w:val="32"/>
          <w:szCs w:val="32"/>
        </w:rPr>
      </w:pPr>
      <w:r>
        <w:rPr>
          <w:rFonts w:hint="default" w:ascii="仿宋_GB2312" w:hAnsi="Times New Roman" w:eastAsia="仿宋_GB2312" w:cs="仿宋_GB2312"/>
          <w:sz w:val="32"/>
          <w:szCs w:val="32"/>
        </w:rPr>
        <w:t>九、结余分配：指事业单位按规定提取的专用基金和缴纳的所得税。</w:t>
      </w:r>
    </w:p>
    <w:p w14:paraId="737FC723">
      <w:pPr>
        <w:autoSpaceDE w:val="0"/>
        <w:spacing w:line="560" w:lineRule="exact"/>
        <w:ind w:firstLine="640" w:firstLineChars="200"/>
        <w:rPr>
          <w:rFonts w:hint="default" w:ascii="Times New Roman" w:hAnsi="Times New Roman" w:eastAsia="仿宋_GB2312" w:cs="仿宋_GB2312"/>
          <w:sz w:val="32"/>
          <w:szCs w:val="32"/>
        </w:rPr>
      </w:pPr>
      <w:r>
        <w:rPr>
          <w:rFonts w:hint="default" w:ascii="仿宋_GB2312" w:hAnsi="Times New Roman" w:eastAsia="仿宋_GB2312" w:cs="仿宋_GB2312"/>
          <w:sz w:val="32"/>
          <w:szCs w:val="32"/>
        </w:rPr>
        <w:t>十、年末结转和结余：指本年度或以前年度预算安排、因客观条件发生变化无法按原计划实施，需要延迟到以后年度按有关规定继续使用的资金。</w:t>
      </w:r>
    </w:p>
    <w:p w14:paraId="25A0C3C1">
      <w:pPr>
        <w:autoSpaceDE w:val="0"/>
        <w:spacing w:line="560" w:lineRule="exact"/>
        <w:ind w:firstLine="640" w:firstLineChars="200"/>
        <w:rPr>
          <w:rFonts w:hint="default" w:ascii="Times New Roman" w:hAnsi="Times New Roman" w:eastAsia="仿宋_GB2312" w:cs="仿宋_GB2312"/>
          <w:sz w:val="32"/>
          <w:szCs w:val="32"/>
        </w:rPr>
      </w:pPr>
      <w:r>
        <w:rPr>
          <w:rFonts w:hint="default" w:ascii="仿宋_GB2312" w:hAnsi="Times New Roman" w:eastAsia="仿宋_GB2312" w:cs="仿宋_GB2312"/>
          <w:sz w:val="32"/>
          <w:szCs w:val="32"/>
        </w:rPr>
        <w:t>十一、基本支出：指为保障机构正常运转、完成日常工作任务而发生的人员支出和公用支出。</w:t>
      </w:r>
    </w:p>
    <w:p w14:paraId="250C579A">
      <w:pPr>
        <w:autoSpaceDE w:val="0"/>
        <w:spacing w:line="560" w:lineRule="exact"/>
        <w:ind w:firstLine="640" w:firstLineChars="200"/>
        <w:rPr>
          <w:rFonts w:hint="default" w:ascii="Times New Roman" w:hAnsi="Times New Roman" w:eastAsia="仿宋_GB2312" w:cs="仿宋_GB2312"/>
          <w:sz w:val="32"/>
          <w:szCs w:val="32"/>
        </w:rPr>
      </w:pPr>
      <w:r>
        <w:rPr>
          <w:rFonts w:hint="default" w:ascii="仿宋_GB2312" w:hAnsi="Times New Roman" w:eastAsia="仿宋_GB2312" w:cs="仿宋_GB2312"/>
          <w:sz w:val="32"/>
          <w:szCs w:val="32"/>
        </w:rPr>
        <w:t>十二、项目支出：指在基本支出之外为完成特定行政任务和事业发展目标所发生的支出。</w:t>
      </w:r>
    </w:p>
    <w:p w14:paraId="2E7B1663">
      <w:pPr>
        <w:autoSpaceDE w:val="0"/>
        <w:spacing w:line="560" w:lineRule="exact"/>
        <w:ind w:firstLine="640" w:firstLineChars="200"/>
        <w:rPr>
          <w:rFonts w:hint="default" w:ascii="Times New Roman" w:hAnsi="Times New Roman" w:eastAsia="仿宋_GB2312" w:cs="仿宋_GB2312"/>
          <w:sz w:val="32"/>
          <w:szCs w:val="32"/>
        </w:rPr>
      </w:pPr>
      <w:r>
        <w:rPr>
          <w:rFonts w:hint="default" w:ascii="仿宋_GB2312" w:hAnsi="Times New Roman" w:eastAsia="仿宋_GB2312" w:cs="仿宋_GB2312"/>
          <w:sz w:val="32"/>
          <w:szCs w:val="32"/>
        </w:rPr>
        <w:t>十三、经营支出：指事业单位在专业业务活动及其辅助活动之外开展非独立核算经营活动发生的支出。</w:t>
      </w:r>
    </w:p>
    <w:p w14:paraId="12B9070D">
      <w:pPr>
        <w:autoSpaceDE w:val="0"/>
        <w:spacing w:line="560" w:lineRule="exact"/>
        <w:ind w:firstLine="640" w:firstLineChars="200"/>
        <w:rPr>
          <w:rFonts w:hint="default" w:ascii="Times New Roman" w:hAnsi="Times New Roman" w:eastAsia="仿宋_GB2312" w:cs="仿宋_GB2312"/>
          <w:sz w:val="32"/>
          <w:szCs w:val="32"/>
        </w:rPr>
      </w:pPr>
      <w:r>
        <w:rPr>
          <w:rFonts w:hint="default" w:ascii="仿宋_GB2312" w:hAnsi="Times New Roman" w:eastAsia="仿宋_GB2312" w:cs="仿宋_GB2312"/>
          <w:sz w:val="32"/>
          <w:szCs w:val="32"/>
        </w:rPr>
        <w:t>十四、</w:t>
      </w:r>
      <w:r>
        <w:rPr>
          <w:rFonts w:hint="default" w:ascii="Times New Roman" w:hAnsi="Times New Roman" w:eastAsia="仿宋_GB2312"/>
          <w:sz w:val="32"/>
          <w:szCs w:val="32"/>
        </w:rPr>
        <w:t>“</w:t>
      </w:r>
      <w:r>
        <w:rPr>
          <w:rFonts w:hint="default" w:ascii="仿宋_GB2312" w:hAnsi="Times New Roman" w:eastAsia="仿宋_GB2312" w:cs="仿宋_GB2312"/>
          <w:sz w:val="32"/>
          <w:szCs w:val="32"/>
        </w:rPr>
        <w:t>三公</w:t>
      </w:r>
      <w:r>
        <w:rPr>
          <w:rFonts w:hint="default" w:ascii="Times New Roman" w:hAnsi="Times New Roman" w:eastAsia="仿宋_GB2312"/>
          <w:sz w:val="32"/>
          <w:szCs w:val="32"/>
        </w:rPr>
        <w:t>”</w:t>
      </w:r>
      <w:r>
        <w:rPr>
          <w:rFonts w:hint="default" w:ascii="仿宋_GB2312" w:hAnsi="Times New Roman" w:eastAsia="仿宋_GB2312" w:cs="仿宋_GB2312"/>
          <w:sz w:val="32"/>
          <w:szCs w:val="32"/>
        </w:rPr>
        <w:t>经费：纳入本级财政预决算管理的</w:t>
      </w:r>
      <w:r>
        <w:rPr>
          <w:rFonts w:hint="default" w:ascii="Times New Roman" w:hAnsi="Times New Roman" w:eastAsia="仿宋_GB2312"/>
          <w:sz w:val="32"/>
          <w:szCs w:val="32"/>
        </w:rPr>
        <w:t>“</w:t>
      </w:r>
      <w:r>
        <w:rPr>
          <w:rFonts w:hint="default" w:ascii="仿宋_GB2312" w:hAnsi="Times New Roman" w:eastAsia="仿宋_GB2312" w:cs="仿宋_GB2312"/>
          <w:sz w:val="32"/>
          <w:szCs w:val="32"/>
        </w:rPr>
        <w:t>三公</w:t>
      </w:r>
      <w:r>
        <w:rPr>
          <w:rFonts w:hint="default" w:ascii="Times New Roman" w:hAnsi="Times New Roman" w:eastAsia="仿宋_GB2312"/>
          <w:sz w:val="32"/>
          <w:szCs w:val="32"/>
        </w:rPr>
        <w:t>”</w:t>
      </w:r>
      <w:r>
        <w:rPr>
          <w:rFonts w:hint="default" w:ascii="仿宋_GB2312" w:hAnsi="Times New Roman" w:eastAsia="仿宋_GB2312" w:cs="仿宋_GB2312"/>
          <w:sz w:val="32"/>
          <w:szCs w:val="32"/>
        </w:rPr>
        <w:t>经费，是指本级部门用一般公共预算财政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2DA04DCE">
      <w:pPr>
        <w:autoSpaceDE w:val="0"/>
        <w:spacing w:line="560" w:lineRule="exact"/>
        <w:ind w:firstLine="640" w:firstLineChars="200"/>
        <w:rPr>
          <w:rFonts w:hint="default" w:ascii="Times New Roman" w:hAnsi="Times New Roman" w:eastAsia="仿宋_GB2312" w:cs="仿宋_GB2312"/>
          <w:sz w:val="32"/>
          <w:szCs w:val="32"/>
        </w:rPr>
      </w:pPr>
      <w:r>
        <w:rPr>
          <w:rFonts w:hint="default" w:ascii="仿宋_GB2312" w:hAnsi="Times New Roman" w:eastAsia="仿宋_GB2312" w:cs="仿宋_GB2312"/>
          <w:sz w:val="32"/>
          <w:szCs w:val="32"/>
        </w:rPr>
        <w:t>十五、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2D2DA49">
      <w:pPr>
        <w:autoSpaceDE w:val="0"/>
        <w:spacing w:line="560" w:lineRule="exact"/>
        <w:ind w:firstLine="645"/>
        <w:rPr>
          <w:rFonts w:hint="default" w:ascii="Times New Roman" w:hAnsi="Times New Roman" w:eastAsia="仿宋_GB2312" w:cs="仿宋_GB2312"/>
          <w:sz w:val="32"/>
          <w:szCs w:val="32"/>
        </w:rPr>
      </w:pPr>
      <w:r>
        <w:rPr>
          <w:rFonts w:hint="default" w:ascii="仿宋_GB2312" w:hAnsi="Times New Roman" w:eastAsia="仿宋_GB2312" w:cs="仿宋_GB2312"/>
          <w:sz w:val="32"/>
          <w:szCs w:val="32"/>
        </w:rPr>
        <w:t>（支出功能分类的名词解释，各部门（单位）根据实际支出情况填列，可参阅财政部印发的《</w:t>
      </w:r>
      <w:r>
        <w:rPr>
          <w:rFonts w:hint="default" w:ascii="Times New Roman" w:hAnsi="Times New Roman" w:eastAsia="仿宋_GB2312" w:cs="仿宋_GB2312"/>
          <w:sz w:val="32"/>
          <w:szCs w:val="32"/>
        </w:rPr>
        <w:t>2021</w:t>
      </w:r>
      <w:r>
        <w:rPr>
          <w:rFonts w:hint="default" w:ascii="仿宋_GB2312" w:hAnsi="Times New Roman" w:eastAsia="仿宋_GB2312" w:cs="仿宋_GB2312"/>
          <w:sz w:val="32"/>
          <w:szCs w:val="32"/>
        </w:rPr>
        <w:t>年政府收支分类科目》）</w:t>
      </w:r>
    </w:p>
    <w:p w14:paraId="4FDB8FB5">
      <w:pPr>
        <w:autoSpaceDE w:val="0"/>
        <w:spacing w:line="560" w:lineRule="exact"/>
        <w:rPr>
          <w:rFonts w:hint="default" w:ascii="Times New Roman" w:hAnsi="Times New Roman" w:eastAsia="仿宋_GB2312" w:cs="仿宋_GB2312"/>
          <w:sz w:val="32"/>
          <w:szCs w:val="32"/>
        </w:rPr>
      </w:pPr>
      <w:r>
        <w:rPr>
          <w:rFonts w:hint="default" w:ascii="Times New Roman" w:hAnsi="Times New Roman" w:eastAsia="仿宋_GB2312"/>
          <w:sz w:val="32"/>
          <w:szCs w:val="32"/>
        </w:rPr>
        <w:t>……</w:t>
      </w:r>
    </w:p>
    <w:p w14:paraId="78462232">
      <w:pPr>
        <w:jc w:val="cente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C3F38">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F6961B">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8F6961B">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E92961"/>
    <w:multiLevelType w:val="multilevel"/>
    <w:tmpl w:val="D8E92961"/>
    <w:lvl w:ilvl="0" w:tentative="0">
      <w:start w:val="3"/>
      <w:numFmt w:val="chineseCounting"/>
      <w:suff w:val="space"/>
      <w:lvlText w:val="第%1部分"/>
      <w:lvlJc w:val="left"/>
      <w:pPr>
        <w:tabs>
          <w:tab w:val="left" w:pos="0"/>
        </w:tabs>
        <w:ind w:left="240" w:firstLine="0"/>
      </w:pPr>
      <w:rPr>
        <w:rFonts w:hint="eastAsia" w:ascii="黑体" w:hAnsi="宋体" w:eastAsia="黑体" w:cs="黑体"/>
      </w:rPr>
    </w:lvl>
    <w:lvl w:ilvl="1" w:tentative="0">
      <w:start w:val="1"/>
      <w:numFmt w:val="decimal"/>
      <w:lvlText w:val="%2."/>
      <w:lvlJc w:val="left"/>
      <w:pPr>
        <w:tabs>
          <w:tab w:val="left" w:pos="1440"/>
        </w:tabs>
        <w:ind w:left="1680" w:hanging="360"/>
      </w:pPr>
      <w:rPr>
        <w:rFonts w:hint="default" w:ascii="Times New Roman" w:hAnsi="Times New Roman" w:cs="Times New Roman"/>
      </w:rPr>
    </w:lvl>
    <w:lvl w:ilvl="2" w:tentative="0">
      <w:start w:val="1"/>
      <w:numFmt w:val="decimal"/>
      <w:lvlText w:val="%3."/>
      <w:lvlJc w:val="left"/>
      <w:pPr>
        <w:tabs>
          <w:tab w:val="left" w:pos="2160"/>
        </w:tabs>
        <w:ind w:left="2400" w:hanging="360"/>
      </w:pPr>
      <w:rPr>
        <w:rFonts w:hint="default" w:ascii="Times New Roman" w:hAnsi="Times New Roman" w:cs="Times New Roman"/>
      </w:rPr>
    </w:lvl>
    <w:lvl w:ilvl="3" w:tentative="0">
      <w:start w:val="1"/>
      <w:numFmt w:val="decimal"/>
      <w:lvlText w:val="%4."/>
      <w:lvlJc w:val="left"/>
      <w:pPr>
        <w:tabs>
          <w:tab w:val="left" w:pos="2880"/>
        </w:tabs>
        <w:ind w:left="3120" w:hanging="360"/>
      </w:pPr>
      <w:rPr>
        <w:rFonts w:hint="default" w:ascii="Times New Roman" w:hAnsi="Times New Roman" w:cs="Times New Roman"/>
      </w:rPr>
    </w:lvl>
    <w:lvl w:ilvl="4" w:tentative="0">
      <w:start w:val="1"/>
      <w:numFmt w:val="decimal"/>
      <w:lvlText w:val="%5."/>
      <w:lvlJc w:val="left"/>
      <w:pPr>
        <w:tabs>
          <w:tab w:val="left" w:pos="3600"/>
        </w:tabs>
        <w:ind w:left="3840" w:hanging="360"/>
      </w:pPr>
      <w:rPr>
        <w:rFonts w:hint="default" w:ascii="Times New Roman" w:hAnsi="Times New Roman" w:cs="Times New Roman"/>
      </w:rPr>
    </w:lvl>
    <w:lvl w:ilvl="5" w:tentative="0">
      <w:start w:val="1"/>
      <w:numFmt w:val="decimal"/>
      <w:lvlText w:val="%6."/>
      <w:lvlJc w:val="left"/>
      <w:pPr>
        <w:tabs>
          <w:tab w:val="left" w:pos="4320"/>
        </w:tabs>
        <w:ind w:left="4560" w:hanging="360"/>
      </w:pPr>
      <w:rPr>
        <w:rFonts w:hint="default" w:ascii="Times New Roman" w:hAnsi="Times New Roman" w:cs="Times New Roman"/>
      </w:rPr>
    </w:lvl>
    <w:lvl w:ilvl="6" w:tentative="0">
      <w:start w:val="1"/>
      <w:numFmt w:val="decimal"/>
      <w:lvlText w:val="%7."/>
      <w:lvlJc w:val="left"/>
      <w:pPr>
        <w:tabs>
          <w:tab w:val="left" w:pos="5040"/>
        </w:tabs>
        <w:ind w:left="5280" w:hanging="360"/>
      </w:pPr>
      <w:rPr>
        <w:rFonts w:hint="default" w:ascii="Times New Roman" w:hAnsi="Times New Roman" w:cs="Times New Roman"/>
      </w:rPr>
    </w:lvl>
    <w:lvl w:ilvl="7" w:tentative="0">
      <w:start w:val="1"/>
      <w:numFmt w:val="decimal"/>
      <w:lvlText w:val="%8."/>
      <w:lvlJc w:val="left"/>
      <w:pPr>
        <w:tabs>
          <w:tab w:val="left" w:pos="5760"/>
        </w:tabs>
        <w:ind w:left="6000" w:hanging="360"/>
      </w:pPr>
      <w:rPr>
        <w:rFonts w:hint="default" w:ascii="Times New Roman" w:hAnsi="Times New Roman" w:cs="Times New Roman"/>
      </w:rPr>
    </w:lvl>
    <w:lvl w:ilvl="8" w:tentative="0">
      <w:start w:val="1"/>
      <w:numFmt w:val="decimal"/>
      <w:lvlText w:val="%9."/>
      <w:lvlJc w:val="left"/>
      <w:pPr>
        <w:tabs>
          <w:tab w:val="left" w:pos="6480"/>
        </w:tabs>
        <w:ind w:left="6720" w:hanging="360"/>
      </w:pPr>
      <w:rPr>
        <w:rFonts w:hint="default" w:ascii="Times New Roman" w:hAnsi="Times New Roman" w:cs="Times New Roman"/>
      </w:rPr>
    </w:lvl>
  </w:abstractNum>
  <w:abstractNum w:abstractNumId="1">
    <w:nsid w:val="FFEEA659"/>
    <w:multiLevelType w:val="singleLevel"/>
    <w:tmpl w:val="FFEEA659"/>
    <w:lvl w:ilvl="0" w:tentative="0">
      <w:start w:val="12"/>
      <w:numFmt w:val="chineseCounting"/>
      <w:suff w:val="nothing"/>
      <w:lvlText w:val="%1、"/>
      <w:lvlJc w:val="left"/>
      <w:rPr>
        <w:rFonts w:hint="eastAsia"/>
      </w:rPr>
    </w:lvl>
  </w:abstractNum>
  <w:abstractNum w:abstractNumId="2">
    <w:nsid w:val="1FE8C2B2"/>
    <w:multiLevelType w:val="multilevel"/>
    <w:tmpl w:val="1FE8C2B2"/>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3">
    <w:nsid w:val="6D6EEB25"/>
    <w:multiLevelType w:val="singleLevel"/>
    <w:tmpl w:val="6D6EEB25"/>
    <w:lvl w:ilvl="0" w:tentative="0">
      <w:start w:val="3"/>
      <w:numFmt w:val="chineseCounting"/>
      <w:suff w:val="nothing"/>
      <w:lvlText w:val="（%1）"/>
      <w:lvlJc w:val="left"/>
      <w:rPr>
        <w:rFonts w:hint="eastAsia"/>
      </w:rPr>
    </w:lvl>
  </w:abstractNum>
  <w:abstractNum w:abstractNumId="4">
    <w:nsid w:val="6F31129A"/>
    <w:multiLevelType w:val="singleLevel"/>
    <w:tmpl w:val="6F31129A"/>
    <w:lvl w:ilvl="0" w:tentative="0">
      <w:start w:val="1"/>
      <w:numFmt w:val="decimal"/>
      <w:lvlText w:val="%1."/>
      <w:lvlJc w:val="left"/>
      <w:pPr>
        <w:tabs>
          <w:tab w:val="left" w:pos="312"/>
        </w:tabs>
      </w:pPr>
    </w:lvl>
  </w:abstractNum>
  <w:abstractNum w:abstractNumId="5">
    <w:nsid w:val="72109F8D"/>
    <w:multiLevelType w:val="singleLevel"/>
    <w:tmpl w:val="72109F8D"/>
    <w:lvl w:ilvl="0" w:tentative="0">
      <w:start w:val="7"/>
      <w:numFmt w:val="chineseCounting"/>
      <w:suff w:val="nothing"/>
      <w:lvlText w:val="%1、"/>
      <w:lvlJc w:val="left"/>
      <w:rPr>
        <w:rFonts w:hint="eastAsia"/>
      </w:rPr>
    </w:lvl>
  </w:abstractNum>
  <w:num w:numId="1">
    <w:abstractNumId w:val="5"/>
  </w:num>
  <w:num w:numId="2">
    <w:abstractNumId w:val="0"/>
  </w:num>
  <w:num w:numId="3">
    <w:abstractNumId w:val="2"/>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yMjljNzNkZmRiMmQ1NWEyZTcxODQxOWUxNmU0YTIifQ=="/>
  </w:docVars>
  <w:rsids>
    <w:rsidRoot w:val="45E03AF9"/>
    <w:rsid w:val="000D3904"/>
    <w:rsid w:val="002D7AEA"/>
    <w:rsid w:val="0050085A"/>
    <w:rsid w:val="006C167C"/>
    <w:rsid w:val="00AA05B1"/>
    <w:rsid w:val="00C34A48"/>
    <w:rsid w:val="00DD7E52"/>
    <w:rsid w:val="00F05725"/>
    <w:rsid w:val="05E47CBB"/>
    <w:rsid w:val="07E62D7E"/>
    <w:rsid w:val="089333A8"/>
    <w:rsid w:val="09DE4969"/>
    <w:rsid w:val="0A200B7B"/>
    <w:rsid w:val="0B4B636E"/>
    <w:rsid w:val="0F77E5AA"/>
    <w:rsid w:val="0F8FEFD4"/>
    <w:rsid w:val="1374D7F4"/>
    <w:rsid w:val="17525E6B"/>
    <w:rsid w:val="17FB636B"/>
    <w:rsid w:val="21C128A1"/>
    <w:rsid w:val="22FF35CB"/>
    <w:rsid w:val="2EDC0D70"/>
    <w:rsid w:val="2EFB62D3"/>
    <w:rsid w:val="34F91651"/>
    <w:rsid w:val="387A29E4"/>
    <w:rsid w:val="3A233369"/>
    <w:rsid w:val="3BDE104E"/>
    <w:rsid w:val="3C076754"/>
    <w:rsid w:val="3DFF354F"/>
    <w:rsid w:val="3F579752"/>
    <w:rsid w:val="3FBF9C65"/>
    <w:rsid w:val="45E03AF9"/>
    <w:rsid w:val="48E65B71"/>
    <w:rsid w:val="4EDD0FE4"/>
    <w:rsid w:val="4F50502B"/>
    <w:rsid w:val="53C343F4"/>
    <w:rsid w:val="55662876"/>
    <w:rsid w:val="57BE610F"/>
    <w:rsid w:val="57FB9597"/>
    <w:rsid w:val="58CD4DB3"/>
    <w:rsid w:val="59FFB1AC"/>
    <w:rsid w:val="5B7F958F"/>
    <w:rsid w:val="5F5AA33D"/>
    <w:rsid w:val="5F5BA1D7"/>
    <w:rsid w:val="5FEDA175"/>
    <w:rsid w:val="5FFB3435"/>
    <w:rsid w:val="65F5A22F"/>
    <w:rsid w:val="67D476EC"/>
    <w:rsid w:val="67DFA1CB"/>
    <w:rsid w:val="69224EEB"/>
    <w:rsid w:val="6A555C4B"/>
    <w:rsid w:val="6A784B8B"/>
    <w:rsid w:val="6F734BAB"/>
    <w:rsid w:val="6FA57288"/>
    <w:rsid w:val="70FE9CFC"/>
    <w:rsid w:val="73E7BD55"/>
    <w:rsid w:val="73FE6E11"/>
    <w:rsid w:val="75AB6268"/>
    <w:rsid w:val="76DC2F30"/>
    <w:rsid w:val="77FE27DF"/>
    <w:rsid w:val="783134DA"/>
    <w:rsid w:val="78738DBD"/>
    <w:rsid w:val="7BCE691C"/>
    <w:rsid w:val="7EEE6EB4"/>
    <w:rsid w:val="7EFF53FB"/>
    <w:rsid w:val="7F673039"/>
    <w:rsid w:val="7F6F2365"/>
    <w:rsid w:val="7FBD0EBD"/>
    <w:rsid w:val="7FE665CF"/>
    <w:rsid w:val="7FFF03AC"/>
    <w:rsid w:val="9FCD62C9"/>
    <w:rsid w:val="A3AB679B"/>
    <w:rsid w:val="ABDF3AE2"/>
    <w:rsid w:val="B57B7D3A"/>
    <w:rsid w:val="B8ED542F"/>
    <w:rsid w:val="BDF2C437"/>
    <w:rsid w:val="BDFFD383"/>
    <w:rsid w:val="BEC710CD"/>
    <w:rsid w:val="BEDB944F"/>
    <w:rsid w:val="BF698E6E"/>
    <w:rsid w:val="BFEF365D"/>
    <w:rsid w:val="CCAFD4BC"/>
    <w:rsid w:val="D7FF1A1A"/>
    <w:rsid w:val="DD6FA9A4"/>
    <w:rsid w:val="EBF0E6A0"/>
    <w:rsid w:val="EDFF84DF"/>
    <w:rsid w:val="EF79128C"/>
    <w:rsid w:val="EF7F99C5"/>
    <w:rsid w:val="EFFF8962"/>
    <w:rsid w:val="F57F811D"/>
    <w:rsid w:val="F72FA288"/>
    <w:rsid w:val="F9DB0FE3"/>
    <w:rsid w:val="F9FD2491"/>
    <w:rsid w:val="FABF1BB7"/>
    <w:rsid w:val="FB9FB568"/>
    <w:rsid w:val="FBBFA71C"/>
    <w:rsid w:val="FC1F9D7E"/>
    <w:rsid w:val="FCB77646"/>
    <w:rsid w:val="FCF7EADB"/>
    <w:rsid w:val="FCFE6F10"/>
    <w:rsid w:val="FD5FD85E"/>
    <w:rsid w:val="FDFD0711"/>
    <w:rsid w:val="FDFE3F85"/>
    <w:rsid w:val="FF1D17D4"/>
    <w:rsid w:val="FF1E9956"/>
    <w:rsid w:val="FF7EB698"/>
    <w:rsid w:val="FFCB1C66"/>
    <w:rsid w:val="FFD6E8A0"/>
    <w:rsid w:val="FFDC4AC3"/>
    <w:rsid w:val="FFFF1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99"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unhideWhenUsed/>
    <w:qFormat/>
    <w:uiPriority w:val="99"/>
    <w:rPr>
      <w:rFonts w:hint="eastAsia" w:ascii="宋体" w:hAnsi="宋体" w:eastAsia="宋体" w:cs="Times New Roman"/>
      <w:sz w:val="24"/>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snapToGrid w:val="0"/>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customStyle="1" w:styleId="6">
    <w:name w:val="WPSOffice手动目录 1"/>
    <w:qFormat/>
    <w:uiPriority w:val="0"/>
    <w:rPr>
      <w:rFonts w:ascii="Times New Roman" w:hAnsi="Times New Roman" w:eastAsia="宋体" w:cs="Times New Roman"/>
      <w:lang w:val="en-US" w:eastAsia="zh-CN" w:bidi="ar-SA"/>
    </w:rPr>
  </w:style>
  <w:style w:type="paragraph" w:customStyle="1" w:styleId="7">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7916</Words>
  <Characters>8982</Characters>
  <Lines>76</Lines>
  <Paragraphs>21</Paragraphs>
  <TotalTime>31</TotalTime>
  <ScaleCrop>false</ScaleCrop>
  <LinksUpToDate>false</LinksUpToDate>
  <CharactersWithSpaces>9306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2022-08-26T18:06:00Z</dcterms:created>
  <dc:creator>王昉</dc:creator>
  <cp:lastModifiedBy>G</cp:lastModifiedBy>
  <cp:lastPrinted>2023-09-27T07:37:00Z</cp:lastPrinted>
  <dcterms:modified xsi:type="dcterms:W3CDTF">2024-08-24T09:09:54Z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4B1C169888FE464490F4A634974211A6</vt:lpwstr>
  </property>
</Properties>
</file>