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024EE" w:rsidRDefault="00000000">
      <w:pPr>
        <w:snapToGrid w:val="0"/>
        <w:spacing w:line="520" w:lineRule="exact"/>
        <w:rPr>
          <w:rFonts w:ascii="仿宋_GB2312" w:eastAsia="仿宋_GB2312" w:hAnsi="仿宋" w:hint="eastAsia"/>
          <w:sz w:val="32"/>
          <w:szCs w:val="32"/>
        </w:rPr>
      </w:pPr>
      <w:r>
        <w:rPr>
          <w:rFonts w:ascii="仿宋_GB2312" w:eastAsia="仿宋_GB2312" w:hAnsi="仿宋" w:hint="eastAsia"/>
          <w:sz w:val="32"/>
          <w:szCs w:val="32"/>
        </w:rPr>
        <w:t>附件2</w:t>
      </w:r>
    </w:p>
    <w:p w:rsidR="008024EE" w:rsidRDefault="00000000">
      <w:pPr>
        <w:spacing w:line="700" w:lineRule="exact"/>
        <w:jc w:val="center"/>
        <w:rPr>
          <w:rFonts w:ascii="方正小标宋_GBK" w:eastAsia="方正小标宋_GBK" w:hAnsi="方正小标宋_GBK" w:cs="方正小标宋_GBK" w:hint="eastAsia"/>
          <w:spacing w:val="-6"/>
          <w:sz w:val="44"/>
          <w:szCs w:val="44"/>
        </w:rPr>
      </w:pPr>
      <w:r>
        <w:rPr>
          <w:rFonts w:ascii="方正小标宋_GBK" w:eastAsia="方正小标宋_GBK" w:hAnsi="方正小标宋_GBK" w:cs="方正小标宋_GBK" w:hint="eastAsia"/>
          <w:spacing w:val="-6"/>
          <w:sz w:val="44"/>
          <w:szCs w:val="44"/>
        </w:rPr>
        <w:t>关于学院2023年度预算说明</w:t>
      </w:r>
    </w:p>
    <w:p w:rsidR="008024EE" w:rsidRDefault="008024EE">
      <w:pPr>
        <w:pStyle w:val="2"/>
      </w:pPr>
    </w:p>
    <w:p w:rsidR="008024EE" w:rsidRDefault="00000000">
      <w:pPr>
        <w:pStyle w:val="1"/>
        <w:numPr>
          <w:ilvl w:val="255"/>
          <w:numId w:val="0"/>
        </w:numPr>
        <w:ind w:firstLineChars="200" w:firstLine="640"/>
        <w:jc w:val="left"/>
        <w:rPr>
          <w:rFonts w:ascii="黑体" w:eastAsia="黑体" w:hAnsi="黑体" w:cs="仿宋_GB2312" w:hint="eastAsia"/>
          <w:sz w:val="32"/>
          <w:szCs w:val="32"/>
        </w:rPr>
      </w:pPr>
      <w:r>
        <w:rPr>
          <w:rFonts w:ascii="黑体" w:eastAsia="黑体" w:hAnsi="黑体" w:cs="仿宋_GB2312"/>
          <w:sz w:val="32"/>
          <w:szCs w:val="32"/>
        </w:rPr>
        <w:t>一、</w:t>
      </w:r>
      <w:r>
        <w:rPr>
          <w:rFonts w:ascii="黑体" w:eastAsia="黑体" w:hAnsi="黑体" w:cs="仿宋_GB2312" w:hint="eastAsia"/>
          <w:sz w:val="32"/>
          <w:szCs w:val="32"/>
        </w:rPr>
        <w:t>学院概况</w:t>
      </w:r>
    </w:p>
    <w:p w:rsidR="008024EE"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一）海南经贸职业技术学院系隶属于海南省教育厅的副厅级差额拨款事业单位，于2004年7月5日经海南省人民政府“琼府函【2004】41号”文件批复，由海南省对外贸易学校升格成立，并取得海南省事业单位登记管理局核发的“事证第12460000428201110J号”《事业单位法人证书》，以培养高等专科</w:t>
      </w:r>
      <w:proofErr w:type="gramStart"/>
      <w:r>
        <w:rPr>
          <w:rFonts w:ascii="仿宋_GB2312" w:eastAsia="仿宋_GB2312" w:hAnsi="黑体" w:hint="eastAsia"/>
          <w:sz w:val="32"/>
          <w:szCs w:val="32"/>
        </w:rPr>
        <w:t>学历经贸</w:t>
      </w:r>
      <w:proofErr w:type="gramEnd"/>
      <w:r>
        <w:rPr>
          <w:rFonts w:ascii="仿宋_GB2312" w:eastAsia="仿宋_GB2312" w:hAnsi="黑体" w:hint="eastAsia"/>
          <w:sz w:val="32"/>
          <w:szCs w:val="32"/>
        </w:rPr>
        <w:t>人才、促进经济发展为办学宗旨，业务范围包括高等经贸职业教育、大专和本科函授教育、各类职业技术培训和职业技能鉴定。</w:t>
      </w:r>
    </w:p>
    <w:p w:rsidR="008B6CAA" w:rsidRPr="004924A1" w:rsidRDefault="008B6CAA" w:rsidP="008B6CAA">
      <w:pPr>
        <w:snapToGrid w:val="0"/>
        <w:spacing w:line="520" w:lineRule="exact"/>
        <w:ind w:firstLineChars="200" w:firstLine="640"/>
        <w:rPr>
          <w:rFonts w:ascii="仿宋_GB2312" w:eastAsia="仿宋_GB2312" w:hAnsi="仿宋"/>
          <w:sz w:val="32"/>
          <w:szCs w:val="32"/>
          <w:highlight w:val="cyan"/>
        </w:rPr>
      </w:pPr>
      <w:r w:rsidRPr="004924A1">
        <w:rPr>
          <w:rFonts w:ascii="仿宋_GB2312" w:eastAsia="仿宋_GB2312" w:hAnsi="仿宋" w:hint="eastAsia"/>
          <w:sz w:val="32"/>
          <w:szCs w:val="32"/>
          <w:highlight w:val="cyan"/>
        </w:rPr>
        <w:t>我单位职责：</w:t>
      </w:r>
    </w:p>
    <w:p w:rsidR="008B6CAA" w:rsidRPr="004924A1" w:rsidRDefault="008B6CAA" w:rsidP="008B6CAA">
      <w:pPr>
        <w:snapToGrid w:val="0"/>
        <w:spacing w:line="520" w:lineRule="exact"/>
        <w:ind w:firstLineChars="200" w:firstLine="640"/>
        <w:rPr>
          <w:rFonts w:ascii="仿宋_GB2312" w:eastAsia="仿宋_GB2312" w:hAnsi="仿宋" w:hint="eastAsia"/>
          <w:sz w:val="32"/>
          <w:szCs w:val="32"/>
          <w:highlight w:val="cyan"/>
        </w:rPr>
      </w:pPr>
      <w:r w:rsidRPr="004924A1">
        <w:rPr>
          <w:rFonts w:ascii="仿宋_GB2312" w:eastAsia="仿宋_GB2312" w:hAnsi="仿宋" w:hint="eastAsia"/>
          <w:sz w:val="32"/>
          <w:szCs w:val="32"/>
          <w:highlight w:val="cyan"/>
        </w:rPr>
        <w:t>1.按照《中华人民共和国高等教育法》、《中华人民共和国职业教育法》等法律法规规定开展高等教育工作。</w:t>
      </w:r>
    </w:p>
    <w:p w:rsidR="008B6CAA" w:rsidRPr="004924A1" w:rsidRDefault="008B6CAA" w:rsidP="008B6CAA">
      <w:pPr>
        <w:snapToGrid w:val="0"/>
        <w:spacing w:line="520" w:lineRule="exact"/>
        <w:ind w:firstLineChars="200" w:firstLine="640"/>
        <w:rPr>
          <w:rFonts w:ascii="仿宋_GB2312" w:eastAsia="仿宋_GB2312" w:hAnsi="仿宋" w:hint="eastAsia"/>
          <w:sz w:val="32"/>
          <w:szCs w:val="32"/>
          <w:highlight w:val="cyan"/>
        </w:rPr>
      </w:pPr>
      <w:r w:rsidRPr="004924A1">
        <w:rPr>
          <w:rFonts w:ascii="仿宋_GB2312" w:eastAsia="仿宋_GB2312" w:hAnsi="仿宋" w:hint="eastAsia"/>
          <w:sz w:val="32"/>
          <w:szCs w:val="32"/>
          <w:highlight w:val="cyan"/>
        </w:rPr>
        <w:t>2.承担经贸人才培养工作。</w:t>
      </w:r>
    </w:p>
    <w:p w:rsidR="008B6CAA" w:rsidRPr="004924A1" w:rsidRDefault="008B6CAA" w:rsidP="008B6CAA">
      <w:pPr>
        <w:snapToGrid w:val="0"/>
        <w:spacing w:line="520" w:lineRule="exact"/>
        <w:ind w:firstLineChars="200" w:firstLine="640"/>
        <w:rPr>
          <w:rFonts w:ascii="仿宋_GB2312" w:eastAsia="仿宋_GB2312" w:hAnsi="仿宋" w:hint="eastAsia"/>
          <w:sz w:val="32"/>
          <w:szCs w:val="32"/>
        </w:rPr>
      </w:pPr>
      <w:r w:rsidRPr="004924A1">
        <w:rPr>
          <w:rFonts w:ascii="仿宋_GB2312" w:eastAsia="仿宋_GB2312" w:hAnsi="仿宋" w:hint="eastAsia"/>
          <w:sz w:val="32"/>
          <w:szCs w:val="32"/>
          <w:highlight w:val="cyan"/>
        </w:rPr>
        <w:t>3.承办上级主管部门交办的其他工作。</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（二）机构情况。我院设有党政办公室、组织人事处等管理机构13个，财务管理学院、国际贸易学院等教学单位12个，图书馆、高等职业教育研究所等教辅单位5个，共计30个二级部门和单位。</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（三）人员情况。我院2022年末编制人数为656人,实际教职工人数为747人，其中，在编人数582人，聘用人员</w:t>
      </w:r>
      <w:r>
        <w:rPr>
          <w:rFonts w:ascii="仿宋_GB2312" w:eastAsia="仿宋_GB2312" w:hAnsi="黑体" w:hint="eastAsia"/>
          <w:sz w:val="32"/>
          <w:szCs w:val="32"/>
        </w:rPr>
        <w:lastRenderedPageBreak/>
        <w:t>158人，遗属2人。教职工人数比上一年增加79人，主要原因是为满足学院师生占比，2022年度招聘大量专任教师和辅导员。</w:t>
      </w:r>
    </w:p>
    <w:p w:rsidR="008024EE"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二、学院2023年财政拨款收支预算情况</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学院2023年财政拨款收支总预算28294.82万元,比上年预算数增加1782.62万元，主要是上年结转的一般公共预算拨款较去年增加以及本年一般财政预算拨款收入较去年有所增加。其中：预算收入总计28294.82万元，包括一般公共预算本年收入26728.97万元、上年结转1565.85万元；预算支出总计28294.82万元，包括一般公共服务支出0.8万元，教育支出25771.28万元、科学技术支出114.94万元、社会保障和就业支出1295.15万元、卫生健康支出403.03万元、</w:t>
      </w:r>
      <w:r>
        <w:rPr>
          <w:rFonts w:ascii="仿宋_GB2312" w:eastAsia="仿宋_GB2312" w:hAnsi="黑体" w:hint="eastAsia"/>
          <w:sz w:val="32"/>
          <w:szCs w:val="32"/>
        </w:rPr>
        <w:t> </w:t>
      </w:r>
      <w:r>
        <w:rPr>
          <w:rFonts w:ascii="仿宋_GB2312" w:eastAsia="仿宋_GB2312" w:hAnsi="黑体" w:hint="eastAsia"/>
          <w:sz w:val="32"/>
          <w:szCs w:val="32"/>
        </w:rPr>
        <w:t>住房保障支出709.62万元。</w:t>
      </w:r>
    </w:p>
    <w:p w:rsidR="008024EE" w:rsidRDefault="00000000">
      <w:pPr>
        <w:ind w:firstLine="640"/>
        <w:jc w:val="left"/>
        <w:rPr>
          <w:rFonts w:ascii="黑体" w:eastAsia="黑体" w:hAnsi="黑体" w:hint="eastAsia"/>
          <w:sz w:val="32"/>
          <w:szCs w:val="32"/>
        </w:rPr>
      </w:pPr>
      <w:r>
        <w:rPr>
          <w:rFonts w:ascii="黑体" w:eastAsia="黑体" w:hAnsi="黑体" w:hint="eastAsia"/>
          <w:sz w:val="32"/>
          <w:szCs w:val="32"/>
        </w:rPr>
        <w:t>三、学院2023年一般公共预算当年拨款情况</w:t>
      </w:r>
    </w:p>
    <w:p w:rsidR="008024EE" w:rsidRDefault="00000000">
      <w:pPr>
        <w:ind w:firstLineChars="200" w:firstLine="640"/>
        <w:rPr>
          <w:rFonts w:ascii="楷体" w:eastAsia="楷体" w:hAnsi="楷体" w:hint="eastAsia"/>
          <w:sz w:val="32"/>
          <w:szCs w:val="32"/>
        </w:rPr>
      </w:pPr>
      <w:r>
        <w:rPr>
          <w:rFonts w:ascii="楷体" w:eastAsia="楷体" w:hAnsi="楷体" w:hint="eastAsia"/>
          <w:sz w:val="32"/>
          <w:szCs w:val="32"/>
        </w:rPr>
        <w:t>（一）一般公共预算当年规模变化情况</w:t>
      </w:r>
    </w:p>
    <w:p w:rsidR="008024EE" w:rsidRDefault="00000000">
      <w:pPr>
        <w:pStyle w:val="a4"/>
        <w:ind w:firstLineChars="200" w:firstLine="640"/>
        <w:rPr>
          <w:rFonts w:ascii="仿宋_GB2312" w:eastAsia="仿宋_GB2312" w:hAnsi="黑体" w:hint="eastAsia"/>
          <w:sz w:val="32"/>
          <w:szCs w:val="32"/>
        </w:rPr>
      </w:pPr>
      <w:r>
        <w:rPr>
          <w:rFonts w:ascii="仿宋_GB2312" w:eastAsia="仿宋_GB2312" w:hAnsi="黑体" w:hint="eastAsia"/>
          <w:sz w:val="32"/>
          <w:szCs w:val="32"/>
        </w:rPr>
        <w:t>学院2023年一般公共预算当年拨款26728.97万元，比上年预算数增加774.35万元，主要是由于现代职业教育质量提升计划专项拨款增加和学院招收学生数量增加以及招聘人员转正财政拨款增加产生的。</w:t>
      </w:r>
    </w:p>
    <w:p w:rsidR="008024EE" w:rsidRDefault="00000000">
      <w:pPr>
        <w:ind w:firstLineChars="200" w:firstLine="640"/>
        <w:rPr>
          <w:rFonts w:ascii="楷体" w:eastAsia="楷体" w:hAnsi="楷体" w:hint="eastAsia"/>
          <w:sz w:val="32"/>
          <w:szCs w:val="32"/>
        </w:rPr>
      </w:pPr>
      <w:r>
        <w:rPr>
          <w:rFonts w:ascii="楷体" w:eastAsia="楷体" w:hAnsi="楷体" w:hint="eastAsia"/>
          <w:sz w:val="32"/>
          <w:szCs w:val="32"/>
        </w:rPr>
        <w:t>（二）一般公共预算当年拨款结构情况</w:t>
      </w:r>
    </w:p>
    <w:p w:rsidR="008024EE" w:rsidRDefault="00000000">
      <w:pPr>
        <w:ind w:firstLineChars="250" w:firstLine="800"/>
        <w:rPr>
          <w:rFonts w:ascii="仿宋_GB2312" w:eastAsia="仿宋_GB2312" w:hAnsi="黑体" w:hint="eastAsia"/>
          <w:sz w:val="32"/>
          <w:szCs w:val="32"/>
        </w:rPr>
      </w:pPr>
      <w:r>
        <w:rPr>
          <w:rFonts w:ascii="仿宋_GB2312" w:eastAsia="仿宋_GB2312" w:hAnsi="黑体" w:hint="eastAsia"/>
          <w:sz w:val="32"/>
          <w:szCs w:val="32"/>
        </w:rPr>
        <w:t>教育（类）支出24264.87万元，占90.78%；社会保障和就业支出1295.15万元，占4.85%；卫生健康支出403.03</w:t>
      </w:r>
      <w:r>
        <w:rPr>
          <w:rFonts w:ascii="仿宋_GB2312" w:eastAsia="仿宋_GB2312" w:hAnsi="黑体" w:hint="eastAsia"/>
          <w:sz w:val="32"/>
          <w:szCs w:val="32"/>
        </w:rPr>
        <w:lastRenderedPageBreak/>
        <w:t>万元，占1.51%；</w:t>
      </w:r>
      <w:r>
        <w:rPr>
          <w:rFonts w:ascii="仿宋_GB2312" w:eastAsia="仿宋_GB2312" w:hAnsi="黑体" w:hint="eastAsia"/>
          <w:sz w:val="32"/>
          <w:szCs w:val="32"/>
        </w:rPr>
        <w:t> </w:t>
      </w:r>
      <w:r>
        <w:rPr>
          <w:rFonts w:ascii="仿宋_GB2312" w:eastAsia="仿宋_GB2312" w:hAnsi="黑体" w:hint="eastAsia"/>
          <w:sz w:val="32"/>
          <w:szCs w:val="32"/>
        </w:rPr>
        <w:t>住房保障支出709.62万元，占2.65%;科学技术支出</w:t>
      </w:r>
      <w:r>
        <w:rPr>
          <w:rFonts w:ascii="仿宋_GB2312" w:eastAsia="仿宋_GB2312" w:hAnsi="黑体" w:cs="仿宋_GB2312" w:hint="eastAsia"/>
          <w:sz w:val="32"/>
          <w:szCs w:val="32"/>
        </w:rPr>
        <w:t>55.5</w:t>
      </w:r>
      <w:r>
        <w:rPr>
          <w:rFonts w:ascii="仿宋_GB2312" w:eastAsia="仿宋_GB2312" w:hAnsi="黑体" w:hint="eastAsia"/>
          <w:sz w:val="32"/>
          <w:szCs w:val="32"/>
        </w:rPr>
        <w:t>万元，占比0.21%，一般公共服务支出0.8万元，占比0.003%。</w:t>
      </w:r>
    </w:p>
    <w:p w:rsidR="008024EE" w:rsidRDefault="00000000">
      <w:pPr>
        <w:ind w:firstLine="640"/>
        <w:jc w:val="left"/>
        <w:rPr>
          <w:rFonts w:ascii="楷体" w:eastAsia="楷体" w:hAnsi="楷体" w:hint="eastAsia"/>
          <w:sz w:val="32"/>
          <w:szCs w:val="32"/>
          <w:highlight w:val="yellow"/>
        </w:rPr>
      </w:pPr>
      <w:r>
        <w:rPr>
          <w:rFonts w:ascii="楷体" w:eastAsia="楷体" w:hAnsi="楷体" w:hint="eastAsia"/>
          <w:sz w:val="32"/>
          <w:szCs w:val="32"/>
        </w:rPr>
        <w:t>（三）一般公共预算当年拨款具体使用情况</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教育支出（类）职业教育（款）高等职业教育（项）2023年预算数为24264.87万元，比上年预算数增加146.67万元，主要是由于现代职业教育质量提升计划专项拨款增加和学院招收学生数量增加以及招聘人员转正财政拨款增加产生的。</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 社会保障和就业支出（类）机关事业单位基本养老保险缴费支出(项)2023年预算数为859.94万元，比上年预算数增加191.96万元，主要原因是招聘人员转正养老保险财政拨款增加。</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3. 社会保障和就业支出（类）机关事业单位职业年金缴费支出（项）2023年预算数为429.97万元，比上年预算数增加116.39万元，主要原因是招聘人员转正职业年金财政拨款增加。</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4. 社会保障和就业支出（类）抚恤（款）其他优抚支出（项）2023年预算数为5.23万元，比上年预算数增加2.44万元，原因是补发职工遗属补助。</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5. 卫生健康支出（类）行政事业单位医疗（款）事业单位医疗（项）2023年预算数为403.03万元，比上年预算</w:t>
      </w:r>
      <w:r>
        <w:rPr>
          <w:rFonts w:ascii="仿宋_GB2312" w:eastAsia="仿宋_GB2312" w:hAnsi="黑体" w:hint="eastAsia"/>
          <w:sz w:val="32"/>
          <w:szCs w:val="32"/>
        </w:rPr>
        <w:lastRenderedPageBreak/>
        <w:t>数增加69.85万元，主要原因是招聘人员转正医疗保险财政拨款增加。</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6. 住房保障支出（类）住房改革支出（款）住房公积金（项）2023年预算数为709.62万元，比上年预算数增加166.03万元，主要原因是招聘人员转正住房公积金拨款有所增加。</w:t>
      </w:r>
    </w:p>
    <w:p w:rsidR="008024EE" w:rsidRDefault="00000000">
      <w:pPr>
        <w:ind w:firstLine="640"/>
        <w:rPr>
          <w:rFonts w:ascii="黑体" w:eastAsia="黑体" w:hAnsi="黑体" w:hint="eastAsia"/>
          <w:sz w:val="32"/>
          <w:szCs w:val="32"/>
        </w:rPr>
      </w:pPr>
      <w:r>
        <w:rPr>
          <w:rFonts w:ascii="黑体" w:eastAsia="黑体" w:hAnsi="黑体" w:hint="eastAsia"/>
          <w:sz w:val="32"/>
          <w:szCs w:val="32"/>
        </w:rPr>
        <w:t>四、学院2023年一般公共预算基本支出情况</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学院2023年一般公共预算基本支出为11,962.69万元，其中：人员经费8835.01万元，主要包括基本工资、津贴补贴、奖金、社会保障缴费、绩效工资等；公用经费3127.68万元，主要包括办公费、印刷费、工会经费、水费、电费、差旅费、劳务费、维修费等。</w:t>
      </w:r>
    </w:p>
    <w:p w:rsidR="008024E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w:t>
      </w:r>
      <w:r>
        <w:rPr>
          <w:rFonts w:ascii="黑体" w:eastAsia="黑体" w:hAnsi="黑体" w:hint="eastAsia"/>
          <w:sz w:val="32"/>
          <w:szCs w:val="32"/>
        </w:rPr>
        <w:t>学院2023年</w:t>
      </w:r>
      <w:r>
        <w:rPr>
          <w:rFonts w:ascii="黑体" w:eastAsia="黑体" w:hAnsi="黑体" w:cs="Times New Roman"/>
          <w:sz w:val="32"/>
          <w:shd w:val="clear" w:color="auto" w:fill="FFFFFF"/>
        </w:rPr>
        <w:t>“三公”经费预算情况</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学院2023年一般公共预算“三公”经费预算数为70万元，其中：因公出国（境）经费48万元，与上年预算减少1.9万元，根据国际事务</w:t>
      </w:r>
      <w:proofErr w:type="gramStart"/>
      <w:r>
        <w:rPr>
          <w:rFonts w:ascii="仿宋_GB2312" w:eastAsia="仿宋_GB2312" w:hAnsi="黑体" w:hint="eastAsia"/>
          <w:sz w:val="32"/>
          <w:szCs w:val="32"/>
        </w:rPr>
        <w:t>部安排</w:t>
      </w:r>
      <w:proofErr w:type="gramEnd"/>
      <w:r>
        <w:rPr>
          <w:rFonts w:ascii="仿宋_GB2312" w:eastAsia="仿宋_GB2312" w:hAnsi="黑体" w:hint="eastAsia"/>
          <w:sz w:val="32"/>
          <w:szCs w:val="32"/>
        </w:rPr>
        <w:t>的2023年出国计划，其中，5月份拟安排5人团组赴晨光生物科技（赞比亚）农业有限公司开展为期7天的国际合作与交流， 7月份拟安排6人团组赴柬埔寨国立管理大学、皇家金边大学、泰国工商大学开展为期7天国际合作与交流，9月份拟安排5人团赴俄罗斯乌拉尔联邦大学开展为期7天的国际合作与交流；公务用车购置及运行费18万元，全部用于公务用车运行维护，费用</w:t>
      </w:r>
      <w:r>
        <w:rPr>
          <w:rFonts w:ascii="仿宋_GB2312" w:eastAsia="仿宋_GB2312" w:hAnsi="黑体" w:hint="eastAsia"/>
          <w:sz w:val="32"/>
          <w:szCs w:val="32"/>
        </w:rPr>
        <w:lastRenderedPageBreak/>
        <w:t>较上年预算压缩了5.8万元，公务用车保有量为6辆；公务接待费4万元，费用与上年预算基本持平，计划接待44批290人次。</w:t>
      </w:r>
    </w:p>
    <w:p w:rsidR="008024E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w:t>
      </w:r>
      <w:r>
        <w:rPr>
          <w:rFonts w:ascii="黑体" w:eastAsia="黑体" w:hAnsi="黑体" w:hint="eastAsia"/>
          <w:sz w:val="32"/>
          <w:szCs w:val="32"/>
        </w:rPr>
        <w:t>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按照综合预算原则，学院所有收入和支出均纳入部门预算管理。收入包括：一般公共预算收入、财政专户管理资金收入、事业单位经营收入、其他收入；支出包括：教育支出、社会保障和就业支出、卫生健康支出、住房保障支出、科学技术支出。学院2023年收支总预算42615.23万元。</w:t>
      </w:r>
    </w:p>
    <w:p w:rsidR="008024E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w:t>
      </w:r>
      <w:r>
        <w:rPr>
          <w:rFonts w:ascii="黑体" w:eastAsia="黑体" w:hAnsi="黑体" w:hint="eastAsia"/>
          <w:sz w:val="32"/>
          <w:szCs w:val="32"/>
        </w:rPr>
        <w:t>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学院2023年收入预算42615.23万元，其中：上年结转6088.80万元，占14.29%；经费拨款收入26728.97万元，占62.72%；财政专户管理资金收入9126.46万元，占21.42%；事业单位经营收入30万元，占0.07%；其他收入641万元，占1.50%。预算收入比上年预算数增加3102.80万元，主要原因是上年结转收入、经费拨款收入和财政专户管理资金收入均较去年有所增加。</w:t>
      </w:r>
    </w:p>
    <w:p w:rsidR="008024E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w:t>
      </w:r>
      <w:r>
        <w:rPr>
          <w:rFonts w:ascii="黑体" w:eastAsia="黑体" w:hAnsi="黑体" w:hint="eastAsia"/>
          <w:sz w:val="32"/>
          <w:szCs w:val="32"/>
        </w:rPr>
        <w:t>学院2023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w:t>
      </w:r>
    </w:p>
    <w:p w:rsidR="008024EE" w:rsidRDefault="00000000">
      <w:pPr>
        <w:pStyle w:val="a4"/>
        <w:ind w:firstLineChars="200" w:firstLine="640"/>
        <w:rPr>
          <w:rFonts w:ascii="仿宋_GB2312" w:eastAsia="仿宋_GB2312" w:hAnsi="黑体" w:hint="eastAsia"/>
          <w:sz w:val="32"/>
          <w:szCs w:val="32"/>
        </w:rPr>
      </w:pPr>
      <w:r>
        <w:rPr>
          <w:rFonts w:ascii="仿宋_GB2312" w:eastAsia="仿宋_GB2312" w:hAnsi="黑体" w:hint="eastAsia"/>
          <w:sz w:val="32"/>
          <w:szCs w:val="32"/>
        </w:rPr>
        <w:t>学院2023年支出预算42615.23万元，其中：基本支出24481.62万元，占57.45%；项目支出18133.61万元，占42.55%。比上年预算数增加3102.80万元，主要原因是人员经费开支增加以及学院双高计划建设专项任务开支增加。</w:t>
      </w:r>
    </w:p>
    <w:p w:rsidR="008024E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lastRenderedPageBreak/>
        <w:t>九、其他重要事项的情况说明</w:t>
      </w:r>
    </w:p>
    <w:p w:rsidR="008024EE"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8024EE" w:rsidRDefault="00000000">
      <w:pPr>
        <w:ind w:firstLine="640"/>
        <w:rPr>
          <w:rFonts w:ascii="楷体" w:eastAsia="楷体" w:hAnsi="楷体" w:hint="eastAsia"/>
          <w:sz w:val="32"/>
          <w:szCs w:val="32"/>
        </w:rPr>
      </w:pPr>
      <w:r w:rsidRPr="008B6CAA">
        <w:rPr>
          <w:rFonts w:ascii="仿宋_GB2312" w:eastAsia="仿宋_GB2312" w:hAnsi="黑体" w:hint="eastAsia"/>
          <w:sz w:val="32"/>
          <w:szCs w:val="32"/>
          <w:highlight w:val="cyan"/>
        </w:rPr>
        <w:t>无。</w:t>
      </w:r>
    </w:p>
    <w:p w:rsidR="008024EE"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8024EE"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2023年海南经贸职业技术学院单位政府采购预算总额2340.12</w:t>
      </w:r>
      <w:r>
        <w:rPr>
          <w:rFonts w:ascii="仿宋_GB2312" w:eastAsia="仿宋_GB2312" w:hAnsi="黑体" w:hint="eastAsia"/>
          <w:sz w:val="32"/>
          <w:szCs w:val="32"/>
        </w:rPr>
        <w:t>万元，其中：其中：政府采购货物预算251.36万元，</w:t>
      </w:r>
      <w:r>
        <w:rPr>
          <w:rFonts w:ascii="仿宋_GB2312" w:eastAsia="仿宋_GB2312" w:hAnsi="黑体" w:hint="eastAsia"/>
          <w:color w:val="000000" w:themeColor="text1"/>
          <w:sz w:val="32"/>
          <w:szCs w:val="32"/>
        </w:rPr>
        <w:t>政府采购工程预算</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仿宋_GB2312" w:eastAsia="仿宋_GB2312" w:hAnsi="黑体" w:hint="eastAsia"/>
          <w:sz w:val="32"/>
          <w:szCs w:val="32"/>
        </w:rPr>
        <w:t>政府采购服务预算1911.56万元。</w:t>
      </w:r>
    </w:p>
    <w:p w:rsidR="008024EE"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8024E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截至2022</w:t>
      </w:r>
      <w:r>
        <w:rPr>
          <w:rFonts w:ascii="仿宋_GB2312" w:eastAsia="仿宋_GB2312" w:hAnsi="黑体" w:hint="eastAsia"/>
          <w:sz w:val="32"/>
          <w:szCs w:val="32"/>
        </w:rPr>
        <w:t>年12月31日，学院</w:t>
      </w:r>
      <w:r>
        <w:rPr>
          <w:rFonts w:ascii="仿宋_GB2312" w:eastAsia="仿宋_GB2312" w:hAnsi="黑体" w:cs="仿宋_GB2312" w:hint="eastAsia"/>
          <w:sz w:val="32"/>
          <w:szCs w:val="32"/>
        </w:rPr>
        <w:t>共有车辆6辆，其中，领导干部用车2辆，机要通信应急用车3辆、特种专业技术用车1辆。</w:t>
      </w:r>
    </w:p>
    <w:p w:rsidR="008024EE"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2023</w:t>
      </w:r>
      <w:r>
        <w:rPr>
          <w:rFonts w:ascii="仿宋_GB2312" w:eastAsia="仿宋_GB2312" w:hAnsi="黑体" w:hint="eastAsia"/>
          <w:sz w:val="32"/>
          <w:szCs w:val="32"/>
        </w:rPr>
        <w:t>年学院</w:t>
      </w:r>
      <w:r>
        <w:rPr>
          <w:rFonts w:ascii="仿宋_GB2312" w:eastAsia="仿宋_GB2312" w:hAnsi="黑体" w:cs="仿宋_GB2312" w:hint="eastAsia"/>
          <w:sz w:val="32"/>
          <w:szCs w:val="32"/>
        </w:rPr>
        <w:t>38个项目实行绩效目标管理，涉及一般公共预算26758.97</w:t>
      </w:r>
      <w:r>
        <w:rPr>
          <w:rFonts w:ascii="仿宋_GB2312" w:eastAsia="仿宋_GB2312" w:hAnsi="黑体" w:hint="eastAsia"/>
          <w:sz w:val="32"/>
          <w:szCs w:val="32"/>
        </w:rPr>
        <w:t>万元、财政专户管理资金13449.41万元；单位资金841万元。</w:t>
      </w:r>
    </w:p>
    <w:p w:rsidR="008024E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8024E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双高计划项目（省财）项目，预算安排1000万元，主要用于双高计划项目建设，绩效目标是建立活页式教材数量大于等于2本，学生技能大赛获奖数大于等于4次，服务企业数量大于等于40家，学生技能大赛获奖数大于等于4次，</w:t>
      </w:r>
      <w:r>
        <w:rPr>
          <w:rFonts w:ascii="仿宋_GB2312" w:eastAsia="仿宋_GB2312" w:hAnsi="黑体" w:cs="仿宋_GB2312"/>
          <w:sz w:val="32"/>
          <w:szCs w:val="32"/>
        </w:rPr>
        <w:t>职业技能学员认证数</w:t>
      </w:r>
      <w:r>
        <w:rPr>
          <w:rFonts w:ascii="仿宋_GB2312" w:eastAsia="仿宋_GB2312" w:hAnsi="黑体" w:cs="仿宋_GB2312" w:hint="eastAsia"/>
          <w:sz w:val="32"/>
          <w:szCs w:val="32"/>
        </w:rPr>
        <w:t>大于等于150人，百场公益技能培训大于等于50场次，教职工满意度大于等于95%。</w:t>
      </w:r>
    </w:p>
    <w:p w:rsidR="008024E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2.双高计划项目（央财）项目，预算安排1070.05万元，主要用于双高计划项目建设，绩效目标是建立活页式教材数量大于等于2本，学生技能大赛获奖数大于等于4次，服务企业数量大于等于40家，学生技能大赛获奖数大于等于4次，</w:t>
      </w:r>
      <w:r>
        <w:rPr>
          <w:rFonts w:ascii="仿宋_GB2312" w:eastAsia="仿宋_GB2312" w:hAnsi="黑体" w:cs="仿宋_GB2312"/>
          <w:sz w:val="32"/>
          <w:szCs w:val="32"/>
        </w:rPr>
        <w:t>职业技能学员认证数</w:t>
      </w:r>
      <w:r>
        <w:rPr>
          <w:rFonts w:ascii="仿宋_GB2312" w:eastAsia="仿宋_GB2312" w:hAnsi="黑体" w:cs="仿宋_GB2312" w:hint="eastAsia"/>
          <w:sz w:val="32"/>
          <w:szCs w:val="32"/>
        </w:rPr>
        <w:t>大于等于150人，百场公益技能培训大于等于50场次，教职工满意度大于等于95%。</w:t>
      </w:r>
    </w:p>
    <w:p w:rsidR="008024E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3.试点项目和教育</w:t>
      </w:r>
      <w:proofErr w:type="gramStart"/>
      <w:r>
        <w:rPr>
          <w:rFonts w:ascii="仿宋_GB2312" w:eastAsia="仿宋_GB2312" w:hAnsi="黑体" w:cs="仿宋_GB2312" w:hint="eastAsia"/>
          <w:sz w:val="32"/>
          <w:szCs w:val="32"/>
        </w:rPr>
        <w:t>提质培优</w:t>
      </w:r>
      <w:proofErr w:type="gramEnd"/>
      <w:r>
        <w:rPr>
          <w:rFonts w:ascii="仿宋_GB2312" w:eastAsia="仿宋_GB2312" w:hAnsi="黑体" w:cs="仿宋_GB2312" w:hint="eastAsia"/>
          <w:sz w:val="32"/>
          <w:szCs w:val="32"/>
        </w:rPr>
        <w:t>项目，预算安排1528.5万元，主要用于支付试点项目工作经费，试点项目招收中职毕业生学费补助及技能</w:t>
      </w:r>
      <w:proofErr w:type="gramStart"/>
      <w:r>
        <w:rPr>
          <w:rFonts w:ascii="仿宋_GB2312" w:eastAsia="仿宋_GB2312" w:hAnsi="黑体" w:cs="仿宋_GB2312" w:hint="eastAsia"/>
          <w:sz w:val="32"/>
          <w:szCs w:val="32"/>
        </w:rPr>
        <w:t>大赛国</w:t>
      </w:r>
      <w:proofErr w:type="gramEnd"/>
      <w:r>
        <w:rPr>
          <w:rFonts w:ascii="仿宋_GB2312" w:eastAsia="仿宋_GB2312" w:hAnsi="黑体" w:cs="仿宋_GB2312" w:hint="eastAsia"/>
          <w:sz w:val="32"/>
          <w:szCs w:val="32"/>
        </w:rPr>
        <w:t>赛奖励经费，实现职业教育人才培养与招生试点项目有关目标。绩效目标是完成2023年试点项目招收毕业生学费补助发放人数大于等于3000人，学生满意度大于等于90%，2023年试点项目招收中职毕业生学费补助覆盖率大于等于90%。</w:t>
      </w:r>
    </w:p>
    <w:p w:rsidR="008024E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教务活动管理提升项目，预算安排2614.04万元，主要用于改善高职办学条件，提升教育教学质量，开展各类学生活动，推进高校科研发展，夯实高职教育在职业教育发展中的基础性地位，提升高等职业教育吸引力，推动构建现代职业教育系。绩效目标是参加创新创业比赛数量大于等于15个，军训人数大于等于4000人，促进高校可持续发展大于等于3年，举办体育赛事数量大于等于10次，师生满意度达到95%以上。</w:t>
      </w:r>
    </w:p>
    <w:p w:rsidR="008024E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5.教学管理提升工程项目，预算安排1305万元，主要</w:t>
      </w:r>
      <w:r>
        <w:rPr>
          <w:rFonts w:ascii="仿宋_GB2312" w:eastAsia="仿宋_GB2312" w:hAnsi="黑体" w:cs="仿宋_GB2312" w:hint="eastAsia"/>
          <w:sz w:val="32"/>
          <w:szCs w:val="32"/>
        </w:rPr>
        <w:lastRenderedPageBreak/>
        <w:t>用于教学管理质量提升，绩效目标是师生满意度达到95%以上，实训室建设培训人数大于等于400人，大数据平台建设系统数量大于等于6个，数据库检索覆盖率大于等于90%。</w:t>
      </w:r>
    </w:p>
    <w:p w:rsidR="008024E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6.校园环境基础设施建设与维护项目，预算安排1903.96万元，主要用于完成校园学院办学基础设施维护建设，绩效目标是购置防冲撞设备资产大于等于100台，充电桩配备数量大于等于30台，充电</w:t>
      </w:r>
      <w:proofErr w:type="gramStart"/>
      <w:r>
        <w:rPr>
          <w:rFonts w:ascii="仿宋_GB2312" w:eastAsia="仿宋_GB2312" w:hAnsi="黑体" w:cs="仿宋_GB2312" w:hint="eastAsia"/>
          <w:sz w:val="32"/>
          <w:szCs w:val="32"/>
        </w:rPr>
        <w:t>桩项目</w:t>
      </w:r>
      <w:proofErr w:type="gramEnd"/>
      <w:r>
        <w:rPr>
          <w:rFonts w:ascii="仿宋_GB2312" w:eastAsia="仿宋_GB2312" w:hAnsi="黑体" w:cs="仿宋_GB2312" w:hint="eastAsia"/>
          <w:sz w:val="32"/>
          <w:szCs w:val="32"/>
        </w:rPr>
        <w:t>建设成本小于等于88.27万， 受益人数大于等于12000人，师生满意度达到95%以上。</w:t>
      </w:r>
    </w:p>
    <w:p w:rsidR="008024E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7.学生资助补助项目（高校）项目，预算安排1408.4万元，主要用于发放学生资助补助费用，来琼留学生省政府奖学金、本专科国家助学金、省优秀贫困大学生奖学金及本专科退役士兵国家助学金。绩效目标是来琼留学生省政府奖学金发放人数大于等于20人，学生满意度达到90%，国家助学金资助覆盖率达到90%，本专科国家助学金（省级）发放人数大于等于1100人。</w:t>
      </w:r>
    </w:p>
    <w:p w:rsidR="008024EE"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w:t>
      </w:r>
      <w:r>
        <w:rPr>
          <w:rFonts w:ascii="仿宋_GB2312" w:eastAsia="仿宋_GB2312" w:hAnsi="宋体" w:cs="宋体" w:hint="eastAsia"/>
          <w:color w:val="000000"/>
          <w:kern w:val="0"/>
          <w:sz w:val="32"/>
          <w:szCs w:val="30"/>
        </w:rPr>
        <w:lastRenderedPageBreak/>
        <w:t>持某项事业发展或特定基础设施建设，依法依规向公民、法人和其他组织征收的以及出让土地、发行彩票等方式取得的具有专门用途的资金</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w:t>
      </w:r>
      <w:r>
        <w:rPr>
          <w:rFonts w:ascii="仿宋_GB2312" w:eastAsia="仿宋_GB2312" w:hAnsi="宋体" w:cs="宋体" w:hint="eastAsia"/>
          <w:color w:val="000000"/>
          <w:kern w:val="0"/>
          <w:sz w:val="32"/>
          <w:szCs w:val="30"/>
        </w:rPr>
        <w:lastRenderedPageBreak/>
        <w:t>运行维护费、差旅费、因公出国（境）费用、公务接待费、工会经费、会议费、福利费、物业管理费、维修（护）费、其他等。</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8024E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8024EE" w:rsidRDefault="008024EE"/>
    <w:sectPr w:rsidR="008024EE">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157D9" w:rsidRDefault="00D157D9">
      <w:r>
        <w:separator/>
      </w:r>
    </w:p>
  </w:endnote>
  <w:endnote w:type="continuationSeparator" w:id="0">
    <w:p w:rsidR="00D157D9" w:rsidRDefault="00D1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仿宋">
    <w:altName w:val="FangSong"/>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024EE" w:rsidRDefault="00000000">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024EE" w:rsidRDefault="00000000">
                          <w:pPr>
                            <w:pStyle w:val="a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8024EE" w:rsidRDefault="00000000">
                    <w:pPr>
                      <w:pStyle w:val="a5"/>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157D9" w:rsidRDefault="00D157D9">
      <w:r>
        <w:separator/>
      </w:r>
    </w:p>
  </w:footnote>
  <w:footnote w:type="continuationSeparator" w:id="0">
    <w:p w:rsidR="00D157D9" w:rsidRDefault="00D157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FmNDRjMzcxYTM1NTI4YzEyN2NkMzdkNzU1MjI3ZjcifQ=="/>
  </w:docVars>
  <w:rsids>
    <w:rsidRoot w:val="11083897"/>
    <w:rsid w:val="000D3904"/>
    <w:rsid w:val="008024EE"/>
    <w:rsid w:val="008B6CAA"/>
    <w:rsid w:val="00AB4D64"/>
    <w:rsid w:val="00D157D9"/>
    <w:rsid w:val="00E335FF"/>
    <w:rsid w:val="012F2443"/>
    <w:rsid w:val="01421326"/>
    <w:rsid w:val="02401501"/>
    <w:rsid w:val="02553BED"/>
    <w:rsid w:val="0269570D"/>
    <w:rsid w:val="02695721"/>
    <w:rsid w:val="04802709"/>
    <w:rsid w:val="07002940"/>
    <w:rsid w:val="07250EAC"/>
    <w:rsid w:val="082D42D0"/>
    <w:rsid w:val="09410F65"/>
    <w:rsid w:val="0A20244F"/>
    <w:rsid w:val="0A2D131E"/>
    <w:rsid w:val="0BC077EA"/>
    <w:rsid w:val="0BED01F9"/>
    <w:rsid w:val="0D38267F"/>
    <w:rsid w:val="0DBE2587"/>
    <w:rsid w:val="0E635D43"/>
    <w:rsid w:val="0EC132F6"/>
    <w:rsid w:val="0FBB64D0"/>
    <w:rsid w:val="10153626"/>
    <w:rsid w:val="10403FCE"/>
    <w:rsid w:val="11083897"/>
    <w:rsid w:val="110E3FBE"/>
    <w:rsid w:val="138552FF"/>
    <w:rsid w:val="13C54541"/>
    <w:rsid w:val="143F42F3"/>
    <w:rsid w:val="156E6CB3"/>
    <w:rsid w:val="15B87513"/>
    <w:rsid w:val="15C251DC"/>
    <w:rsid w:val="15DD380C"/>
    <w:rsid w:val="18711A77"/>
    <w:rsid w:val="18CE20EA"/>
    <w:rsid w:val="19566367"/>
    <w:rsid w:val="19CF3E6C"/>
    <w:rsid w:val="1CA93673"/>
    <w:rsid w:val="1CE14E97"/>
    <w:rsid w:val="1D4B5AB7"/>
    <w:rsid w:val="1EC21DA9"/>
    <w:rsid w:val="1F9A4E2D"/>
    <w:rsid w:val="227E0D23"/>
    <w:rsid w:val="231C0113"/>
    <w:rsid w:val="239C00F4"/>
    <w:rsid w:val="260E2BDD"/>
    <w:rsid w:val="278D3CB4"/>
    <w:rsid w:val="28014A38"/>
    <w:rsid w:val="29A53C5E"/>
    <w:rsid w:val="29D57876"/>
    <w:rsid w:val="2A4009B3"/>
    <w:rsid w:val="2A4D10C0"/>
    <w:rsid w:val="2AB949A8"/>
    <w:rsid w:val="2ABA4C6F"/>
    <w:rsid w:val="2B0C4E54"/>
    <w:rsid w:val="2B157704"/>
    <w:rsid w:val="2B836D64"/>
    <w:rsid w:val="2BF17FA4"/>
    <w:rsid w:val="2E2A1718"/>
    <w:rsid w:val="2E772BB0"/>
    <w:rsid w:val="2FB97001"/>
    <w:rsid w:val="2FF06D0B"/>
    <w:rsid w:val="320A3D3B"/>
    <w:rsid w:val="32857FEF"/>
    <w:rsid w:val="32A0644D"/>
    <w:rsid w:val="339E1896"/>
    <w:rsid w:val="34E944E3"/>
    <w:rsid w:val="36A43708"/>
    <w:rsid w:val="370A0339"/>
    <w:rsid w:val="37CA0F35"/>
    <w:rsid w:val="3882287D"/>
    <w:rsid w:val="38ED3A6E"/>
    <w:rsid w:val="39C96289"/>
    <w:rsid w:val="3A3556CD"/>
    <w:rsid w:val="3D7E57B5"/>
    <w:rsid w:val="3D8726E3"/>
    <w:rsid w:val="3DA037A5"/>
    <w:rsid w:val="3EC139D3"/>
    <w:rsid w:val="3F277CDA"/>
    <w:rsid w:val="41211069"/>
    <w:rsid w:val="4140580F"/>
    <w:rsid w:val="41593AAE"/>
    <w:rsid w:val="42332E3A"/>
    <w:rsid w:val="42A17DA3"/>
    <w:rsid w:val="43193DDE"/>
    <w:rsid w:val="43805C0B"/>
    <w:rsid w:val="44081803"/>
    <w:rsid w:val="453D661B"/>
    <w:rsid w:val="47B95249"/>
    <w:rsid w:val="491733BD"/>
    <w:rsid w:val="49F451B0"/>
    <w:rsid w:val="4A653BD6"/>
    <w:rsid w:val="4D87061B"/>
    <w:rsid w:val="4E0D3F4C"/>
    <w:rsid w:val="4E8B538D"/>
    <w:rsid w:val="53FD1582"/>
    <w:rsid w:val="548A6740"/>
    <w:rsid w:val="54B903CE"/>
    <w:rsid w:val="5570143A"/>
    <w:rsid w:val="55F74CB5"/>
    <w:rsid w:val="583D56BC"/>
    <w:rsid w:val="595A5BCE"/>
    <w:rsid w:val="5BAC183B"/>
    <w:rsid w:val="5D647EF4"/>
    <w:rsid w:val="5DCC314E"/>
    <w:rsid w:val="609B1FB4"/>
    <w:rsid w:val="63740F59"/>
    <w:rsid w:val="63774E58"/>
    <w:rsid w:val="63D25BB7"/>
    <w:rsid w:val="649B056A"/>
    <w:rsid w:val="653D52B2"/>
    <w:rsid w:val="657A02DE"/>
    <w:rsid w:val="65811338"/>
    <w:rsid w:val="6870599E"/>
    <w:rsid w:val="694328D0"/>
    <w:rsid w:val="6A097E59"/>
    <w:rsid w:val="6AFF5D5A"/>
    <w:rsid w:val="6C752E47"/>
    <w:rsid w:val="6D2F29E3"/>
    <w:rsid w:val="6EA57E27"/>
    <w:rsid w:val="6F87086B"/>
    <w:rsid w:val="6FC724FF"/>
    <w:rsid w:val="701D68BA"/>
    <w:rsid w:val="712437CA"/>
    <w:rsid w:val="71C30383"/>
    <w:rsid w:val="7278201F"/>
    <w:rsid w:val="727F527E"/>
    <w:rsid w:val="72A36E2B"/>
    <w:rsid w:val="72ED6093"/>
    <w:rsid w:val="73FD67C3"/>
    <w:rsid w:val="75447490"/>
    <w:rsid w:val="75574453"/>
    <w:rsid w:val="75791B42"/>
    <w:rsid w:val="768A40CF"/>
    <w:rsid w:val="79863274"/>
    <w:rsid w:val="79CC49FF"/>
    <w:rsid w:val="79FA5AE1"/>
    <w:rsid w:val="7B6825E1"/>
    <w:rsid w:val="7C7B57E7"/>
    <w:rsid w:val="7E6A3164"/>
    <w:rsid w:val="7EFB3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27E32"/>
  <w15:docId w15:val="{336EC57F-5E58-43A8-B052-26404E45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lsdException w:name="Body Text Indent"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autoRedefine/>
    <w:uiPriority w:val="99"/>
    <w:unhideWhenUsed/>
    <w:qFormat/>
    <w:pPr>
      <w:ind w:firstLine="420"/>
    </w:pPr>
  </w:style>
  <w:style w:type="paragraph" w:styleId="a3">
    <w:name w:val="Body Text Indent"/>
    <w:basedOn w:val="a"/>
    <w:autoRedefine/>
    <w:qFormat/>
    <w:pPr>
      <w:spacing w:line="460" w:lineRule="exact"/>
      <w:ind w:firstLine="640"/>
    </w:pPr>
    <w:rPr>
      <w:rFonts w:ascii="仿宋_GB2312" w:eastAsia="仿宋_GB2312"/>
      <w:sz w:val="32"/>
      <w:szCs w:val="24"/>
    </w:rPr>
  </w:style>
  <w:style w:type="paragraph" w:styleId="a4">
    <w:name w:val="annotation text"/>
    <w:basedOn w:val="a"/>
    <w:autoRedefine/>
    <w:qFormat/>
    <w:pPr>
      <w:jc w:val="left"/>
    </w:pPr>
  </w:style>
  <w:style w:type="paragraph" w:styleId="a5">
    <w:name w:val="footer"/>
    <w:basedOn w:val="a"/>
    <w:autoRedefine/>
    <w:qFormat/>
    <w:pPr>
      <w:tabs>
        <w:tab w:val="center" w:pos="4153"/>
        <w:tab w:val="right" w:pos="8306"/>
      </w:tabs>
      <w:snapToGrid w:val="0"/>
      <w:jc w:val="left"/>
    </w:pPr>
    <w:rPr>
      <w:sz w:val="18"/>
    </w:rPr>
  </w:style>
  <w:style w:type="paragraph" w:styleId="a6">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表段落1"/>
    <w:basedOn w:val="a"/>
    <w:autoRedefine/>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756</Words>
  <Characters>4311</Characters>
  <Application>Microsoft Office Word</Application>
  <DocSecurity>0</DocSecurity>
  <Lines>35</Lines>
  <Paragraphs>10</Paragraphs>
  <ScaleCrop>false</ScaleCrop>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小米</dc:creator>
  <cp:lastModifiedBy>jack zhong</cp:lastModifiedBy>
  <cp:revision>2</cp:revision>
  <dcterms:created xsi:type="dcterms:W3CDTF">2023-02-06T02:56:00Z</dcterms:created>
  <dcterms:modified xsi:type="dcterms:W3CDTF">2024-08-19T02:12:00Z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74688EB181E84D4F99E1FAE4F46515CB</vt:lpwstr>
  </property>
</Properties>
</file>