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afterAutospacing="1"/>
        <w:jc w:val="center"/>
        <w:outlineLvl w:val="0"/>
        <w:rPr>
          <w:rFonts w:ascii="黑体" w:hAnsi="??" w:eastAsia="黑体" w:cs="黑体"/>
          <w:b/>
          <w:szCs w:val="32"/>
          <w:shd w:val="clear" w:color="auto" w:fill="FFFFFF"/>
        </w:rPr>
      </w:pPr>
      <w:bookmarkStart w:id="0" w:name="_Toc4155"/>
      <w:r>
        <w:rPr>
          <w:rFonts w:hint="eastAsia" w:ascii="黑体" w:eastAsia="黑体" w:cs="黑体"/>
          <w:sz w:val="44"/>
          <w:szCs w:val="44"/>
          <w:shd w:val="clear" w:color="auto" w:fill="FFFFFF"/>
        </w:rPr>
        <w:t>海南省</w:t>
      </w:r>
      <w:r>
        <w:rPr>
          <w:rFonts w:hint="eastAsia" w:ascii="黑体" w:eastAsia="黑体" w:cs="黑体"/>
          <w:sz w:val="44"/>
          <w:szCs w:val="44"/>
        </w:rPr>
        <w:t>教育厅</w:t>
      </w:r>
      <w:r>
        <w:rPr>
          <w:rFonts w:ascii="黑体" w:hAnsi="??" w:eastAsia="黑体" w:cs="黑体"/>
          <w:sz w:val="44"/>
          <w:szCs w:val="44"/>
          <w:shd w:val="clear" w:color="auto" w:fill="FFFFFF"/>
        </w:rPr>
        <w:t>202</w:t>
      </w:r>
      <w:r>
        <w:rPr>
          <w:rFonts w:hint="eastAsia" w:ascii="黑体" w:hAnsi="??" w:eastAsia="黑体" w:cs="黑体"/>
          <w:sz w:val="44"/>
          <w:szCs w:val="44"/>
          <w:shd w:val="clear" w:color="auto" w:fill="FFFFFF"/>
        </w:rPr>
        <w:t>2</w:t>
      </w:r>
      <w:r>
        <w:rPr>
          <w:rFonts w:hint="eastAsia" w:ascii="黑体" w:eastAsia="黑体" w:cs="黑体"/>
          <w:sz w:val="44"/>
          <w:szCs w:val="44"/>
          <w:shd w:val="clear" w:color="auto" w:fill="FFFFFF"/>
        </w:rPr>
        <w:t>年度部门决算</w:t>
      </w:r>
      <w:bookmarkEnd w:id="0"/>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sz w:val="44"/>
          <w:szCs w:val="44"/>
          <w:highlight w:val="none"/>
        </w:rPr>
      </w:pPr>
      <w:r>
        <w:rPr>
          <w:rFonts w:hint="eastAsia" w:ascii="黑体" w:hAnsi="黑体" w:eastAsia="黑体" w:cs="黑体"/>
          <w:color w:val="000000"/>
          <w:sz w:val="44"/>
          <w:szCs w:val="44"/>
          <w:highlight w:val="none"/>
        </w:rPr>
        <w:t>目  录</w:t>
      </w:r>
      <w:bookmarkStart w:id="41" w:name="_GoBack"/>
      <w:bookmarkEnd w:id="41"/>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color w:val="000000"/>
          <w:sz w:val="32"/>
          <w:szCs w:val="32"/>
          <w:highlight w:val="none"/>
        </w:rPr>
      </w:pPr>
      <w:r>
        <w:rPr>
          <w:color w:val="000000"/>
          <w:sz w:val="32"/>
          <w:szCs w:val="32"/>
          <w:highlight w:val="none"/>
        </w:rPr>
        <w:fldChar w:fldCharType="begin"/>
      </w:r>
      <w:r>
        <w:rPr>
          <w:color w:val="000000"/>
          <w:sz w:val="32"/>
          <w:szCs w:val="32"/>
          <w:highlight w:val="none"/>
        </w:rPr>
        <w:instrText xml:space="preserve"> HYPERLINK \l _Toc1704_WPSOffice_Level1 </w:instrText>
      </w:r>
      <w:r>
        <w:rPr>
          <w:color w:val="000000"/>
          <w:sz w:val="32"/>
          <w:szCs w:val="32"/>
          <w:highlight w:val="none"/>
        </w:rPr>
        <w:fldChar w:fldCharType="separate"/>
      </w:r>
      <w:r>
        <w:rPr>
          <w:rFonts w:hint="eastAsia" w:ascii="黑体" w:hAnsi="ˎ̥" w:eastAsia="黑体"/>
          <w:color w:val="000000"/>
          <w:sz w:val="32"/>
          <w:szCs w:val="32"/>
          <w:highlight w:val="none"/>
        </w:rPr>
        <w:t>第一部分 基本情况</w:t>
      </w:r>
      <w:r>
        <w:rPr>
          <w:color w:val="000000"/>
          <w:sz w:val="32"/>
          <w:szCs w:val="32"/>
          <w:highlight w:val="none"/>
        </w:rPr>
        <w:tab/>
      </w:r>
      <w:r>
        <w:rPr>
          <w:rFonts w:hint="eastAsia"/>
          <w:color w:val="000000"/>
          <w:sz w:val="32"/>
          <w:szCs w:val="32"/>
          <w:highlight w:val="none"/>
          <w:lang w:val="en-US" w:eastAsia="zh-CN"/>
        </w:rPr>
        <w:t>2</w:t>
      </w:r>
      <w:r>
        <w:rPr>
          <w:color w:val="000000"/>
          <w:sz w:val="32"/>
          <w:szCs w:val="32"/>
          <w:highlight w:val="none"/>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_Toc20274_WPSOffice_Level2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color w:val="000000"/>
          <w:sz w:val="32"/>
          <w:szCs w:val="32"/>
          <w:highlight w:val="none"/>
        </w:rPr>
        <w:t>一、部门</w:t>
      </w:r>
      <w:r>
        <w:rPr>
          <w:rFonts w:hint="eastAsia" w:ascii="仿宋" w:hAnsi="仿宋" w:eastAsia="仿宋" w:cs="仿宋"/>
          <w:color w:val="000000"/>
          <w:sz w:val="32"/>
          <w:szCs w:val="32"/>
          <w:highlight w:val="none"/>
          <w:lang w:eastAsia="zh-CN"/>
        </w:rPr>
        <w:t>（单位）</w:t>
      </w:r>
      <w:r>
        <w:rPr>
          <w:rFonts w:hint="eastAsia" w:ascii="仿宋" w:hAnsi="仿宋" w:eastAsia="仿宋" w:cs="仿宋"/>
          <w:color w:val="000000"/>
          <w:sz w:val="32"/>
          <w:szCs w:val="32"/>
          <w:highlight w:val="none"/>
        </w:rPr>
        <w:t>职责</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2</w:t>
      </w:r>
      <w:r>
        <w:rPr>
          <w:rFonts w:hint="eastAsia" w:ascii="仿宋" w:hAnsi="仿宋" w:eastAsia="仿宋" w:cs="仿宋"/>
          <w:color w:val="000000"/>
          <w:sz w:val="32"/>
          <w:szCs w:val="32"/>
          <w:highlight w:val="none"/>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_Toc4833_WPSOffice_Level2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color w:val="000000"/>
          <w:sz w:val="32"/>
          <w:szCs w:val="32"/>
          <w:highlight w:val="none"/>
        </w:rPr>
        <w:t>二、机构设置</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5</w:t>
      </w:r>
      <w:r>
        <w:rPr>
          <w:rFonts w:hint="eastAsia" w:ascii="仿宋" w:hAnsi="仿宋" w:eastAsia="仿宋" w:cs="仿宋"/>
          <w:color w:val="000000"/>
          <w:sz w:val="32"/>
          <w:szCs w:val="32"/>
          <w:highlight w:val="none"/>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color w:val="000000"/>
          <w:sz w:val="32"/>
          <w:szCs w:val="32"/>
          <w:highlight w:val="none"/>
        </w:rPr>
      </w:pPr>
      <w:r>
        <w:rPr>
          <w:color w:val="000000"/>
          <w:sz w:val="32"/>
          <w:szCs w:val="32"/>
          <w:highlight w:val="none"/>
        </w:rPr>
        <w:fldChar w:fldCharType="begin"/>
      </w:r>
      <w:r>
        <w:rPr>
          <w:color w:val="000000"/>
          <w:sz w:val="32"/>
          <w:szCs w:val="32"/>
          <w:highlight w:val="none"/>
        </w:rPr>
        <w:instrText xml:space="preserve"> HYPERLINK \l _Toc28253_WPSOffice_Level1 </w:instrText>
      </w:r>
      <w:r>
        <w:rPr>
          <w:color w:val="000000"/>
          <w:sz w:val="32"/>
          <w:szCs w:val="32"/>
          <w:highlight w:val="none"/>
        </w:rPr>
        <w:fldChar w:fldCharType="separate"/>
      </w:r>
      <w:r>
        <w:rPr>
          <w:rFonts w:hint="eastAsia" w:ascii="黑体" w:hAnsi="ˎ̥" w:eastAsia="黑体"/>
          <w:color w:val="000000"/>
          <w:sz w:val="32"/>
          <w:szCs w:val="32"/>
          <w:highlight w:val="none"/>
        </w:rPr>
        <w:t>第二部分  202</w:t>
      </w:r>
      <w:r>
        <w:rPr>
          <w:rFonts w:ascii="黑体" w:hAnsi="ˎ̥" w:eastAsia="黑体"/>
          <w:color w:val="000000"/>
          <w:sz w:val="32"/>
          <w:szCs w:val="32"/>
          <w:highlight w:val="none"/>
        </w:rPr>
        <w:t>2</w:t>
      </w:r>
      <w:r>
        <w:rPr>
          <w:rFonts w:hint="eastAsia" w:ascii="黑体" w:hAnsi="ˎ̥" w:eastAsia="黑体"/>
          <w:color w:val="000000"/>
          <w:sz w:val="32"/>
          <w:szCs w:val="32"/>
          <w:highlight w:val="none"/>
        </w:rPr>
        <w:t>年度部门决算公开表</w:t>
      </w:r>
      <w:r>
        <w:rPr>
          <w:color w:val="000000"/>
          <w:sz w:val="32"/>
          <w:szCs w:val="32"/>
          <w:highlight w:val="none"/>
        </w:rPr>
        <w:tab/>
      </w:r>
      <w:r>
        <w:rPr>
          <w:rFonts w:hint="eastAsia"/>
          <w:color w:val="000000"/>
          <w:sz w:val="32"/>
          <w:szCs w:val="32"/>
          <w:highlight w:val="none"/>
          <w:lang w:val="en-US" w:eastAsia="zh-CN"/>
        </w:rPr>
        <w:t>7</w:t>
      </w:r>
      <w:r>
        <w:rPr>
          <w:color w:val="000000"/>
          <w:sz w:val="32"/>
          <w:szCs w:val="32"/>
          <w:highlight w:val="none"/>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color w:val="000000"/>
          <w:sz w:val="32"/>
          <w:szCs w:val="32"/>
          <w:highlight w:val="none"/>
        </w:rPr>
      </w:pPr>
      <w:r>
        <w:rPr>
          <w:color w:val="000000"/>
          <w:sz w:val="32"/>
          <w:szCs w:val="32"/>
          <w:highlight w:val="none"/>
        </w:rPr>
        <w:fldChar w:fldCharType="begin"/>
      </w:r>
      <w:r>
        <w:rPr>
          <w:color w:val="000000"/>
          <w:sz w:val="32"/>
          <w:szCs w:val="32"/>
          <w:highlight w:val="none"/>
        </w:rPr>
        <w:instrText xml:space="preserve"> HYPERLINK \l _Toc27590_WPSOffice_Level1 </w:instrText>
      </w:r>
      <w:r>
        <w:rPr>
          <w:color w:val="000000"/>
          <w:sz w:val="32"/>
          <w:szCs w:val="32"/>
          <w:highlight w:val="none"/>
        </w:rPr>
        <w:fldChar w:fldCharType="separate"/>
      </w:r>
      <w:r>
        <w:rPr>
          <w:rFonts w:hint="eastAsia" w:ascii="黑体" w:hAnsi="黑体" w:eastAsia="黑体" w:cs="黑体"/>
          <w:color w:val="000000"/>
          <w:sz w:val="32"/>
          <w:szCs w:val="32"/>
          <w:highlight w:val="none"/>
        </w:rPr>
        <w:t>第三部分</w:t>
      </w:r>
      <w:r>
        <w:rPr>
          <w:rFonts w:hint="eastAsia"/>
          <w:color w:val="000000"/>
          <w:sz w:val="32"/>
          <w:szCs w:val="32"/>
          <w:highlight w:val="none"/>
        </w:rPr>
        <w:t xml:space="preserve">  </w:t>
      </w:r>
      <w:r>
        <w:rPr>
          <w:rFonts w:hint="eastAsia" w:ascii="黑体" w:hAnsi="ˎ̥" w:eastAsia="黑体"/>
          <w:color w:val="000000"/>
          <w:sz w:val="32"/>
          <w:szCs w:val="32"/>
          <w:highlight w:val="none"/>
        </w:rPr>
        <w:t>2022年度部门决算情况说明</w:t>
      </w:r>
      <w:r>
        <w:rPr>
          <w:color w:val="000000"/>
          <w:sz w:val="32"/>
          <w:szCs w:val="32"/>
          <w:highlight w:val="none"/>
        </w:rPr>
        <w:tab/>
      </w:r>
      <w:r>
        <w:rPr>
          <w:rFonts w:hint="eastAsia"/>
          <w:color w:val="000000"/>
          <w:sz w:val="32"/>
          <w:szCs w:val="32"/>
          <w:highlight w:val="none"/>
          <w:lang w:val="en-US" w:eastAsia="zh-CN"/>
        </w:rPr>
        <w:t>8</w:t>
      </w:r>
      <w:r>
        <w:rPr>
          <w:color w:val="000000"/>
          <w:sz w:val="32"/>
          <w:szCs w:val="32"/>
          <w:highlight w:val="none"/>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_Toc21737_WPSOffice_Level2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一、收入支出总体情况说明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8</w:t>
      </w:r>
      <w:r>
        <w:rPr>
          <w:rFonts w:hint="eastAsia" w:ascii="仿宋" w:hAnsi="仿宋" w:eastAsia="仿宋" w:cs="仿宋"/>
          <w:color w:val="000000"/>
          <w:sz w:val="32"/>
          <w:szCs w:val="32"/>
          <w:highlight w:val="none"/>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二、收入决算情况说明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8</w:t>
      </w:r>
      <w:r>
        <w:rPr>
          <w:rFonts w:hint="eastAsia" w:ascii="仿宋" w:hAnsi="仿宋" w:eastAsia="仿宋" w:cs="仿宋"/>
          <w:color w:val="000000"/>
          <w:sz w:val="32"/>
          <w:szCs w:val="32"/>
          <w:highlight w:val="none"/>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三、支出决算情况说明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9</w:t>
      </w:r>
      <w:r>
        <w:rPr>
          <w:rFonts w:hint="eastAsia" w:ascii="仿宋" w:hAnsi="仿宋" w:eastAsia="仿宋" w:cs="仿宋"/>
          <w:color w:val="000000"/>
          <w:sz w:val="32"/>
          <w:szCs w:val="32"/>
          <w:highlight w:val="none"/>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四、财政拨款收入支出决算情况说明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9</w:t>
      </w:r>
      <w:r>
        <w:rPr>
          <w:rFonts w:hint="eastAsia" w:ascii="仿宋" w:hAnsi="仿宋" w:eastAsia="仿宋" w:cs="仿宋"/>
          <w:color w:val="000000"/>
          <w:sz w:val="32"/>
          <w:szCs w:val="32"/>
          <w:highlight w:val="none"/>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五、一般公共预算财政拨款支出决算情况说明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9</w:t>
      </w:r>
      <w:r>
        <w:rPr>
          <w:rFonts w:hint="eastAsia" w:ascii="仿宋" w:hAnsi="仿宋" w:eastAsia="仿宋" w:cs="仿宋"/>
          <w:color w:val="000000"/>
          <w:sz w:val="32"/>
          <w:szCs w:val="32"/>
          <w:highlight w:val="none"/>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六、一般公共预算财政拨款基本支出决算情况说明</w:t>
      </w:r>
      <w:r>
        <w:rPr>
          <w:rFonts w:hint="eastAsia" w:ascii="仿宋" w:hAnsi="仿宋" w:eastAsia="仿宋" w:cs="仿宋"/>
          <w:color w:val="000000"/>
          <w:sz w:val="32"/>
          <w:szCs w:val="32"/>
          <w:highlight w:val="none"/>
        </w:rPr>
        <w:fldChar w:fldCharType="end"/>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23</w:t>
      </w:r>
    </w:p>
    <w:p>
      <w:pPr>
        <w:pStyle w:val="22"/>
        <w:keepNext w:val="0"/>
        <w:keepLines w:val="0"/>
        <w:pageBreakBefore w:val="0"/>
        <w:numPr>
          <w:ilvl w:val="0"/>
          <w:numId w:val="1"/>
        </w:numPr>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bCs/>
          <w:color w:val="000000"/>
          <w:sz w:val="32"/>
          <w:szCs w:val="32"/>
          <w:highlight w:val="none"/>
        </w:rPr>
        <w:t>政府性基金预算财政拨款支出决算情况说明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24</w:t>
      </w:r>
    </w:p>
    <w:p>
      <w:pPr>
        <w:pStyle w:val="22"/>
        <w:keepNext w:val="0"/>
        <w:keepLines w:val="0"/>
        <w:pageBreakBefore w:val="0"/>
        <w:numPr>
          <w:ilvl w:val="0"/>
          <w:numId w:val="1"/>
        </w:numPr>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bCs/>
          <w:color w:val="000000"/>
          <w:sz w:val="32"/>
          <w:szCs w:val="32"/>
          <w:highlight w:val="none"/>
        </w:rPr>
        <w:t>国有资本经营预算财政拨款支出决算情况说明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25</w:t>
      </w:r>
    </w:p>
    <w:p>
      <w:pPr>
        <w:pStyle w:val="22"/>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九、财政拨款“三公”经费支出决算情况说明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2</w:t>
      </w:r>
      <w:r>
        <w:rPr>
          <w:rFonts w:hint="eastAsia" w:ascii="仿宋" w:hAnsi="仿宋" w:eastAsia="仿宋" w:cs="仿宋"/>
          <w:color w:val="000000"/>
          <w:sz w:val="32"/>
          <w:szCs w:val="32"/>
          <w:highlight w:val="none"/>
        </w:rPr>
        <w:fldChar w:fldCharType="end"/>
      </w:r>
      <w:r>
        <w:rPr>
          <w:rFonts w:hint="eastAsia" w:ascii="仿宋" w:hAnsi="仿宋" w:eastAsia="仿宋" w:cs="仿宋"/>
          <w:color w:val="000000"/>
          <w:sz w:val="32"/>
          <w:szCs w:val="32"/>
          <w:highlight w:val="none"/>
          <w:lang w:val="en-US" w:eastAsia="zh-CN"/>
        </w:rPr>
        <w:t>5</w:t>
      </w:r>
    </w:p>
    <w:p>
      <w:pPr>
        <w:pStyle w:val="22"/>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十、预算绩效情况说明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rPr>
        <w:fldChar w:fldCharType="end"/>
      </w:r>
      <w:r>
        <w:rPr>
          <w:rFonts w:hint="eastAsia" w:ascii="仿宋" w:hAnsi="仿宋" w:eastAsia="仿宋" w:cs="仿宋"/>
          <w:color w:val="000000"/>
          <w:sz w:val="32"/>
          <w:szCs w:val="32"/>
          <w:highlight w:val="none"/>
          <w:lang w:val="en-US" w:eastAsia="zh-CN"/>
        </w:rPr>
        <w:t>27</w:t>
      </w:r>
    </w:p>
    <w:p>
      <w:pPr>
        <w:pStyle w:val="22"/>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仿宋" w:hAnsi="仿宋" w:eastAsia="仿宋" w:cs="仿宋"/>
          <w:color w:val="000000"/>
          <w:sz w:val="32"/>
          <w:szCs w:val="32"/>
          <w:highlight w:val="none"/>
          <w:lang w:val="en-US" w:eastAsia="zh-CN"/>
        </w:rPr>
      </w:pPr>
      <w:r>
        <w:rPr>
          <w:rFonts w:hint="eastAsia" w:ascii="仿宋" w:hAnsi="仿宋" w:eastAsia="仿宋" w:cs="仿宋"/>
          <w:bCs/>
          <w:color w:val="000000"/>
          <w:sz w:val="32"/>
          <w:szCs w:val="32"/>
          <w:highlight w:val="none"/>
        </w:rPr>
        <w:t>十一、其他重要事项情况说明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55</w:t>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rFonts w:hint="default" w:ascii="仿宋" w:hAnsi="仿宋" w:cs="黑体" w:eastAsiaTheme="minorEastAsia"/>
          <w:szCs w:val="32"/>
          <w:shd w:val="clear" w:color="auto" w:fill="FFFFFF"/>
          <w:lang w:val="en-US" w:eastAsia="zh-CN"/>
        </w:rPr>
        <w:sectPr>
          <w:footerReference r:id="rId5" w:type="default"/>
          <w:pgSz w:w="11915" w:h="16851"/>
          <w:pgMar w:top="1440" w:right="1800" w:bottom="1440" w:left="1800" w:header="851" w:footer="992" w:gutter="0"/>
          <w:pgNumType w:fmt="decimal" w:start="1"/>
          <w:cols w:space="720" w:num="1"/>
          <w:docGrid w:type="lines" w:linePitch="312" w:charSpace="0"/>
        </w:sectPr>
      </w:pPr>
      <w:r>
        <w:rPr>
          <w:color w:val="000000"/>
          <w:sz w:val="32"/>
          <w:szCs w:val="32"/>
          <w:highlight w:val="none"/>
        </w:rPr>
        <w:fldChar w:fldCharType="begin"/>
      </w:r>
      <w:r>
        <w:rPr>
          <w:color w:val="000000"/>
          <w:sz w:val="32"/>
          <w:szCs w:val="32"/>
          <w:highlight w:val="none"/>
        </w:rPr>
        <w:instrText xml:space="preserve"> HYPERLINK \l _Toc15425_WPSOffice_Level1 </w:instrText>
      </w:r>
      <w:r>
        <w:rPr>
          <w:color w:val="000000"/>
          <w:sz w:val="32"/>
          <w:szCs w:val="32"/>
          <w:highlight w:val="none"/>
        </w:rPr>
        <w:fldChar w:fldCharType="separate"/>
      </w:r>
      <w:r>
        <w:rPr>
          <w:rFonts w:hint="eastAsia" w:ascii="黑体" w:hAnsi="ˎ̥" w:eastAsia="黑体"/>
          <w:color w:val="000000"/>
          <w:sz w:val="32"/>
          <w:szCs w:val="32"/>
          <w:highlight w:val="none"/>
        </w:rPr>
        <w:t>第四部分  名词解释</w:t>
      </w:r>
      <w:r>
        <w:rPr>
          <w:color w:val="000000"/>
          <w:sz w:val="32"/>
          <w:szCs w:val="32"/>
          <w:highlight w:val="none"/>
        </w:rPr>
        <w:tab/>
      </w:r>
      <w:r>
        <w:rPr>
          <w:rFonts w:hint="eastAsia"/>
          <w:color w:val="000000"/>
          <w:sz w:val="32"/>
          <w:szCs w:val="32"/>
          <w:highlight w:val="none"/>
          <w:lang w:val="en-US" w:eastAsia="zh-CN"/>
        </w:rPr>
        <w:t>5</w:t>
      </w:r>
      <w:r>
        <w:rPr>
          <w:color w:val="000000"/>
          <w:sz w:val="32"/>
          <w:szCs w:val="32"/>
          <w:highlight w:val="none"/>
        </w:rPr>
        <w:fldChar w:fldCharType="end"/>
      </w:r>
      <w:r>
        <w:rPr>
          <w:rFonts w:hint="eastAsia"/>
          <w:color w:val="000000"/>
          <w:sz w:val="32"/>
          <w:szCs w:val="32"/>
          <w:highlight w:val="none"/>
          <w:lang w:val="en-US" w:eastAsia="zh-CN"/>
        </w:rPr>
        <w:t>6</w:t>
      </w:r>
    </w:p>
    <w:p>
      <w:pPr>
        <w:pStyle w:val="2"/>
        <w:spacing w:before="156" w:after="156"/>
        <w:ind w:firstLine="640"/>
        <w:rPr>
          <w:rFonts w:hint="eastAsia" w:ascii="仿宋" w:hAnsi="仿宋" w:eastAsia="仿宋" w:cs="黑体"/>
          <w:b/>
          <w:bCs w:val="0"/>
          <w:szCs w:val="32"/>
          <w:lang w:eastAsia="zh-CN"/>
        </w:rPr>
      </w:pPr>
      <w:r>
        <w:rPr>
          <w:rFonts w:hint="eastAsia" w:ascii="仿宋" w:hAnsi="仿宋" w:eastAsia="仿宋" w:cs="黑体"/>
          <w:b/>
          <w:bCs w:val="0"/>
          <w:szCs w:val="32"/>
        </w:rPr>
        <w:t xml:space="preserve">第一部分  </w:t>
      </w:r>
      <w:r>
        <w:rPr>
          <w:rFonts w:hint="eastAsia" w:ascii="仿宋" w:hAnsi="仿宋" w:eastAsia="仿宋" w:cs="黑体"/>
          <w:b/>
          <w:bCs w:val="0"/>
          <w:szCs w:val="32"/>
          <w:lang w:eastAsia="zh-CN"/>
        </w:rPr>
        <w:t>基本情况</w:t>
      </w:r>
    </w:p>
    <w:p>
      <w:pPr>
        <w:pStyle w:val="3"/>
        <w:pageBreakBefore w:val="0"/>
        <w:widowControl/>
        <w:kinsoku/>
        <w:wordWrap/>
        <w:overflowPunct/>
        <w:topLinePunct w:val="0"/>
        <w:autoSpaceDE/>
        <w:autoSpaceDN/>
        <w:bidi w:val="0"/>
        <w:adjustRightInd/>
        <w:snapToGrid/>
        <w:spacing w:beforeLines="0" w:beforeAutospacing="0" w:afterLines="0" w:afterAutospacing="0" w:line="640" w:lineRule="exact"/>
        <w:ind w:firstLine="643"/>
        <w:textAlignment w:val="auto"/>
        <w:rPr>
          <w:rFonts w:ascii="仿宋" w:hAnsi="仿宋" w:eastAsia="仿宋" w:cs="楷体"/>
        </w:rPr>
      </w:pPr>
      <w:r>
        <w:rPr>
          <w:rFonts w:hint="eastAsia" w:ascii="仿宋" w:hAnsi="仿宋" w:eastAsia="仿宋" w:cs="楷体"/>
        </w:rPr>
        <w:t>一、部门（单位）职责</w:t>
      </w:r>
    </w:p>
    <w:p>
      <w:pPr>
        <w:pageBreakBefore w:val="0"/>
        <w:widowControl/>
        <w:kinsoku/>
        <w:wordWrap/>
        <w:overflowPunct/>
        <w:topLinePunct w:val="0"/>
        <w:autoSpaceDE/>
        <w:autoSpaceDN/>
        <w:bidi w:val="0"/>
        <w:adjustRightInd/>
        <w:snapToGrid/>
        <w:spacing w:beforeAutospacing="0" w:afterAutospacing="0" w:line="640" w:lineRule="exact"/>
        <w:ind w:firstLine="640" w:firstLineChars="200"/>
        <w:textAlignment w:val="auto"/>
        <w:rPr>
          <w:rFonts w:ascii="仿宋" w:hAnsi="仿宋" w:eastAsia="仿宋" w:cs="宋体"/>
          <w:szCs w:val="32"/>
        </w:rPr>
      </w:pPr>
      <w:r>
        <w:rPr>
          <w:rFonts w:hint="eastAsia" w:ascii="仿宋" w:hAnsi="仿宋" w:eastAsia="仿宋" w:cs="仿宋_GB2312"/>
          <w:szCs w:val="32"/>
        </w:rPr>
        <w:t>根据《海南省委办公厅海南省人民政府办公厅关于印发</w:t>
      </w:r>
      <w:r>
        <w:rPr>
          <w:rFonts w:ascii="仿宋" w:hAnsi="仿宋" w:eastAsia="仿宋" w:cs="宋体"/>
          <w:szCs w:val="32"/>
        </w:rPr>
        <w:t>&lt;</w:t>
      </w:r>
      <w:r>
        <w:rPr>
          <w:rFonts w:hint="eastAsia" w:ascii="仿宋" w:hAnsi="仿宋" w:eastAsia="仿宋" w:cs="宋体"/>
          <w:szCs w:val="32"/>
        </w:rPr>
        <w:t>海南省教育厅职能配置、内设机构和人员编制规定</w:t>
      </w:r>
      <w:r>
        <w:rPr>
          <w:rFonts w:ascii="仿宋" w:hAnsi="仿宋" w:eastAsia="仿宋" w:cs="宋体"/>
          <w:szCs w:val="32"/>
        </w:rPr>
        <w:t>&gt;</w:t>
      </w:r>
      <w:r>
        <w:rPr>
          <w:rFonts w:hint="eastAsia" w:ascii="仿宋" w:hAnsi="仿宋" w:eastAsia="仿宋" w:cs="宋体"/>
          <w:szCs w:val="32"/>
        </w:rPr>
        <w:t>的通知》（琼办发〔</w:t>
      </w:r>
      <w:r>
        <w:rPr>
          <w:rFonts w:ascii="仿宋" w:hAnsi="仿宋" w:eastAsia="仿宋" w:cs="宋体"/>
          <w:szCs w:val="32"/>
        </w:rPr>
        <w:t>2019</w:t>
      </w:r>
      <w:r>
        <w:rPr>
          <w:rFonts w:hint="eastAsia" w:ascii="仿宋" w:hAnsi="仿宋" w:eastAsia="仿宋" w:cs="宋体"/>
          <w:szCs w:val="32"/>
        </w:rPr>
        <w:t>〕</w:t>
      </w:r>
      <w:r>
        <w:rPr>
          <w:rFonts w:ascii="仿宋" w:hAnsi="仿宋" w:eastAsia="仿宋" w:cs="宋体"/>
          <w:szCs w:val="32"/>
        </w:rPr>
        <w:t xml:space="preserve">71 </w:t>
      </w:r>
      <w:r>
        <w:rPr>
          <w:rFonts w:hint="eastAsia" w:ascii="仿宋" w:hAnsi="仿宋" w:eastAsia="仿宋" w:cs="宋体"/>
          <w:szCs w:val="32"/>
        </w:rPr>
        <w:t>号）规定，海南省教育厅（简称省教育厅）是主管全省教育事业和语言文字工作的省政府组成部门，为正厅级。省委教育工作领导小组秘书组设在省教育厅，接受省委教育工作领导小组的直接领导，承担省委教育工作领导小组日常工作。</w:t>
      </w:r>
    </w:p>
    <w:p>
      <w:pPr>
        <w:pageBreakBefore w:val="0"/>
        <w:widowControl/>
        <w:kinsoku/>
        <w:wordWrap/>
        <w:overflowPunct/>
        <w:topLinePunct w:val="0"/>
        <w:autoSpaceDE/>
        <w:autoSpaceDN/>
        <w:bidi w:val="0"/>
        <w:adjustRightInd/>
        <w:snapToGrid/>
        <w:spacing w:beforeAutospacing="0" w:afterAutospacing="0" w:line="640" w:lineRule="exact"/>
        <w:ind w:firstLine="640" w:firstLineChars="200"/>
        <w:textAlignment w:val="auto"/>
        <w:rPr>
          <w:rFonts w:ascii="仿宋" w:hAnsi="仿宋" w:eastAsia="仿宋" w:cs="宋体"/>
          <w:szCs w:val="32"/>
        </w:rPr>
      </w:pPr>
      <w:r>
        <w:rPr>
          <w:rFonts w:hint="eastAsia" w:ascii="仿宋" w:hAnsi="仿宋" w:eastAsia="仿宋" w:cs="仿宋_GB2312"/>
          <w:szCs w:val="32"/>
        </w:rPr>
        <w:t>省教育厅内设机构根据工作需要承担省委教育工作领导小组秘书组相关工作，接受其统筹协调。省教育厅贯彻执行党中央关于教育工作的方针政策，以及中国（海南）自由贸易试验区和中国特色自由贸易港政策措施，落实省委决策部署，在履行职责过程中坚持和加强党对教育工作的集中统一领导。主要职责是：</w:t>
      </w:r>
    </w:p>
    <w:p>
      <w:pPr>
        <w:pageBreakBefore w:val="0"/>
        <w:widowControl/>
        <w:kinsoku/>
        <w:wordWrap/>
        <w:overflowPunct/>
        <w:topLinePunct w:val="0"/>
        <w:autoSpaceDE/>
        <w:autoSpaceDN/>
        <w:bidi w:val="0"/>
        <w:adjustRightInd/>
        <w:snapToGrid/>
        <w:spacing w:beforeAutospacing="0" w:afterAutospacing="0" w:line="640" w:lineRule="exact"/>
        <w:ind w:firstLine="640" w:firstLineChars="200"/>
        <w:textAlignment w:val="auto"/>
        <w:rPr>
          <w:rFonts w:ascii="仿宋" w:hAnsi="仿宋" w:eastAsia="仿宋" w:cs="宋体"/>
          <w:szCs w:val="32"/>
        </w:rPr>
      </w:pPr>
      <w:r>
        <w:rPr>
          <w:rFonts w:hint="eastAsia" w:ascii="仿宋" w:hAnsi="仿宋" w:eastAsia="仿宋" w:cs="仿宋_GB2312"/>
          <w:szCs w:val="32"/>
        </w:rPr>
        <w:t>（</w:t>
      </w:r>
      <w:r>
        <w:rPr>
          <w:rFonts w:ascii="仿宋" w:hAnsi="仿宋" w:eastAsia="仿宋" w:cs="宋体"/>
          <w:szCs w:val="32"/>
        </w:rPr>
        <w:t>1</w:t>
      </w:r>
      <w:r>
        <w:rPr>
          <w:rFonts w:hint="eastAsia" w:ascii="仿宋" w:hAnsi="仿宋" w:eastAsia="仿宋" w:cs="宋体"/>
          <w:szCs w:val="32"/>
        </w:rPr>
        <w:t>）研究拟订全省教育改革与发展的政策、规划并组织实施，起草有关法规规章草案。指导全省各级各类学校的教育教学改革与发展，研究提出推进中国（海南）自由贸易试验区、中国特色自由贸易港建设教育工作方面的意见和建议。</w:t>
      </w:r>
    </w:p>
    <w:p>
      <w:pPr>
        <w:pageBreakBefore w:val="0"/>
        <w:widowControl/>
        <w:kinsoku/>
        <w:wordWrap/>
        <w:overflowPunct/>
        <w:topLinePunct w:val="0"/>
        <w:autoSpaceDE/>
        <w:autoSpaceDN/>
        <w:bidi w:val="0"/>
        <w:adjustRightInd/>
        <w:snapToGrid/>
        <w:spacing w:beforeAutospacing="0" w:afterAutospacing="0" w:line="640" w:lineRule="exact"/>
        <w:ind w:firstLine="640" w:firstLineChars="200"/>
        <w:textAlignment w:val="auto"/>
        <w:rPr>
          <w:rFonts w:ascii="仿宋" w:hAnsi="仿宋" w:eastAsia="仿宋" w:cs="宋体"/>
          <w:szCs w:val="32"/>
        </w:rPr>
      </w:pPr>
      <w:r>
        <w:rPr>
          <w:rFonts w:hint="eastAsia" w:ascii="仿宋" w:hAnsi="仿宋" w:eastAsia="仿宋" w:cs="仿宋_GB2312"/>
          <w:szCs w:val="32"/>
        </w:rPr>
        <w:t>（</w:t>
      </w:r>
      <w:r>
        <w:rPr>
          <w:rFonts w:ascii="仿宋" w:hAnsi="仿宋" w:eastAsia="仿宋" w:cs="宋体"/>
          <w:szCs w:val="32"/>
        </w:rPr>
        <w:t>2</w:t>
      </w:r>
      <w:r>
        <w:rPr>
          <w:rFonts w:hint="eastAsia" w:ascii="仿宋" w:hAnsi="仿宋" w:eastAsia="仿宋" w:cs="宋体"/>
          <w:szCs w:val="32"/>
        </w:rPr>
        <w:t>）负责对全省各级各类学校贯</w:t>
      </w:r>
      <w:r>
        <w:rPr>
          <w:rFonts w:hint="eastAsia" w:ascii="仿宋" w:hAnsi="仿宋" w:eastAsia="仿宋" w:cs="仿宋_GB2312"/>
          <w:szCs w:val="32"/>
        </w:rPr>
        <w:t>彻落实党中央关于加强党的建设和思想政治工作的方针政策和省委有关决策部署情况进行检查、指导与督促；领导厅机关、直属单位（学校）党组织的工作。</w:t>
      </w:r>
    </w:p>
    <w:p>
      <w:pPr>
        <w:pageBreakBefore w:val="0"/>
        <w:widowControl/>
        <w:kinsoku/>
        <w:wordWrap/>
        <w:overflowPunct/>
        <w:topLinePunct w:val="0"/>
        <w:autoSpaceDE/>
        <w:autoSpaceDN/>
        <w:bidi w:val="0"/>
        <w:adjustRightInd/>
        <w:snapToGrid/>
        <w:spacing w:beforeAutospacing="0" w:afterAutospacing="0" w:line="640" w:lineRule="exact"/>
        <w:ind w:firstLine="640" w:firstLineChars="200"/>
        <w:textAlignment w:val="auto"/>
        <w:rPr>
          <w:rFonts w:ascii="仿宋" w:hAnsi="仿宋" w:eastAsia="仿宋" w:cs="宋体"/>
          <w:szCs w:val="32"/>
        </w:rPr>
      </w:pPr>
      <w:r>
        <w:rPr>
          <w:rFonts w:hint="eastAsia" w:ascii="仿宋" w:hAnsi="仿宋" w:eastAsia="仿宋" w:cs="仿宋_GB2312"/>
          <w:szCs w:val="32"/>
        </w:rPr>
        <w:t>（</w:t>
      </w:r>
      <w:r>
        <w:rPr>
          <w:rFonts w:ascii="仿宋" w:hAnsi="仿宋" w:eastAsia="仿宋" w:cs="宋体"/>
          <w:szCs w:val="32"/>
        </w:rPr>
        <w:t>3</w:t>
      </w:r>
      <w:r>
        <w:rPr>
          <w:rFonts w:hint="eastAsia" w:ascii="仿宋" w:hAnsi="仿宋" w:eastAsia="仿宋" w:cs="宋体"/>
          <w:szCs w:val="32"/>
        </w:rPr>
        <w:t>）统筹规划和协调管理全省各级各类教育资源，指导监督全省各级各类学校及其他教育机构的设置。统筹协调全省教育信息化建设工作。负责教育基本信息的统计、分析和发布。</w:t>
      </w:r>
    </w:p>
    <w:p>
      <w:pPr>
        <w:pageBreakBefore w:val="0"/>
        <w:widowControl/>
        <w:kinsoku/>
        <w:wordWrap/>
        <w:overflowPunct/>
        <w:topLinePunct w:val="0"/>
        <w:autoSpaceDE/>
        <w:autoSpaceDN/>
        <w:bidi w:val="0"/>
        <w:adjustRightInd/>
        <w:snapToGrid/>
        <w:spacing w:beforeAutospacing="0" w:afterAutospacing="0" w:line="640" w:lineRule="exact"/>
        <w:ind w:firstLine="640" w:firstLineChars="200"/>
        <w:textAlignment w:val="auto"/>
        <w:rPr>
          <w:rFonts w:ascii="仿宋" w:hAnsi="仿宋" w:eastAsia="仿宋" w:cs="宋体"/>
          <w:szCs w:val="32"/>
        </w:rPr>
      </w:pPr>
      <w:r>
        <w:rPr>
          <w:rFonts w:hint="eastAsia" w:ascii="仿宋" w:hAnsi="仿宋" w:eastAsia="仿宋" w:cs="仿宋_GB2312"/>
          <w:szCs w:val="32"/>
        </w:rPr>
        <w:t>（</w:t>
      </w:r>
      <w:r>
        <w:rPr>
          <w:rFonts w:ascii="仿宋" w:hAnsi="仿宋" w:eastAsia="仿宋" w:cs="宋体"/>
          <w:szCs w:val="32"/>
        </w:rPr>
        <w:t>4</w:t>
      </w:r>
      <w:r>
        <w:rPr>
          <w:rFonts w:hint="eastAsia" w:ascii="仿宋" w:hAnsi="仿宋" w:eastAsia="仿宋" w:cs="宋体"/>
          <w:szCs w:val="32"/>
        </w:rPr>
        <w:t>）依法组织实施对全省各级各类学校及其他教育机构督导评估和检查验收工作。负责对市县政府履行教育职责、市县教育行政主管部门履职情况和各级各类学校及其他教育机构的办学情况进行督导、检查、评估。监测全省各级各类教育发展</w:t>
      </w:r>
      <w:r>
        <w:rPr>
          <w:rFonts w:hint="eastAsia" w:ascii="仿宋" w:hAnsi="仿宋" w:eastAsia="仿宋" w:cs="仿宋_GB2312"/>
          <w:szCs w:val="32"/>
        </w:rPr>
        <w:t>水平和质量。负责组织全省教育重大事项的专项督导。</w:t>
      </w:r>
    </w:p>
    <w:p>
      <w:pPr>
        <w:pageBreakBefore w:val="0"/>
        <w:widowControl/>
        <w:kinsoku/>
        <w:wordWrap/>
        <w:overflowPunct/>
        <w:topLinePunct w:val="0"/>
        <w:autoSpaceDE/>
        <w:autoSpaceDN/>
        <w:bidi w:val="0"/>
        <w:adjustRightInd/>
        <w:snapToGrid/>
        <w:spacing w:beforeAutospacing="0" w:afterAutospacing="0" w:line="640" w:lineRule="exact"/>
        <w:ind w:firstLine="640" w:firstLineChars="200"/>
        <w:textAlignment w:val="auto"/>
        <w:rPr>
          <w:rFonts w:ascii="仿宋" w:hAnsi="仿宋" w:eastAsia="仿宋" w:cs="宋体"/>
          <w:szCs w:val="32"/>
        </w:rPr>
      </w:pPr>
      <w:r>
        <w:rPr>
          <w:rFonts w:hint="eastAsia" w:ascii="仿宋" w:hAnsi="仿宋" w:eastAsia="仿宋" w:cs="仿宋_GB2312"/>
          <w:szCs w:val="32"/>
        </w:rPr>
        <w:t>（</w:t>
      </w:r>
      <w:r>
        <w:rPr>
          <w:rFonts w:ascii="仿宋" w:hAnsi="仿宋" w:eastAsia="仿宋" w:cs="宋体"/>
          <w:szCs w:val="32"/>
        </w:rPr>
        <w:t>5</w:t>
      </w:r>
      <w:r>
        <w:rPr>
          <w:rFonts w:hint="eastAsia" w:ascii="仿宋" w:hAnsi="仿宋" w:eastAsia="仿宋" w:cs="宋体"/>
          <w:szCs w:val="32"/>
        </w:rPr>
        <w:t>）负责推进义务教育均衡发展，促进教育公平。统筹指导少数民族教育工作，协调对少数民族地区教育的扶持与援助。负责全省学前教育、义务教育、普通高中教育、特殊教育和校外教育的统筹管理工作，全面实施素质教育。</w:t>
      </w:r>
    </w:p>
    <w:p>
      <w:pPr>
        <w:pageBreakBefore w:val="0"/>
        <w:widowControl/>
        <w:kinsoku/>
        <w:wordWrap/>
        <w:overflowPunct/>
        <w:topLinePunct w:val="0"/>
        <w:autoSpaceDE/>
        <w:autoSpaceDN/>
        <w:bidi w:val="0"/>
        <w:adjustRightInd/>
        <w:snapToGrid/>
        <w:spacing w:beforeAutospacing="0" w:afterAutospacing="0" w:line="640" w:lineRule="exact"/>
        <w:ind w:firstLine="640" w:firstLineChars="200"/>
        <w:textAlignment w:val="auto"/>
        <w:rPr>
          <w:rFonts w:ascii="仿宋" w:hAnsi="仿宋" w:eastAsia="仿宋" w:cs="宋体"/>
          <w:szCs w:val="32"/>
        </w:rPr>
      </w:pPr>
      <w:r>
        <w:rPr>
          <w:rFonts w:hint="eastAsia" w:ascii="仿宋" w:hAnsi="仿宋" w:eastAsia="仿宋" w:cs="仿宋_GB2312"/>
          <w:szCs w:val="32"/>
        </w:rPr>
        <w:t>（</w:t>
      </w:r>
      <w:r>
        <w:rPr>
          <w:rFonts w:ascii="仿宋" w:hAnsi="仿宋" w:eastAsia="仿宋" w:cs="宋体"/>
          <w:szCs w:val="32"/>
        </w:rPr>
        <w:t>6</w:t>
      </w:r>
      <w:r>
        <w:rPr>
          <w:rFonts w:hint="eastAsia" w:ascii="仿宋" w:hAnsi="仿宋" w:eastAsia="仿宋" w:cs="宋体"/>
          <w:szCs w:val="32"/>
        </w:rPr>
        <w:t>）负责以就业为导向的职业教育发展与改革，负责职业教育工作的统筹规划、协调管理。指导产教融合、校企合作。</w:t>
      </w:r>
    </w:p>
    <w:p>
      <w:pPr>
        <w:pageBreakBefore w:val="0"/>
        <w:widowControl/>
        <w:kinsoku/>
        <w:wordWrap/>
        <w:overflowPunct/>
        <w:topLinePunct w:val="0"/>
        <w:autoSpaceDE/>
        <w:autoSpaceDN/>
        <w:bidi w:val="0"/>
        <w:adjustRightInd/>
        <w:snapToGrid/>
        <w:spacing w:beforeAutospacing="0" w:afterAutospacing="0" w:line="640" w:lineRule="exact"/>
        <w:ind w:firstLine="640" w:firstLineChars="200"/>
        <w:textAlignment w:val="auto"/>
        <w:rPr>
          <w:rFonts w:ascii="仿宋" w:hAnsi="仿宋" w:eastAsia="仿宋" w:cs="宋体"/>
          <w:szCs w:val="32"/>
        </w:rPr>
      </w:pPr>
      <w:r>
        <w:rPr>
          <w:rFonts w:hint="eastAsia" w:ascii="仿宋" w:hAnsi="仿宋" w:eastAsia="仿宋" w:cs="仿宋_GB2312"/>
          <w:szCs w:val="32"/>
        </w:rPr>
        <w:t>（</w:t>
      </w:r>
      <w:r>
        <w:rPr>
          <w:rFonts w:ascii="仿宋" w:hAnsi="仿宋" w:eastAsia="仿宋" w:cs="宋体"/>
          <w:szCs w:val="32"/>
        </w:rPr>
        <w:t>7</w:t>
      </w:r>
      <w:r>
        <w:rPr>
          <w:rFonts w:hint="eastAsia" w:ascii="仿宋" w:hAnsi="仿宋" w:eastAsia="仿宋" w:cs="宋体"/>
          <w:szCs w:val="32"/>
        </w:rPr>
        <w:t>）负责协调管理全省高等教育工作。统筹指导继续教育、终身教育工作。指导高校办学体制、学校内部管理体制和高校后勤社会化改革。规划并指导全省高校的学科专业布局</w:t>
      </w:r>
      <w:r>
        <w:rPr>
          <w:rFonts w:hint="eastAsia" w:ascii="仿宋" w:hAnsi="仿宋" w:eastAsia="仿宋" w:cs="仿宋_GB2312"/>
          <w:szCs w:val="32"/>
        </w:rPr>
        <w:t>和调整，完善促进终身教育培训的体制机制。</w:t>
      </w:r>
    </w:p>
    <w:p>
      <w:pPr>
        <w:pageBreakBefore w:val="0"/>
        <w:widowControl/>
        <w:kinsoku/>
        <w:wordWrap/>
        <w:overflowPunct/>
        <w:topLinePunct w:val="0"/>
        <w:autoSpaceDE/>
        <w:autoSpaceDN/>
        <w:bidi w:val="0"/>
        <w:adjustRightInd/>
        <w:snapToGrid/>
        <w:spacing w:beforeAutospacing="0" w:afterAutospacing="0" w:line="640" w:lineRule="exact"/>
        <w:ind w:firstLine="640" w:firstLineChars="200"/>
        <w:textAlignment w:val="auto"/>
        <w:rPr>
          <w:rFonts w:ascii="仿宋" w:hAnsi="仿宋" w:eastAsia="仿宋" w:cs="宋体"/>
          <w:szCs w:val="32"/>
        </w:rPr>
      </w:pPr>
      <w:r>
        <w:rPr>
          <w:rFonts w:hint="eastAsia" w:ascii="仿宋" w:hAnsi="仿宋" w:eastAsia="仿宋" w:cs="仿宋_GB2312"/>
          <w:szCs w:val="32"/>
        </w:rPr>
        <w:t>（</w:t>
      </w:r>
      <w:r>
        <w:rPr>
          <w:rFonts w:ascii="仿宋" w:hAnsi="仿宋" w:eastAsia="仿宋" w:cs="宋体"/>
          <w:szCs w:val="32"/>
        </w:rPr>
        <w:t>8</w:t>
      </w:r>
      <w:r>
        <w:rPr>
          <w:rFonts w:hint="eastAsia" w:ascii="仿宋" w:hAnsi="仿宋" w:eastAsia="仿宋" w:cs="宋体"/>
          <w:szCs w:val="32"/>
        </w:rPr>
        <w:t>）统筹管理本部门教育经费及境外对本省的教育援助、教育贷款；参与拟订教育经费筹措、教育拨款、教育基建投资、教育收费的政策规定；监测全省教育经费的筹措和使用情况；组织管理全省学生资助工作；指导全省教育系统内部审计工作。</w:t>
      </w:r>
    </w:p>
    <w:p>
      <w:pPr>
        <w:pageBreakBefore w:val="0"/>
        <w:widowControl/>
        <w:kinsoku/>
        <w:wordWrap/>
        <w:overflowPunct/>
        <w:topLinePunct w:val="0"/>
        <w:autoSpaceDE/>
        <w:autoSpaceDN/>
        <w:bidi w:val="0"/>
        <w:adjustRightInd/>
        <w:snapToGrid/>
        <w:spacing w:beforeAutospacing="0" w:afterAutospacing="0" w:line="640" w:lineRule="exact"/>
        <w:ind w:firstLine="640" w:firstLineChars="200"/>
        <w:textAlignment w:val="auto"/>
        <w:rPr>
          <w:rFonts w:ascii="仿宋" w:hAnsi="仿宋" w:eastAsia="仿宋" w:cs="宋体"/>
          <w:szCs w:val="32"/>
        </w:rPr>
      </w:pPr>
      <w:r>
        <w:rPr>
          <w:rFonts w:hint="eastAsia" w:ascii="仿宋" w:hAnsi="仿宋" w:eastAsia="仿宋" w:cs="仿宋_GB2312"/>
          <w:szCs w:val="32"/>
        </w:rPr>
        <w:t>（</w:t>
      </w:r>
      <w:r>
        <w:rPr>
          <w:rFonts w:ascii="仿宋" w:hAnsi="仿宋" w:eastAsia="仿宋" w:cs="宋体"/>
          <w:szCs w:val="32"/>
        </w:rPr>
        <w:t>9</w:t>
      </w:r>
      <w:r>
        <w:rPr>
          <w:rFonts w:hint="eastAsia" w:ascii="仿宋" w:hAnsi="仿宋" w:eastAsia="仿宋" w:cs="宋体"/>
          <w:szCs w:val="32"/>
        </w:rPr>
        <w:t>）指导全省各级各类学校思想政治工作、德育工作、法制宣传教育工作、体育卫生与美育工作、劳动教育及国防教育工作。指导、协调教育系统维护稳定以及学校安全工作。</w:t>
      </w:r>
    </w:p>
    <w:p>
      <w:pPr>
        <w:pageBreakBefore w:val="0"/>
        <w:widowControl/>
        <w:kinsoku/>
        <w:wordWrap/>
        <w:overflowPunct/>
        <w:topLinePunct w:val="0"/>
        <w:autoSpaceDE/>
        <w:autoSpaceDN/>
        <w:bidi w:val="0"/>
        <w:adjustRightInd/>
        <w:snapToGrid/>
        <w:spacing w:beforeAutospacing="0" w:afterAutospacing="0" w:line="640" w:lineRule="exact"/>
        <w:ind w:firstLine="640" w:firstLineChars="200"/>
        <w:textAlignment w:val="auto"/>
        <w:rPr>
          <w:rFonts w:ascii="仿宋" w:hAnsi="仿宋" w:eastAsia="仿宋" w:cs="宋体"/>
          <w:szCs w:val="32"/>
        </w:rPr>
      </w:pPr>
      <w:r>
        <w:rPr>
          <w:rFonts w:hint="eastAsia" w:ascii="仿宋" w:hAnsi="仿宋" w:eastAsia="仿宋" w:cs="仿宋_GB2312"/>
          <w:szCs w:val="32"/>
        </w:rPr>
        <w:t>（</w:t>
      </w:r>
      <w:r>
        <w:rPr>
          <w:rFonts w:ascii="仿宋" w:hAnsi="仿宋" w:eastAsia="仿宋" w:cs="宋体"/>
          <w:szCs w:val="32"/>
        </w:rPr>
        <w:t>10</w:t>
      </w:r>
      <w:r>
        <w:rPr>
          <w:rFonts w:hint="eastAsia" w:ascii="仿宋" w:hAnsi="仿宋" w:eastAsia="仿宋" w:cs="宋体"/>
          <w:szCs w:val="32"/>
        </w:rPr>
        <w:t>）主管全省教师工作。统筹协调各级各类学校校长、教师培训和教师教育，指导教师资格制度、教师专业</w:t>
      </w:r>
      <w:r>
        <w:rPr>
          <w:rFonts w:hint="eastAsia" w:ascii="仿宋" w:hAnsi="仿宋" w:eastAsia="仿宋" w:cs="仿宋_GB2312"/>
          <w:szCs w:val="32"/>
        </w:rPr>
        <w:t>技术职务制度的实施。指导全省各级各类学校人事制度改革工作，推进全省教育领域人才队伍建设。</w:t>
      </w:r>
    </w:p>
    <w:p>
      <w:pPr>
        <w:pageBreakBefore w:val="0"/>
        <w:widowControl/>
        <w:kinsoku/>
        <w:wordWrap/>
        <w:overflowPunct/>
        <w:topLinePunct w:val="0"/>
        <w:autoSpaceDE/>
        <w:autoSpaceDN/>
        <w:bidi w:val="0"/>
        <w:adjustRightInd/>
        <w:snapToGrid/>
        <w:spacing w:beforeAutospacing="0" w:afterAutospacing="0" w:line="640" w:lineRule="exact"/>
        <w:ind w:firstLine="640" w:firstLineChars="200"/>
        <w:textAlignment w:val="auto"/>
        <w:rPr>
          <w:rFonts w:hint="eastAsia" w:ascii="仿宋" w:hAnsi="仿宋" w:eastAsia="仿宋" w:cs="宋体"/>
          <w:szCs w:val="32"/>
        </w:rPr>
      </w:pPr>
      <w:r>
        <w:rPr>
          <w:rFonts w:hint="eastAsia" w:ascii="仿宋" w:hAnsi="仿宋" w:eastAsia="仿宋" w:cs="仿宋_GB2312"/>
          <w:szCs w:val="32"/>
        </w:rPr>
        <w:t>（</w:t>
      </w:r>
      <w:r>
        <w:rPr>
          <w:rFonts w:ascii="仿宋" w:hAnsi="仿宋" w:eastAsia="仿宋" w:cs="宋体"/>
          <w:szCs w:val="32"/>
        </w:rPr>
        <w:t>11</w:t>
      </w:r>
      <w:r>
        <w:rPr>
          <w:rFonts w:hint="eastAsia" w:ascii="仿宋" w:hAnsi="仿宋" w:eastAsia="仿宋" w:cs="宋体"/>
          <w:szCs w:val="32"/>
        </w:rPr>
        <w:t>）负责全省各级各类学历教育的学籍和学历管理工作。协调制定高校招生计划并组织实施。负责实施国家学位制度，承担省学位委员会有关工作。参与拟订普通高校毕业生就业政策，指导普通高校开展大学生创新创业教育、就业工作。</w:t>
      </w:r>
    </w:p>
    <w:p>
      <w:pPr>
        <w:pageBreakBefore w:val="0"/>
        <w:widowControl/>
        <w:kinsoku/>
        <w:wordWrap/>
        <w:overflowPunct/>
        <w:topLinePunct w:val="0"/>
        <w:autoSpaceDE/>
        <w:autoSpaceDN/>
        <w:bidi w:val="0"/>
        <w:adjustRightInd/>
        <w:snapToGrid/>
        <w:spacing w:beforeAutospacing="0" w:afterAutospacing="0" w:line="640" w:lineRule="exact"/>
        <w:ind w:firstLine="640" w:firstLineChars="200"/>
        <w:textAlignment w:val="auto"/>
        <w:rPr>
          <w:rFonts w:ascii="仿宋" w:hAnsi="仿宋" w:eastAsia="仿宋" w:cs="宋体"/>
          <w:szCs w:val="32"/>
        </w:rPr>
      </w:pPr>
      <w:r>
        <w:rPr>
          <w:rFonts w:hint="eastAsia" w:ascii="仿宋" w:hAnsi="仿宋" w:eastAsia="仿宋" w:cs="仿宋_GB2312"/>
          <w:szCs w:val="32"/>
        </w:rPr>
        <w:t>（</w:t>
      </w:r>
      <w:r>
        <w:rPr>
          <w:rFonts w:ascii="仿宋" w:hAnsi="仿宋" w:eastAsia="仿宋" w:cs="宋体"/>
          <w:szCs w:val="32"/>
        </w:rPr>
        <w:t>12</w:t>
      </w:r>
      <w:r>
        <w:rPr>
          <w:rFonts w:hint="eastAsia" w:ascii="仿宋" w:hAnsi="仿宋" w:eastAsia="仿宋" w:cs="宋体"/>
          <w:szCs w:val="32"/>
        </w:rPr>
        <w:t>）规划和协调教育系统重大科研工作。指导院校高新技术研究与推广、科研成果转化和</w:t>
      </w:r>
      <w:r>
        <w:rPr>
          <w:rFonts w:ascii="仿宋" w:hAnsi="仿宋" w:eastAsia="仿宋" w:cs="??"/>
          <w:szCs w:val="32"/>
        </w:rPr>
        <w:t>“</w:t>
      </w:r>
      <w:r>
        <w:rPr>
          <w:rFonts w:hint="eastAsia" w:ascii="仿宋" w:hAnsi="仿宋" w:eastAsia="仿宋" w:cs="仿宋_GB2312"/>
          <w:szCs w:val="32"/>
        </w:rPr>
        <w:t>产学研</w:t>
      </w:r>
      <w:r>
        <w:rPr>
          <w:rFonts w:ascii="仿宋" w:hAnsi="仿宋" w:eastAsia="仿宋" w:cs="??"/>
          <w:szCs w:val="32"/>
        </w:rPr>
        <w:t>”</w:t>
      </w:r>
      <w:r>
        <w:rPr>
          <w:rFonts w:hint="eastAsia" w:ascii="仿宋" w:hAnsi="仿宋" w:eastAsia="仿宋" w:cs="仿宋_GB2312"/>
          <w:szCs w:val="32"/>
        </w:rPr>
        <w:t>结合等工作。协调和指导学校开展教学研究工作。</w:t>
      </w:r>
    </w:p>
    <w:p>
      <w:pPr>
        <w:pageBreakBefore w:val="0"/>
        <w:widowControl/>
        <w:kinsoku/>
        <w:wordWrap/>
        <w:overflowPunct/>
        <w:topLinePunct w:val="0"/>
        <w:autoSpaceDE/>
        <w:autoSpaceDN/>
        <w:bidi w:val="0"/>
        <w:adjustRightInd/>
        <w:snapToGrid/>
        <w:spacing w:beforeAutospacing="0" w:afterAutospacing="0" w:line="640" w:lineRule="exact"/>
        <w:ind w:firstLine="640" w:firstLineChars="200"/>
        <w:textAlignment w:val="auto"/>
        <w:rPr>
          <w:rFonts w:ascii="仿宋" w:hAnsi="仿宋" w:eastAsia="仿宋" w:cs="宋体"/>
          <w:szCs w:val="32"/>
        </w:rPr>
      </w:pPr>
      <w:r>
        <w:rPr>
          <w:rFonts w:hint="eastAsia" w:ascii="仿宋" w:hAnsi="仿宋" w:eastAsia="仿宋" w:cs="仿宋_GB2312"/>
          <w:szCs w:val="32"/>
        </w:rPr>
        <w:t>（</w:t>
      </w:r>
      <w:r>
        <w:rPr>
          <w:rFonts w:ascii="仿宋" w:hAnsi="仿宋" w:eastAsia="仿宋" w:cs="宋体"/>
          <w:szCs w:val="32"/>
        </w:rPr>
        <w:t>13</w:t>
      </w:r>
      <w:r>
        <w:rPr>
          <w:rFonts w:hint="eastAsia" w:ascii="仿宋" w:hAnsi="仿宋" w:eastAsia="仿宋" w:cs="宋体"/>
          <w:szCs w:val="32"/>
        </w:rPr>
        <w:t>）加强教育领域对外开放。指导教育系统开展与国际和港澳台地区的合作与交流</w:t>
      </w:r>
      <w:r>
        <w:rPr>
          <w:rFonts w:hint="eastAsia" w:ascii="仿宋" w:hAnsi="仿宋" w:eastAsia="仿宋" w:cs="仿宋_GB2312"/>
          <w:szCs w:val="32"/>
        </w:rPr>
        <w:t>，协调管理中外合作办学和外籍人员子女学校，监督管理自费留学中介服务机构。引进国内外优质教育培训资源，举办高水平中外合作办学机构和项目，加强教育培训合作，培养高水平的国际化人才。指导外籍教师聘请和外国留学生管理工作。指导汉语国际推广工作。</w:t>
      </w:r>
    </w:p>
    <w:p>
      <w:pPr>
        <w:pageBreakBefore w:val="0"/>
        <w:widowControl/>
        <w:kinsoku/>
        <w:wordWrap/>
        <w:overflowPunct/>
        <w:topLinePunct w:val="0"/>
        <w:autoSpaceDE/>
        <w:autoSpaceDN/>
        <w:bidi w:val="0"/>
        <w:adjustRightInd/>
        <w:snapToGrid/>
        <w:spacing w:beforeAutospacing="0" w:afterAutospacing="0" w:line="640" w:lineRule="exact"/>
        <w:ind w:firstLine="640" w:firstLineChars="200"/>
        <w:textAlignment w:val="auto"/>
        <w:rPr>
          <w:rFonts w:ascii="仿宋" w:hAnsi="仿宋" w:eastAsia="仿宋" w:cs="宋体"/>
          <w:szCs w:val="32"/>
        </w:rPr>
      </w:pPr>
      <w:r>
        <w:rPr>
          <w:rFonts w:hint="eastAsia" w:ascii="仿宋" w:hAnsi="仿宋" w:eastAsia="仿宋" w:cs="仿宋_GB2312"/>
          <w:szCs w:val="32"/>
        </w:rPr>
        <w:t>（</w:t>
      </w:r>
      <w:r>
        <w:rPr>
          <w:rFonts w:ascii="仿宋" w:hAnsi="仿宋" w:eastAsia="仿宋" w:cs="宋体"/>
          <w:szCs w:val="32"/>
        </w:rPr>
        <w:t>14</w:t>
      </w:r>
      <w:r>
        <w:rPr>
          <w:rFonts w:hint="eastAsia" w:ascii="仿宋" w:hAnsi="仿宋" w:eastAsia="仿宋" w:cs="宋体"/>
          <w:szCs w:val="32"/>
        </w:rPr>
        <w:t>）承担全省语言文字的管理工作。制定全省语言文字中长期规划并组织实施，指导语言文字规范化建设，监督检查语言文字的应用情况，负责普通话推广和普通话水平测试管理工作。</w:t>
      </w:r>
    </w:p>
    <w:p>
      <w:pPr>
        <w:pageBreakBefore w:val="0"/>
        <w:widowControl/>
        <w:kinsoku/>
        <w:wordWrap/>
        <w:overflowPunct/>
        <w:topLinePunct w:val="0"/>
        <w:autoSpaceDE/>
        <w:autoSpaceDN/>
        <w:bidi w:val="0"/>
        <w:adjustRightInd/>
        <w:snapToGrid/>
        <w:spacing w:beforeAutospacing="0" w:afterAutospacing="0" w:line="640" w:lineRule="exact"/>
        <w:ind w:firstLine="640" w:firstLineChars="200"/>
        <w:textAlignment w:val="auto"/>
        <w:rPr>
          <w:rFonts w:ascii="仿宋" w:hAnsi="仿宋" w:eastAsia="仿宋" w:cs="宋体"/>
          <w:szCs w:val="32"/>
        </w:rPr>
      </w:pPr>
      <w:r>
        <w:rPr>
          <w:rFonts w:hint="eastAsia" w:ascii="仿宋" w:hAnsi="仿宋" w:eastAsia="仿宋" w:cs="仿宋_GB2312"/>
          <w:szCs w:val="32"/>
        </w:rPr>
        <w:t>（</w:t>
      </w:r>
      <w:r>
        <w:rPr>
          <w:rFonts w:ascii="仿宋" w:hAnsi="仿宋" w:eastAsia="仿宋" w:cs="宋体"/>
          <w:szCs w:val="32"/>
        </w:rPr>
        <w:t>15</w:t>
      </w:r>
      <w:r>
        <w:rPr>
          <w:rFonts w:hint="eastAsia" w:ascii="仿宋" w:hAnsi="仿宋" w:eastAsia="仿宋" w:cs="宋体"/>
          <w:szCs w:val="32"/>
        </w:rPr>
        <w:t>）负责对直属事业单位（学校）贯彻执行党和国家的方针政策、法律、法规、规章的检查监督，协同有关部门监管其非</w:t>
      </w:r>
      <w:r>
        <w:rPr>
          <w:rFonts w:hint="eastAsia" w:ascii="仿宋" w:hAnsi="仿宋" w:eastAsia="仿宋" w:cs="仿宋_GB2312"/>
          <w:szCs w:val="32"/>
        </w:rPr>
        <w:t>经营性国有资产。</w:t>
      </w:r>
    </w:p>
    <w:p>
      <w:pPr>
        <w:pageBreakBefore w:val="0"/>
        <w:widowControl/>
        <w:kinsoku/>
        <w:wordWrap/>
        <w:overflowPunct/>
        <w:topLinePunct w:val="0"/>
        <w:autoSpaceDE/>
        <w:autoSpaceDN/>
        <w:bidi w:val="0"/>
        <w:adjustRightInd/>
        <w:snapToGrid/>
        <w:spacing w:beforeAutospacing="0" w:afterAutospacing="0" w:line="640" w:lineRule="exact"/>
        <w:ind w:firstLine="640" w:firstLineChars="200"/>
        <w:textAlignment w:val="auto"/>
        <w:rPr>
          <w:rFonts w:ascii="仿宋" w:hAnsi="仿宋" w:eastAsia="仿宋" w:cs="宋体"/>
          <w:szCs w:val="32"/>
        </w:rPr>
      </w:pPr>
      <w:r>
        <w:rPr>
          <w:rFonts w:hint="eastAsia" w:ascii="仿宋" w:hAnsi="仿宋" w:eastAsia="仿宋" w:cs="仿宋_GB2312"/>
          <w:szCs w:val="32"/>
        </w:rPr>
        <w:t>（</w:t>
      </w:r>
      <w:r>
        <w:rPr>
          <w:rFonts w:ascii="仿宋" w:hAnsi="仿宋" w:eastAsia="仿宋" w:cs="宋体"/>
          <w:szCs w:val="32"/>
        </w:rPr>
        <w:t>16</w:t>
      </w:r>
      <w:r>
        <w:rPr>
          <w:rFonts w:hint="eastAsia" w:ascii="仿宋" w:hAnsi="仿宋" w:eastAsia="仿宋" w:cs="宋体"/>
          <w:szCs w:val="32"/>
        </w:rPr>
        <w:t>）完成省委、省政府和上级部门交办的其他任务。</w:t>
      </w:r>
    </w:p>
    <w:p>
      <w:pPr>
        <w:pStyle w:val="3"/>
        <w:pageBreakBefore w:val="0"/>
        <w:widowControl/>
        <w:kinsoku/>
        <w:wordWrap/>
        <w:overflowPunct/>
        <w:topLinePunct w:val="0"/>
        <w:autoSpaceDE/>
        <w:autoSpaceDN/>
        <w:bidi w:val="0"/>
        <w:adjustRightInd/>
        <w:snapToGrid/>
        <w:spacing w:beforeLines="0" w:beforeAutospacing="0" w:afterLines="0" w:afterAutospacing="0" w:line="640" w:lineRule="exact"/>
        <w:ind w:firstLine="643"/>
        <w:textAlignment w:val="auto"/>
        <w:rPr>
          <w:rFonts w:ascii="仿宋" w:hAnsi="仿宋" w:eastAsia="仿宋" w:cs="楷体"/>
        </w:rPr>
      </w:pPr>
      <w:r>
        <w:rPr>
          <w:rFonts w:hint="eastAsia" w:ascii="仿宋" w:hAnsi="仿宋" w:eastAsia="仿宋" w:cs="楷体"/>
        </w:rPr>
        <w:t>二、机构设置</w:t>
      </w:r>
    </w:p>
    <w:p>
      <w:pPr>
        <w:keepNext w:val="0"/>
        <w:keepLines w:val="0"/>
        <w:pageBreakBefore w:val="0"/>
        <w:widowControl/>
        <w:kinsoku/>
        <w:wordWrap/>
        <w:overflowPunct/>
        <w:topLinePunct w:val="0"/>
        <w:autoSpaceDE/>
        <w:autoSpaceDN/>
        <w:bidi w:val="0"/>
        <w:adjustRightInd/>
        <w:snapToGrid/>
        <w:spacing w:beforeAutospacing="0" w:afterAutospacing="0" w:line="640" w:lineRule="exact"/>
        <w:ind w:firstLine="640" w:firstLineChars="200"/>
        <w:textAlignment w:val="auto"/>
        <w:rPr>
          <w:rFonts w:ascii="仿宋" w:hAnsi="仿宋" w:eastAsia="仿宋" w:cs="仿宋_GB2312"/>
          <w:szCs w:val="32"/>
          <w:shd w:val="clear" w:color="auto" w:fill="FFFFFF"/>
        </w:rPr>
      </w:pPr>
      <w:r>
        <w:rPr>
          <w:rFonts w:hint="eastAsia" w:ascii="仿宋" w:hAnsi="仿宋" w:eastAsia="仿宋" w:cs="仿宋_GB2312"/>
          <w:szCs w:val="32"/>
          <w:shd w:val="clear" w:color="auto" w:fill="FFFFFF"/>
        </w:rPr>
        <w:t>纳入海南省教育厅部门</w:t>
      </w:r>
      <w:r>
        <w:rPr>
          <w:rFonts w:ascii="仿宋" w:hAnsi="仿宋" w:eastAsia="仿宋" w:cs="仿宋_GB2312"/>
          <w:szCs w:val="32"/>
          <w:shd w:val="clear" w:color="auto" w:fill="FFFFFF"/>
        </w:rPr>
        <w:t>202</w:t>
      </w:r>
      <w:r>
        <w:rPr>
          <w:rFonts w:hint="eastAsia" w:ascii="仿宋" w:hAnsi="仿宋" w:eastAsia="仿宋" w:cs="仿宋_GB2312"/>
          <w:szCs w:val="32"/>
          <w:shd w:val="clear" w:color="auto" w:fill="FFFFFF"/>
        </w:rPr>
        <w:t>2年度部门决算编制范围的二级预算单位包括：</w:t>
      </w:r>
    </w:p>
    <w:p>
      <w:pPr>
        <w:keepNext w:val="0"/>
        <w:keepLines w:val="0"/>
        <w:pageBreakBefore w:val="0"/>
        <w:widowControl/>
        <w:kinsoku/>
        <w:wordWrap/>
        <w:overflowPunct/>
        <w:topLinePunct w:val="0"/>
        <w:autoSpaceDE/>
        <w:autoSpaceDN/>
        <w:bidi w:val="0"/>
        <w:adjustRightInd/>
        <w:snapToGrid/>
        <w:spacing w:beforeAutospacing="0" w:afterAutospacing="0" w:line="640" w:lineRule="exact"/>
        <w:ind w:firstLine="640" w:firstLineChars="200"/>
        <w:textAlignment w:val="auto"/>
        <w:rPr>
          <w:rFonts w:ascii="仿宋" w:hAnsi="仿宋" w:eastAsia="仿宋" w:cs="仿宋_GB2312"/>
        </w:rPr>
      </w:pPr>
      <w:r>
        <w:rPr>
          <w:rFonts w:hint="eastAsia" w:ascii="仿宋" w:hAnsi="仿宋" w:eastAsia="仿宋" w:cs="仿宋_GB2312"/>
        </w:rPr>
        <w:t>（一）省教育厅本级；</w:t>
      </w:r>
    </w:p>
    <w:p>
      <w:pPr>
        <w:keepNext w:val="0"/>
        <w:keepLines w:val="0"/>
        <w:pageBreakBefore w:val="0"/>
        <w:widowControl/>
        <w:kinsoku/>
        <w:wordWrap/>
        <w:overflowPunct/>
        <w:topLinePunct w:val="0"/>
        <w:autoSpaceDE/>
        <w:autoSpaceDN/>
        <w:bidi w:val="0"/>
        <w:adjustRightInd/>
        <w:snapToGrid/>
        <w:spacing w:beforeAutospacing="0" w:afterAutospacing="0" w:line="640" w:lineRule="exact"/>
        <w:ind w:firstLine="640" w:firstLineChars="200"/>
        <w:textAlignment w:val="auto"/>
        <w:rPr>
          <w:rFonts w:ascii="仿宋" w:hAnsi="仿宋" w:eastAsia="仿宋" w:cs="宋体"/>
          <w:szCs w:val="32"/>
        </w:rPr>
      </w:pPr>
      <w:r>
        <w:rPr>
          <w:rFonts w:hint="eastAsia" w:ascii="仿宋" w:hAnsi="仿宋" w:eastAsia="仿宋" w:cs="楷体"/>
          <w:szCs w:val="32"/>
          <w:shd w:val="clear" w:color="auto" w:fill="FFFFFF"/>
        </w:rPr>
        <w:t>（二）</w:t>
      </w:r>
      <w:r>
        <w:rPr>
          <w:rFonts w:hint="eastAsia" w:ascii="仿宋" w:hAnsi="仿宋" w:eastAsia="仿宋" w:cs="仿宋_GB2312"/>
          <w:szCs w:val="32"/>
        </w:rPr>
        <w:t>纳入</w:t>
      </w:r>
      <w:r>
        <w:rPr>
          <w:rFonts w:ascii="仿宋" w:hAnsi="仿宋" w:eastAsia="仿宋" w:cs="宋体"/>
          <w:szCs w:val="32"/>
        </w:rPr>
        <w:t>202</w:t>
      </w:r>
      <w:r>
        <w:rPr>
          <w:rFonts w:hint="eastAsia" w:ascii="仿宋" w:hAnsi="仿宋" w:eastAsia="仿宋" w:cs="宋体"/>
          <w:szCs w:val="32"/>
        </w:rPr>
        <w:t>2</w:t>
      </w:r>
      <w:r>
        <w:rPr>
          <w:rFonts w:hint="eastAsia" w:ascii="仿宋" w:hAnsi="仿宋" w:eastAsia="仿宋" w:cs="仿宋_GB2312"/>
          <w:szCs w:val="32"/>
        </w:rPr>
        <w:t>年度省教育厅部门决算编制范围的二级预算单位有：</w:t>
      </w:r>
    </w:p>
    <w:p>
      <w:pPr>
        <w:pageBreakBefore w:val="0"/>
        <w:widowControl/>
        <w:kinsoku/>
        <w:wordWrap/>
        <w:overflowPunct/>
        <w:topLinePunct w:val="0"/>
        <w:autoSpaceDE/>
        <w:autoSpaceDN/>
        <w:bidi w:val="0"/>
        <w:adjustRightInd/>
        <w:snapToGrid/>
        <w:spacing w:beforeAutospacing="0" w:afterAutospacing="0" w:line="640" w:lineRule="exact"/>
        <w:ind w:firstLine="640" w:firstLineChars="200"/>
        <w:textAlignment w:val="auto"/>
        <w:rPr>
          <w:rFonts w:ascii="仿宋" w:hAnsi="仿宋" w:eastAsia="仿宋" w:cs="宋体"/>
          <w:szCs w:val="32"/>
        </w:rPr>
      </w:pPr>
      <w:r>
        <w:rPr>
          <w:rFonts w:ascii="仿宋" w:hAnsi="仿宋" w:eastAsia="仿宋" w:cs="宋体"/>
          <w:szCs w:val="32"/>
        </w:rPr>
        <w:t>1.</w:t>
      </w:r>
      <w:r>
        <w:rPr>
          <w:rFonts w:hint="eastAsia" w:ascii="仿宋" w:hAnsi="仿宋" w:eastAsia="仿宋" w:cs="仿宋_GB2312"/>
          <w:szCs w:val="32"/>
        </w:rPr>
        <w:t>直属单位</w:t>
      </w:r>
      <w:r>
        <w:rPr>
          <w:rFonts w:ascii="仿宋" w:hAnsi="仿宋" w:eastAsia="仿宋" w:cs="宋体"/>
          <w:szCs w:val="32"/>
        </w:rPr>
        <w:t>5</w:t>
      </w:r>
      <w:r>
        <w:rPr>
          <w:rFonts w:hint="eastAsia" w:ascii="仿宋" w:hAnsi="仿宋" w:eastAsia="仿宋" w:cs="宋体"/>
          <w:szCs w:val="32"/>
        </w:rPr>
        <w:t>个：省教育研究培训院、省电化教育馆、省考试局、</w:t>
      </w:r>
      <w:r>
        <w:rPr>
          <w:rFonts w:hint="eastAsia" w:ascii="仿宋" w:hAnsi="仿宋" w:eastAsia="仿宋" w:cs="仿宋_GB2312"/>
          <w:szCs w:val="32"/>
        </w:rPr>
        <w:t>海南省教育考试命题和评价中心、海南省学校后勤与学生资助管理办公室；</w:t>
      </w:r>
    </w:p>
    <w:p>
      <w:pPr>
        <w:pageBreakBefore w:val="0"/>
        <w:widowControl/>
        <w:kinsoku/>
        <w:wordWrap/>
        <w:overflowPunct/>
        <w:topLinePunct w:val="0"/>
        <w:autoSpaceDE/>
        <w:autoSpaceDN/>
        <w:bidi w:val="0"/>
        <w:adjustRightInd/>
        <w:snapToGrid/>
        <w:spacing w:beforeAutospacing="0" w:afterAutospacing="0" w:line="640" w:lineRule="exact"/>
        <w:ind w:firstLine="640" w:firstLineChars="200"/>
        <w:textAlignment w:val="auto"/>
        <w:rPr>
          <w:rFonts w:ascii="仿宋" w:hAnsi="仿宋" w:eastAsia="仿宋" w:cs="宋体"/>
          <w:szCs w:val="32"/>
        </w:rPr>
      </w:pPr>
      <w:r>
        <w:rPr>
          <w:rFonts w:ascii="仿宋" w:hAnsi="仿宋" w:eastAsia="仿宋" w:cs="宋体"/>
          <w:szCs w:val="32"/>
        </w:rPr>
        <w:t>2.</w:t>
      </w:r>
      <w:r>
        <w:rPr>
          <w:rFonts w:hint="eastAsia" w:ascii="仿宋" w:hAnsi="仿宋" w:eastAsia="仿宋" w:cs="仿宋_GB2312"/>
          <w:szCs w:val="32"/>
        </w:rPr>
        <w:t>高校</w:t>
      </w:r>
      <w:r>
        <w:rPr>
          <w:rFonts w:ascii="仿宋" w:hAnsi="仿宋" w:eastAsia="仿宋" w:cs="宋体"/>
          <w:szCs w:val="32"/>
        </w:rPr>
        <w:t>9</w:t>
      </w:r>
      <w:r>
        <w:rPr>
          <w:rFonts w:hint="eastAsia" w:ascii="仿宋" w:hAnsi="仿宋" w:eastAsia="仿宋" w:cs="宋体"/>
          <w:szCs w:val="32"/>
        </w:rPr>
        <w:t>个：海南大学、海南医学院、海南师范大学、海南热带海洋学院、海南广播电视大学、琼台师范学院、海南软件职业技术学院、海南外国语职业学院、海南经贸职业技术学院；</w:t>
      </w:r>
    </w:p>
    <w:p>
      <w:pPr>
        <w:pageBreakBefore w:val="0"/>
        <w:widowControl/>
        <w:kinsoku/>
        <w:wordWrap/>
        <w:overflowPunct/>
        <w:topLinePunct w:val="0"/>
        <w:autoSpaceDE/>
        <w:autoSpaceDN/>
        <w:bidi w:val="0"/>
        <w:adjustRightInd/>
        <w:snapToGrid/>
        <w:spacing w:beforeAutospacing="0" w:afterAutospacing="0" w:line="640" w:lineRule="exact"/>
        <w:ind w:firstLine="640" w:firstLineChars="200"/>
        <w:textAlignment w:val="auto"/>
        <w:rPr>
          <w:rFonts w:ascii="仿宋" w:hAnsi="仿宋" w:eastAsia="仿宋" w:cs="宋体"/>
          <w:szCs w:val="32"/>
        </w:rPr>
      </w:pPr>
      <w:r>
        <w:rPr>
          <w:rFonts w:ascii="仿宋" w:hAnsi="仿宋" w:eastAsia="仿宋" w:cs="宋体"/>
          <w:szCs w:val="32"/>
        </w:rPr>
        <w:t>3.</w:t>
      </w:r>
      <w:r>
        <w:rPr>
          <w:rFonts w:hint="eastAsia" w:ascii="仿宋" w:hAnsi="仿宋" w:eastAsia="仿宋" w:cs="仿宋_GB2312"/>
          <w:szCs w:val="32"/>
        </w:rPr>
        <w:t>中职学校</w:t>
      </w:r>
      <w:r>
        <w:rPr>
          <w:rFonts w:ascii="仿宋" w:hAnsi="仿宋" w:eastAsia="仿宋" w:cs="宋体"/>
          <w:szCs w:val="32"/>
        </w:rPr>
        <w:t>11</w:t>
      </w:r>
      <w:r>
        <w:rPr>
          <w:rFonts w:hint="eastAsia" w:ascii="仿宋" w:hAnsi="仿宋" w:eastAsia="仿宋" w:cs="仿宋_GB2312"/>
          <w:szCs w:val="32"/>
        </w:rPr>
        <w:t>个：海南省商业学校、海南省财税学校、海南省工业学校、海南省民族技工学校、海南省华侨商业学校、海南省经济技术学校、海南省银行学校、海南省农林科技学校、海南省机电学校、农垦海口中专、海南省农业学校；</w:t>
      </w:r>
    </w:p>
    <w:p>
      <w:pPr>
        <w:pageBreakBefore w:val="0"/>
        <w:widowControl/>
        <w:kinsoku/>
        <w:wordWrap/>
        <w:overflowPunct/>
        <w:topLinePunct w:val="0"/>
        <w:autoSpaceDE/>
        <w:autoSpaceDN/>
        <w:bidi w:val="0"/>
        <w:adjustRightInd/>
        <w:snapToGrid/>
        <w:spacing w:beforeAutospacing="0" w:afterAutospacing="0" w:line="640" w:lineRule="exact"/>
        <w:ind w:firstLine="640" w:firstLineChars="200"/>
        <w:textAlignment w:val="auto"/>
        <w:rPr>
          <w:rFonts w:ascii="仿宋" w:hAnsi="仿宋" w:eastAsia="仿宋" w:cs="宋体"/>
          <w:szCs w:val="32"/>
        </w:rPr>
      </w:pPr>
      <w:r>
        <w:rPr>
          <w:rFonts w:ascii="仿宋" w:hAnsi="仿宋" w:eastAsia="仿宋" w:cs="宋体"/>
          <w:szCs w:val="32"/>
        </w:rPr>
        <w:t>4.</w:t>
      </w:r>
      <w:r>
        <w:rPr>
          <w:rFonts w:hint="eastAsia" w:ascii="仿宋" w:hAnsi="仿宋" w:eastAsia="仿宋" w:cs="仿宋_GB2312"/>
          <w:szCs w:val="32"/>
        </w:rPr>
        <w:t>直属中学</w:t>
      </w:r>
      <w:r>
        <w:rPr>
          <w:rFonts w:ascii="仿宋" w:hAnsi="仿宋" w:eastAsia="仿宋" w:cs="宋体"/>
          <w:szCs w:val="32"/>
        </w:rPr>
        <w:t>5</w:t>
      </w:r>
      <w:r>
        <w:rPr>
          <w:rFonts w:hint="eastAsia" w:ascii="仿宋" w:hAnsi="仿宋" w:eastAsia="仿宋" w:cs="宋体"/>
          <w:szCs w:val="32"/>
        </w:rPr>
        <w:t>个：海南中学、国兴中学、海南省农垦加来高级中学、农垦中学、农垦实验中学；</w:t>
      </w:r>
    </w:p>
    <w:p>
      <w:pPr>
        <w:pageBreakBefore w:val="0"/>
        <w:widowControl/>
        <w:kinsoku/>
        <w:wordWrap/>
        <w:overflowPunct/>
        <w:topLinePunct w:val="0"/>
        <w:autoSpaceDE/>
        <w:autoSpaceDN/>
        <w:bidi w:val="0"/>
        <w:adjustRightInd/>
        <w:snapToGrid/>
        <w:spacing w:beforeAutospacing="0" w:afterAutospacing="0" w:line="640" w:lineRule="exact"/>
        <w:ind w:firstLine="640" w:firstLineChars="200"/>
        <w:textAlignment w:val="auto"/>
        <w:rPr>
          <w:rFonts w:ascii="仿宋" w:hAnsi="仿宋" w:eastAsia="仿宋" w:cs="宋体"/>
          <w:szCs w:val="32"/>
        </w:rPr>
      </w:pPr>
      <w:r>
        <w:rPr>
          <w:rFonts w:ascii="仿宋" w:hAnsi="仿宋" w:eastAsia="仿宋" w:cs="宋体"/>
          <w:szCs w:val="32"/>
        </w:rPr>
        <w:t>5.</w:t>
      </w:r>
      <w:r>
        <w:rPr>
          <w:rFonts w:hint="eastAsia" w:ascii="仿宋" w:hAnsi="仿宋" w:eastAsia="仿宋" w:cs="仿宋_GB2312"/>
          <w:szCs w:val="32"/>
        </w:rPr>
        <w:t>高校附属中学</w:t>
      </w:r>
      <w:r>
        <w:rPr>
          <w:rFonts w:ascii="仿宋" w:hAnsi="仿宋" w:eastAsia="仿宋" w:cs="宋体"/>
          <w:szCs w:val="32"/>
        </w:rPr>
        <w:t>2</w:t>
      </w:r>
      <w:r>
        <w:rPr>
          <w:rFonts w:hint="eastAsia" w:ascii="仿宋" w:hAnsi="仿宋" w:eastAsia="仿宋" w:cs="宋体"/>
          <w:szCs w:val="32"/>
        </w:rPr>
        <w:t>个：海南热带海洋学院附属中学、海南师范大学附属中学。</w:t>
      </w:r>
    </w:p>
    <w:p>
      <w:pPr>
        <w:pageBreakBefore w:val="0"/>
        <w:widowControl/>
        <w:kinsoku/>
        <w:wordWrap/>
        <w:overflowPunct/>
        <w:topLinePunct w:val="0"/>
        <w:autoSpaceDE/>
        <w:autoSpaceDN/>
        <w:bidi w:val="0"/>
        <w:adjustRightInd/>
        <w:snapToGrid/>
        <w:spacing w:beforeAutospacing="0" w:afterAutospacing="0" w:line="640" w:lineRule="exact"/>
        <w:ind w:firstLine="640" w:firstLineChars="200"/>
        <w:textAlignment w:val="auto"/>
        <w:rPr>
          <w:rFonts w:ascii="仿宋" w:hAnsi="仿宋" w:eastAsia="仿宋" w:cs="宋体"/>
          <w:szCs w:val="32"/>
        </w:rPr>
      </w:pPr>
      <w:r>
        <w:rPr>
          <w:rFonts w:ascii="仿宋" w:hAnsi="仿宋" w:eastAsia="仿宋" w:cs="宋体"/>
          <w:szCs w:val="32"/>
        </w:rPr>
        <w:t>6.</w:t>
      </w:r>
      <w:r>
        <w:rPr>
          <w:rFonts w:hint="eastAsia" w:ascii="仿宋" w:hAnsi="仿宋" w:eastAsia="仿宋" w:cs="仿宋_GB2312"/>
          <w:szCs w:val="32"/>
        </w:rPr>
        <w:t>高校附属幼儿园</w:t>
      </w:r>
      <w:r>
        <w:rPr>
          <w:rFonts w:ascii="仿宋" w:hAnsi="仿宋" w:eastAsia="仿宋" w:cs="宋体"/>
          <w:szCs w:val="32"/>
        </w:rPr>
        <w:t>4</w:t>
      </w:r>
      <w:r>
        <w:rPr>
          <w:rFonts w:hint="eastAsia" w:ascii="仿宋" w:hAnsi="仿宋" w:eastAsia="仿宋" w:cs="仿宋_GB2312"/>
          <w:szCs w:val="32"/>
        </w:rPr>
        <w:t>个：海南大学幼儿园、琼台师范学院附属幼儿园、海南师范大学附属幼儿园、琼台师范学院附属桂林洋幼儿园；</w:t>
      </w:r>
    </w:p>
    <w:p>
      <w:pPr>
        <w:pageBreakBefore w:val="0"/>
        <w:widowControl/>
        <w:kinsoku/>
        <w:wordWrap/>
        <w:overflowPunct/>
        <w:topLinePunct w:val="0"/>
        <w:autoSpaceDE/>
        <w:autoSpaceDN/>
        <w:bidi w:val="0"/>
        <w:adjustRightInd/>
        <w:snapToGrid/>
        <w:spacing w:beforeAutospacing="0" w:afterAutospacing="0" w:line="640" w:lineRule="exact"/>
        <w:ind w:firstLine="640" w:firstLineChars="200"/>
        <w:textAlignment w:val="auto"/>
        <w:rPr>
          <w:rFonts w:ascii="仿宋" w:hAnsi="仿宋" w:eastAsia="仿宋" w:cs="宋体"/>
          <w:szCs w:val="32"/>
        </w:rPr>
      </w:pPr>
      <w:r>
        <w:rPr>
          <w:rFonts w:ascii="仿宋" w:hAnsi="仿宋" w:eastAsia="仿宋" w:cs="宋体"/>
          <w:szCs w:val="32"/>
        </w:rPr>
        <w:t>7.</w:t>
      </w:r>
      <w:r>
        <w:rPr>
          <w:rFonts w:hint="eastAsia" w:ascii="仿宋" w:hAnsi="仿宋" w:eastAsia="仿宋" w:cs="仿宋_GB2312"/>
          <w:szCs w:val="32"/>
        </w:rPr>
        <w:t>海南省海洋与渔业科学院。</w:t>
      </w:r>
    </w:p>
    <w:p>
      <w:pPr>
        <w:keepNext w:val="0"/>
        <w:keepLines w:val="0"/>
        <w:pageBreakBefore w:val="0"/>
        <w:kinsoku/>
        <w:wordWrap/>
        <w:overflowPunct/>
        <w:topLinePunct w:val="0"/>
        <w:autoSpaceDE/>
        <w:autoSpaceDN/>
        <w:bidi w:val="0"/>
        <w:adjustRightInd/>
        <w:snapToGrid/>
        <w:spacing w:beforeAutospacing="0" w:afterAutospacing="0" w:line="640" w:lineRule="exact"/>
        <w:jc w:val="center"/>
        <w:textAlignment w:val="auto"/>
        <w:rPr>
          <w:rFonts w:hint="eastAsia" w:ascii="黑体" w:hAnsi="ˎ̥" w:eastAsia="黑体"/>
          <w:color w:val="000000"/>
          <w:sz w:val="32"/>
          <w:szCs w:val="32"/>
          <w:highlight w:val="none"/>
        </w:rPr>
      </w:pPr>
      <w:r>
        <w:rPr>
          <w:rFonts w:hint="eastAsia" w:ascii="黑体" w:hAnsi="ˎ̥" w:eastAsia="黑体"/>
          <w:color w:val="000000"/>
          <w:sz w:val="32"/>
          <w:szCs w:val="32"/>
          <w:highlight w:val="none"/>
        </w:rPr>
        <w:t>第二部分  2022年度部门决算公开报表</w:t>
      </w:r>
    </w:p>
    <w:p>
      <w:pPr>
        <w:keepNext w:val="0"/>
        <w:keepLines w:val="0"/>
        <w:pageBreakBefore w:val="0"/>
        <w:kinsoku/>
        <w:wordWrap/>
        <w:overflowPunct/>
        <w:topLinePunct w:val="0"/>
        <w:autoSpaceDE/>
        <w:autoSpaceDN/>
        <w:bidi w:val="0"/>
        <w:adjustRightInd/>
        <w:snapToGrid/>
        <w:spacing w:beforeAutospacing="0" w:afterAutospacing="0" w:line="640" w:lineRule="exact"/>
        <w:ind w:firstLine="645"/>
        <w:textAlignment w:val="auto"/>
        <w:rPr>
          <w:rFonts w:hint="eastAsia" w:ascii="黑体" w:hAnsi="黑体" w:eastAsia="黑体" w:cs="黑体"/>
          <w:color w:val="000000"/>
          <w:sz w:val="32"/>
          <w:szCs w:val="32"/>
          <w:highlight w:val="none"/>
        </w:rPr>
      </w:pPr>
    </w:p>
    <w:p>
      <w:pPr>
        <w:keepNext w:val="0"/>
        <w:keepLines w:val="0"/>
        <w:pageBreakBefore w:val="0"/>
        <w:kinsoku/>
        <w:wordWrap/>
        <w:overflowPunct/>
        <w:topLinePunct w:val="0"/>
        <w:autoSpaceDE/>
        <w:autoSpaceDN/>
        <w:bidi w:val="0"/>
        <w:adjustRightInd/>
        <w:snapToGrid/>
        <w:spacing w:beforeAutospacing="0" w:afterAutospacing="0" w:line="640" w:lineRule="exact"/>
        <w:ind w:firstLine="645"/>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一、收入支出决算公开表</w:t>
      </w:r>
    </w:p>
    <w:p>
      <w:pPr>
        <w:keepNext w:val="0"/>
        <w:keepLines w:val="0"/>
        <w:pageBreakBefore w:val="0"/>
        <w:kinsoku/>
        <w:wordWrap/>
        <w:overflowPunct/>
        <w:topLinePunct w:val="0"/>
        <w:autoSpaceDE/>
        <w:autoSpaceDN/>
        <w:bidi w:val="0"/>
        <w:adjustRightInd/>
        <w:snapToGrid/>
        <w:spacing w:beforeAutospacing="0" w:afterAutospacing="0" w:line="640" w:lineRule="exact"/>
        <w:ind w:firstLine="645"/>
        <w:textAlignment w:val="auto"/>
        <w:rPr>
          <w:rFonts w:hint="eastAsia" w:ascii="仿宋_GB2312" w:hAnsi="仿宋_GB2312" w:eastAsia="仿宋_GB2312" w:cs="仿宋_GB2312"/>
          <w:color w:val="000000"/>
          <w:sz w:val="32"/>
          <w:szCs w:val="32"/>
          <w:highlight w:val="none"/>
        </w:rPr>
      </w:pPr>
      <w:bookmarkStart w:id="1" w:name="_Toc30334_WPSOffice_Level2"/>
      <w:bookmarkStart w:id="2" w:name="_Toc23139_WPSOffice_Level2"/>
      <w:bookmarkStart w:id="3" w:name="_Toc14349_WPSOffice_Level2"/>
      <w:bookmarkStart w:id="4" w:name="_Toc25608_WPSOffice_Level2"/>
      <w:bookmarkStart w:id="5" w:name="_Toc28622_WPSOffice_Level2"/>
      <w:bookmarkStart w:id="6" w:name="_Toc26621_WPSOffice_Level2"/>
      <w:r>
        <w:rPr>
          <w:rFonts w:hint="eastAsia" w:ascii="仿宋_GB2312" w:hAnsi="仿宋_GB2312" w:eastAsia="仿宋_GB2312" w:cs="仿宋_GB2312"/>
          <w:color w:val="000000"/>
          <w:sz w:val="32"/>
          <w:szCs w:val="32"/>
          <w:highlight w:val="none"/>
        </w:rPr>
        <w:t>二、收入决算公开表</w:t>
      </w:r>
      <w:bookmarkEnd w:id="1"/>
      <w:bookmarkEnd w:id="2"/>
      <w:bookmarkEnd w:id="3"/>
      <w:bookmarkEnd w:id="4"/>
      <w:bookmarkEnd w:id="5"/>
      <w:bookmarkEnd w:id="6"/>
      <w:bookmarkStart w:id="7" w:name="_Toc14658_WPSOffice_Level2"/>
      <w:bookmarkStart w:id="8" w:name="_Toc13854_WPSOffice_Level2"/>
      <w:bookmarkStart w:id="9" w:name="_Toc17626_WPSOffice_Level2"/>
      <w:bookmarkStart w:id="10" w:name="_Toc3262_WPSOffice_Level2"/>
      <w:bookmarkStart w:id="11" w:name="_Toc17858_WPSOffice_Level2"/>
      <w:bookmarkStart w:id="12" w:name="_Toc5489_WPSOffice_Level2"/>
    </w:p>
    <w:p>
      <w:pPr>
        <w:keepNext w:val="0"/>
        <w:keepLines w:val="0"/>
        <w:pageBreakBefore w:val="0"/>
        <w:kinsoku/>
        <w:wordWrap/>
        <w:overflowPunct/>
        <w:topLinePunct w:val="0"/>
        <w:autoSpaceDE/>
        <w:autoSpaceDN/>
        <w:bidi w:val="0"/>
        <w:adjustRightInd/>
        <w:snapToGrid/>
        <w:spacing w:beforeAutospacing="0" w:afterAutospacing="0" w:line="640" w:lineRule="exact"/>
        <w:ind w:firstLine="645"/>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三、支出决算公开表</w:t>
      </w:r>
      <w:bookmarkEnd w:id="7"/>
      <w:bookmarkEnd w:id="8"/>
      <w:bookmarkEnd w:id="9"/>
      <w:bookmarkEnd w:id="10"/>
      <w:bookmarkEnd w:id="11"/>
      <w:bookmarkEnd w:id="12"/>
      <w:bookmarkStart w:id="13" w:name="_Toc7988_WPSOffice_Level2"/>
      <w:bookmarkStart w:id="14" w:name="_Toc13701_WPSOffice_Level2"/>
      <w:bookmarkStart w:id="15" w:name="_Toc21415_WPSOffice_Level2"/>
      <w:bookmarkStart w:id="16" w:name="_Toc4265_WPSOffice_Level2"/>
      <w:bookmarkStart w:id="17" w:name="_Toc23493_WPSOffice_Level2"/>
      <w:bookmarkStart w:id="18" w:name="_Toc23591_WPSOffice_Level2"/>
    </w:p>
    <w:p>
      <w:pPr>
        <w:keepNext w:val="0"/>
        <w:keepLines w:val="0"/>
        <w:pageBreakBefore w:val="0"/>
        <w:kinsoku/>
        <w:wordWrap/>
        <w:overflowPunct/>
        <w:topLinePunct w:val="0"/>
        <w:autoSpaceDE/>
        <w:autoSpaceDN/>
        <w:bidi w:val="0"/>
        <w:adjustRightInd/>
        <w:snapToGrid/>
        <w:spacing w:beforeAutospacing="0" w:afterAutospacing="0" w:line="640" w:lineRule="exact"/>
        <w:ind w:firstLine="645"/>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四、财政拨款收入支出决算公开表</w:t>
      </w:r>
      <w:bookmarkEnd w:id="13"/>
      <w:bookmarkEnd w:id="14"/>
      <w:bookmarkEnd w:id="15"/>
      <w:bookmarkEnd w:id="16"/>
      <w:bookmarkEnd w:id="17"/>
      <w:bookmarkEnd w:id="18"/>
    </w:p>
    <w:p>
      <w:pPr>
        <w:keepNext w:val="0"/>
        <w:keepLines w:val="0"/>
        <w:pageBreakBefore w:val="0"/>
        <w:kinsoku/>
        <w:wordWrap/>
        <w:overflowPunct/>
        <w:topLinePunct w:val="0"/>
        <w:autoSpaceDE/>
        <w:autoSpaceDN/>
        <w:bidi w:val="0"/>
        <w:adjustRightInd/>
        <w:snapToGrid/>
        <w:spacing w:beforeAutospacing="0" w:afterAutospacing="0" w:line="640" w:lineRule="exact"/>
        <w:ind w:firstLine="645"/>
        <w:textAlignment w:val="auto"/>
        <w:rPr>
          <w:rFonts w:hint="eastAsia" w:ascii="仿宋_GB2312" w:hAnsi="仿宋_GB2312" w:eastAsia="仿宋_GB2312" w:cs="仿宋_GB2312"/>
          <w:color w:val="000000"/>
          <w:sz w:val="32"/>
          <w:szCs w:val="32"/>
          <w:highlight w:val="none"/>
        </w:rPr>
      </w:pPr>
      <w:bookmarkStart w:id="19" w:name="_Toc25166_WPSOffice_Level2"/>
      <w:bookmarkStart w:id="20" w:name="_Toc22783_WPSOffice_Level2"/>
      <w:bookmarkStart w:id="21" w:name="_Toc23829_WPSOffice_Level2"/>
      <w:bookmarkStart w:id="22" w:name="_Toc7879_WPSOffice_Level2"/>
      <w:bookmarkStart w:id="23" w:name="_Toc13516_WPSOffice_Level2"/>
      <w:bookmarkStart w:id="24" w:name="_Toc2158_WPSOffice_Level2"/>
      <w:r>
        <w:rPr>
          <w:rFonts w:hint="eastAsia" w:ascii="仿宋_GB2312" w:hAnsi="仿宋_GB2312" w:eastAsia="仿宋_GB2312" w:cs="仿宋_GB2312"/>
          <w:color w:val="000000"/>
          <w:sz w:val="32"/>
          <w:szCs w:val="32"/>
          <w:highlight w:val="none"/>
        </w:rPr>
        <w:t>五、一般公共预算财政拨款收入支出决算</w:t>
      </w:r>
      <w:bookmarkEnd w:id="19"/>
      <w:bookmarkEnd w:id="20"/>
      <w:bookmarkEnd w:id="21"/>
      <w:bookmarkEnd w:id="22"/>
      <w:r>
        <w:rPr>
          <w:rFonts w:hint="eastAsia" w:ascii="仿宋_GB2312" w:hAnsi="仿宋_GB2312" w:eastAsia="仿宋_GB2312" w:cs="仿宋_GB2312"/>
          <w:color w:val="000000"/>
          <w:sz w:val="32"/>
          <w:szCs w:val="32"/>
          <w:highlight w:val="none"/>
        </w:rPr>
        <w:t>公开表</w:t>
      </w:r>
      <w:bookmarkEnd w:id="23"/>
      <w:bookmarkEnd w:id="24"/>
      <w:bookmarkStart w:id="25" w:name="_Toc25362_WPSOffice_Level2"/>
      <w:bookmarkStart w:id="26" w:name="_Toc17833_WPSOffice_Level2"/>
      <w:bookmarkStart w:id="27" w:name="_Toc8373_WPSOffice_Level2"/>
      <w:bookmarkStart w:id="28" w:name="_Toc2632_WPSOffice_Level2"/>
      <w:bookmarkStart w:id="29" w:name="_Toc5343_WPSOffice_Level2"/>
      <w:bookmarkStart w:id="30" w:name="_Toc17283_WPSOffice_Level2"/>
    </w:p>
    <w:p>
      <w:pPr>
        <w:keepNext w:val="0"/>
        <w:keepLines w:val="0"/>
        <w:pageBreakBefore w:val="0"/>
        <w:kinsoku/>
        <w:wordWrap/>
        <w:overflowPunct/>
        <w:topLinePunct w:val="0"/>
        <w:autoSpaceDE/>
        <w:autoSpaceDN/>
        <w:bidi w:val="0"/>
        <w:adjustRightInd/>
        <w:snapToGrid/>
        <w:spacing w:beforeAutospacing="0" w:afterAutospacing="0" w:line="640" w:lineRule="exact"/>
        <w:ind w:firstLine="645"/>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六、一般公共预算财政拨款基本支出决算</w:t>
      </w:r>
      <w:bookmarkEnd w:id="25"/>
      <w:bookmarkEnd w:id="26"/>
      <w:bookmarkEnd w:id="27"/>
      <w:bookmarkEnd w:id="28"/>
      <w:bookmarkEnd w:id="29"/>
      <w:bookmarkEnd w:id="30"/>
      <w:r>
        <w:rPr>
          <w:rFonts w:hint="eastAsia" w:ascii="仿宋_GB2312" w:hAnsi="仿宋_GB2312" w:eastAsia="仿宋_GB2312" w:cs="仿宋_GB2312"/>
          <w:color w:val="000000"/>
          <w:sz w:val="32"/>
          <w:szCs w:val="32"/>
          <w:highlight w:val="none"/>
        </w:rPr>
        <w:t>公开表</w:t>
      </w:r>
    </w:p>
    <w:p>
      <w:pPr>
        <w:keepNext w:val="0"/>
        <w:keepLines w:val="0"/>
        <w:pageBreakBefore w:val="0"/>
        <w:kinsoku/>
        <w:wordWrap/>
        <w:overflowPunct/>
        <w:topLinePunct w:val="0"/>
        <w:autoSpaceDE/>
        <w:autoSpaceDN/>
        <w:bidi w:val="0"/>
        <w:adjustRightInd/>
        <w:snapToGrid/>
        <w:spacing w:beforeAutospacing="0" w:afterAutospacing="0" w:line="640" w:lineRule="exact"/>
        <w:ind w:left="1453" w:leftChars="304" w:hanging="480" w:hangingChars="150"/>
        <w:textAlignment w:val="auto"/>
        <w:rPr>
          <w:rFonts w:hint="eastAsia" w:ascii="仿宋_GB2312" w:hAnsi="仿宋_GB2312" w:eastAsia="仿宋_GB2312" w:cs="仿宋_GB2312"/>
          <w:color w:val="000000"/>
          <w:sz w:val="32"/>
          <w:szCs w:val="32"/>
          <w:highlight w:val="none"/>
        </w:rPr>
      </w:pPr>
      <w:bookmarkStart w:id="31" w:name="_Toc13345_WPSOffice_Level2"/>
      <w:bookmarkStart w:id="32" w:name="_Toc11799_WPSOffice_Level2"/>
      <w:bookmarkStart w:id="33" w:name="_Toc6020_WPSOffice_Level2"/>
      <w:bookmarkStart w:id="34" w:name="_Toc1533_WPSOffice_Level2"/>
      <w:bookmarkStart w:id="35" w:name="_Toc5594_WPSOffice_Level2"/>
      <w:bookmarkStart w:id="36" w:name="_Toc21310_WPSOffice_Level2"/>
      <w:r>
        <w:rPr>
          <w:rFonts w:hint="eastAsia" w:ascii="仿宋_GB2312" w:hAnsi="仿宋_GB2312" w:eastAsia="仿宋_GB2312" w:cs="仿宋_GB2312"/>
          <w:color w:val="000000"/>
          <w:sz w:val="32"/>
          <w:szCs w:val="32"/>
          <w:highlight w:val="none"/>
        </w:rPr>
        <w:t>七、政府性基金预算财政拨款收入支出决算</w:t>
      </w:r>
      <w:bookmarkEnd w:id="31"/>
      <w:bookmarkEnd w:id="32"/>
      <w:bookmarkEnd w:id="33"/>
      <w:bookmarkEnd w:id="34"/>
      <w:bookmarkEnd w:id="35"/>
      <w:bookmarkEnd w:id="36"/>
      <w:r>
        <w:rPr>
          <w:rFonts w:hint="eastAsia" w:ascii="仿宋_GB2312" w:hAnsi="仿宋_GB2312" w:eastAsia="仿宋_GB2312" w:cs="仿宋_GB2312"/>
          <w:color w:val="000000"/>
          <w:sz w:val="32"/>
          <w:szCs w:val="32"/>
          <w:highlight w:val="none"/>
        </w:rPr>
        <w:t>公开表</w:t>
      </w:r>
    </w:p>
    <w:p>
      <w:pPr>
        <w:keepNext w:val="0"/>
        <w:keepLines w:val="0"/>
        <w:pageBreakBefore w:val="0"/>
        <w:kinsoku/>
        <w:wordWrap/>
        <w:overflowPunct/>
        <w:topLinePunct w:val="0"/>
        <w:autoSpaceDE/>
        <w:autoSpaceDN/>
        <w:bidi w:val="0"/>
        <w:adjustRightInd/>
        <w:snapToGrid/>
        <w:spacing w:beforeAutospacing="0" w:afterAutospacing="0" w:line="640" w:lineRule="exact"/>
        <w:ind w:left="1453" w:leftChars="304" w:hanging="480" w:hangingChars="15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八、国有资本经营预算财政拨款收入支出决算公开表</w:t>
      </w:r>
    </w:p>
    <w:p>
      <w:pPr>
        <w:keepNext w:val="0"/>
        <w:keepLines w:val="0"/>
        <w:pageBreakBefore w:val="0"/>
        <w:kinsoku/>
        <w:wordWrap/>
        <w:overflowPunct/>
        <w:topLinePunct w:val="0"/>
        <w:autoSpaceDE/>
        <w:autoSpaceDN/>
        <w:bidi w:val="0"/>
        <w:adjustRightInd/>
        <w:snapToGrid/>
        <w:spacing w:beforeAutospacing="0" w:afterAutospacing="0" w:line="640" w:lineRule="exact"/>
        <w:ind w:firstLine="640"/>
        <w:textAlignment w:val="auto"/>
        <w:rPr>
          <w:rFonts w:hint="eastAsia" w:ascii="仿宋_GB2312" w:hAnsi="仿宋_GB2312" w:eastAsia="仿宋_GB2312" w:cs="仿宋_GB2312"/>
          <w:color w:val="000000"/>
          <w:sz w:val="32"/>
          <w:szCs w:val="32"/>
          <w:highlight w:val="none"/>
        </w:rPr>
      </w:pPr>
      <w:bookmarkStart w:id="37" w:name="_Toc19961_WPSOffice_Level2"/>
      <w:bookmarkStart w:id="38" w:name="_Toc29886_WPSOffice_Level2"/>
      <w:bookmarkStart w:id="39" w:name="_Toc1820_WPSOffice_Level2"/>
      <w:bookmarkStart w:id="40" w:name="_Toc9377_WPSOffice_Level2"/>
      <w:r>
        <w:rPr>
          <w:rFonts w:hint="eastAsia" w:ascii="仿宋_GB2312" w:hAnsi="仿宋_GB2312" w:eastAsia="仿宋_GB2312" w:cs="仿宋_GB2312"/>
          <w:color w:val="000000"/>
          <w:sz w:val="32"/>
          <w:szCs w:val="32"/>
          <w:highlight w:val="none"/>
        </w:rPr>
        <w:t>九、财政拨款“三公”经费支出决算</w:t>
      </w:r>
      <w:bookmarkEnd w:id="37"/>
      <w:bookmarkEnd w:id="38"/>
      <w:bookmarkEnd w:id="39"/>
      <w:bookmarkEnd w:id="40"/>
      <w:r>
        <w:rPr>
          <w:rFonts w:hint="eastAsia" w:ascii="仿宋_GB2312" w:hAnsi="仿宋_GB2312" w:eastAsia="仿宋_GB2312" w:cs="仿宋_GB2312"/>
          <w:color w:val="000000"/>
          <w:sz w:val="32"/>
          <w:szCs w:val="32"/>
          <w:highlight w:val="none"/>
        </w:rPr>
        <w:t>公开表</w:t>
      </w:r>
    </w:p>
    <w:p>
      <w:pPr>
        <w:keepNext w:val="0"/>
        <w:keepLines w:val="0"/>
        <w:pageBreakBefore w:val="0"/>
        <w:kinsoku/>
        <w:wordWrap/>
        <w:overflowPunct/>
        <w:topLinePunct w:val="0"/>
        <w:autoSpaceDE/>
        <w:autoSpaceDN/>
        <w:bidi w:val="0"/>
        <w:adjustRightInd/>
        <w:snapToGrid/>
        <w:spacing w:beforeAutospacing="0" w:afterAutospacing="0" w:line="640" w:lineRule="exact"/>
        <w:ind w:firstLine="64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w w:val="96"/>
          <w:sz w:val="32"/>
          <w:szCs w:val="32"/>
          <w:highlight w:val="none"/>
        </w:rPr>
        <w:t>以上报表见附件</w:t>
      </w:r>
      <w:r>
        <w:rPr>
          <w:rFonts w:hint="eastAsia" w:ascii="仿宋_GB2312" w:hAnsi="仿宋_GB2312" w:eastAsia="仿宋_GB2312" w:cs="仿宋_GB2312"/>
          <w:color w:val="000000"/>
          <w:w w:val="96"/>
          <w:sz w:val="32"/>
          <w:szCs w:val="32"/>
          <w:highlight w:val="none"/>
          <w:lang w:val="en-US" w:eastAsia="zh-CN"/>
        </w:rPr>
        <w:t>1</w:t>
      </w:r>
      <w:r>
        <w:rPr>
          <w:rFonts w:hint="eastAsia" w:ascii="仿宋_GB2312" w:hAnsi="仿宋_GB2312" w:eastAsia="仿宋_GB2312" w:cs="仿宋_GB2312"/>
          <w:color w:val="000000"/>
          <w:w w:val="96"/>
          <w:sz w:val="32"/>
          <w:szCs w:val="32"/>
          <w:highlight w:val="none"/>
        </w:rPr>
        <w:t xml:space="preserve">。   </w:t>
      </w:r>
    </w:p>
    <w:p>
      <w:pPr>
        <w:pageBreakBefore w:val="0"/>
        <w:kinsoku/>
        <w:wordWrap/>
        <w:overflowPunct/>
        <w:topLinePunct w:val="0"/>
        <w:autoSpaceDE/>
        <w:autoSpaceDN/>
        <w:bidi w:val="0"/>
        <w:snapToGrid/>
        <w:spacing w:beforeAutospacing="0" w:afterAutospacing="0" w:line="640" w:lineRule="exact"/>
        <w:textAlignment w:val="auto"/>
        <w:rPr>
          <w:rFonts w:ascii="仿宋" w:hAnsi="仿宋" w:eastAsia="仿宋" w:cs="黑体"/>
          <w:bCs/>
        </w:rPr>
      </w:pPr>
    </w:p>
    <w:p>
      <w:pPr>
        <w:pageBreakBefore w:val="0"/>
        <w:kinsoku/>
        <w:wordWrap/>
        <w:overflowPunct/>
        <w:topLinePunct w:val="0"/>
        <w:autoSpaceDE/>
        <w:autoSpaceDN/>
        <w:bidi w:val="0"/>
        <w:snapToGrid/>
        <w:spacing w:beforeAutospacing="0" w:afterAutospacing="0" w:line="640" w:lineRule="exact"/>
        <w:textAlignment w:val="auto"/>
        <w:rPr>
          <w:rFonts w:ascii="仿宋" w:hAnsi="仿宋" w:eastAsia="仿宋" w:cs="黑体"/>
          <w:bCs/>
        </w:rPr>
      </w:pPr>
      <w:r>
        <w:rPr>
          <w:rFonts w:hint="eastAsia" w:ascii="仿宋" w:hAnsi="仿宋" w:eastAsia="仿宋" w:cs="黑体"/>
          <w:bCs/>
        </w:rPr>
        <w:br w:type="page"/>
      </w:r>
    </w:p>
    <w:p>
      <w:pPr>
        <w:pStyle w:val="2"/>
        <w:pageBreakBefore w:val="0"/>
        <w:kinsoku/>
        <w:wordWrap/>
        <w:overflowPunct/>
        <w:topLinePunct w:val="0"/>
        <w:autoSpaceDE/>
        <w:autoSpaceDN/>
        <w:bidi w:val="0"/>
        <w:snapToGrid/>
        <w:spacing w:beforeLines="0" w:beforeAutospacing="0" w:afterLines="0" w:afterAutospacing="0" w:line="640" w:lineRule="exact"/>
        <w:ind w:firstLine="0" w:firstLineChars="0"/>
        <w:textAlignment w:val="auto"/>
        <w:rPr>
          <w:rFonts w:ascii="仿宋" w:hAnsi="仿宋" w:eastAsia="仿宋" w:cs="黑体"/>
          <w:b/>
          <w:bCs/>
        </w:rPr>
      </w:pPr>
      <w:r>
        <w:rPr>
          <w:rFonts w:hint="eastAsia" w:ascii="黑体" w:hAnsi="ˎ̥" w:eastAsia="黑体"/>
          <w:b/>
          <w:bCs/>
          <w:color w:val="000000"/>
          <w:sz w:val="32"/>
          <w:szCs w:val="32"/>
          <w:highlight w:val="none"/>
        </w:rPr>
        <w:t>第三部分  2022年度部门决算情况说明</w:t>
      </w:r>
    </w:p>
    <w:p>
      <w:pPr>
        <w:pageBreakBefore w:val="0"/>
        <w:kinsoku/>
        <w:wordWrap/>
        <w:overflowPunct/>
        <w:topLinePunct w:val="0"/>
        <w:autoSpaceDE/>
        <w:autoSpaceDN/>
        <w:bidi w:val="0"/>
        <w:snapToGrid/>
        <w:spacing w:beforeAutospacing="0" w:afterAutospacing="0" w:line="640" w:lineRule="exact"/>
        <w:ind w:firstLine="643" w:firstLineChars="200"/>
        <w:textAlignment w:val="auto"/>
        <w:outlineLvl w:val="1"/>
        <w:rPr>
          <w:rStyle w:val="18"/>
          <w:rFonts w:ascii="仿宋" w:hAnsi="仿宋" w:eastAsia="仿宋" w:cs="楷体"/>
        </w:rPr>
      </w:pPr>
      <w:r>
        <w:rPr>
          <w:rStyle w:val="18"/>
          <w:rFonts w:hint="eastAsia" w:ascii="仿宋" w:hAnsi="仿宋" w:eastAsia="仿宋" w:cs="楷体"/>
        </w:rPr>
        <w:t>一、收入支出总体情况说明</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highlight w:val="yellow"/>
        </w:rPr>
      </w:pPr>
      <w:r>
        <w:rPr>
          <w:rFonts w:ascii="仿宋" w:hAnsi="仿宋" w:eastAsia="仿宋"/>
          <w:szCs w:val="32"/>
        </w:rPr>
        <w:t>202</w:t>
      </w:r>
      <w:r>
        <w:rPr>
          <w:rFonts w:hint="eastAsia" w:ascii="仿宋" w:hAnsi="仿宋" w:eastAsia="仿宋"/>
          <w:szCs w:val="32"/>
        </w:rPr>
        <w:t>2年度收入总计1,123,773.39万元，支出总计1,123,773.39万元，与</w:t>
      </w:r>
      <w:r>
        <w:rPr>
          <w:rFonts w:ascii="仿宋" w:hAnsi="仿宋" w:eastAsia="仿宋"/>
          <w:szCs w:val="32"/>
        </w:rPr>
        <w:t>202</w:t>
      </w:r>
      <w:r>
        <w:rPr>
          <w:rFonts w:hint="eastAsia" w:ascii="仿宋" w:hAnsi="仿宋" w:eastAsia="仿宋"/>
          <w:szCs w:val="32"/>
        </w:rPr>
        <w:t>2年度相比，收入、支出总计各增加17,122.35万元，增长</w:t>
      </w:r>
      <w:r>
        <w:rPr>
          <w:rFonts w:ascii="仿宋" w:hAnsi="仿宋" w:eastAsia="仿宋"/>
          <w:szCs w:val="32"/>
        </w:rPr>
        <w:t>1</w:t>
      </w:r>
      <w:r>
        <w:rPr>
          <w:rFonts w:hint="eastAsia" w:ascii="仿宋" w:hAnsi="仿宋" w:eastAsia="仿宋"/>
          <w:szCs w:val="32"/>
        </w:rPr>
        <w:t>.55</w:t>
      </w:r>
      <w:r>
        <w:rPr>
          <w:rFonts w:ascii="仿宋" w:hAnsi="仿宋" w:eastAsia="仿宋"/>
          <w:szCs w:val="32"/>
        </w:rPr>
        <w:t>%</w:t>
      </w:r>
      <w:r>
        <w:rPr>
          <w:rFonts w:hint="eastAsia" w:ascii="仿宋" w:hAnsi="仿宋" w:eastAsia="仿宋"/>
          <w:szCs w:val="32"/>
        </w:rPr>
        <w:t>。主要原因：教育专项资金增加。使用非财政拨款结余1,331万元，较</w:t>
      </w:r>
      <w:r>
        <w:rPr>
          <w:rFonts w:ascii="仿宋" w:hAnsi="仿宋" w:eastAsia="仿宋"/>
          <w:szCs w:val="32"/>
        </w:rPr>
        <w:t>202</w:t>
      </w:r>
      <w:r>
        <w:rPr>
          <w:rFonts w:hint="eastAsia" w:ascii="仿宋" w:hAnsi="仿宋" w:eastAsia="仿宋"/>
          <w:szCs w:val="32"/>
        </w:rPr>
        <w:t>1年度决算数增加81.14万元。年初结转结余97,222.49万元，主要是中央资金结转下年使用。较</w:t>
      </w:r>
      <w:r>
        <w:rPr>
          <w:rFonts w:ascii="仿宋" w:hAnsi="仿宋" w:eastAsia="仿宋"/>
          <w:szCs w:val="32"/>
        </w:rPr>
        <w:t>202</w:t>
      </w:r>
      <w:r>
        <w:rPr>
          <w:rFonts w:hint="eastAsia" w:ascii="仿宋" w:hAnsi="仿宋" w:eastAsia="仿宋"/>
          <w:szCs w:val="32"/>
        </w:rPr>
        <w:t>1年度决算数增加11,384.00万元，增长13.26</w:t>
      </w:r>
      <w:r>
        <w:rPr>
          <w:rFonts w:ascii="仿宋" w:hAnsi="仿宋" w:eastAsia="仿宋"/>
          <w:szCs w:val="32"/>
        </w:rPr>
        <w:t>%</w:t>
      </w:r>
      <w:r>
        <w:rPr>
          <w:rFonts w:hint="eastAsia" w:ascii="仿宋" w:hAnsi="仿宋" w:eastAsia="仿宋"/>
          <w:szCs w:val="32"/>
        </w:rPr>
        <w:t>，主要原因是部分中央资金结转。结余分配1,192.12万元，主要是部分科研项目结余分配，较</w:t>
      </w:r>
      <w:r>
        <w:rPr>
          <w:rFonts w:ascii="仿宋" w:hAnsi="仿宋" w:eastAsia="仿宋"/>
          <w:szCs w:val="32"/>
        </w:rPr>
        <w:t>202</w:t>
      </w:r>
      <w:r>
        <w:rPr>
          <w:rFonts w:hint="eastAsia" w:ascii="仿宋" w:hAnsi="仿宋" w:eastAsia="仿宋"/>
          <w:szCs w:val="32"/>
        </w:rPr>
        <w:t>1年度决算数减少7.07万元，下降0.59</w:t>
      </w:r>
      <w:r>
        <w:rPr>
          <w:rFonts w:ascii="仿宋" w:hAnsi="仿宋" w:eastAsia="仿宋"/>
          <w:szCs w:val="32"/>
        </w:rPr>
        <w:t>%</w:t>
      </w:r>
      <w:r>
        <w:rPr>
          <w:rFonts w:hint="eastAsia" w:ascii="仿宋" w:hAnsi="仿宋" w:eastAsia="仿宋"/>
          <w:szCs w:val="32"/>
        </w:rPr>
        <w:t>，主要原因是控制了结余数。年末结转结余96,027.52万元，主要是中央专项结转资金，较</w:t>
      </w:r>
      <w:r>
        <w:rPr>
          <w:rFonts w:ascii="仿宋" w:hAnsi="仿宋" w:eastAsia="仿宋"/>
          <w:szCs w:val="32"/>
        </w:rPr>
        <w:t>202</w:t>
      </w:r>
      <w:r>
        <w:rPr>
          <w:rFonts w:hint="eastAsia" w:ascii="仿宋" w:hAnsi="仿宋" w:eastAsia="仿宋"/>
          <w:szCs w:val="32"/>
        </w:rPr>
        <w:t>1年度决算数减少2,915.67万元，下降2.95</w:t>
      </w:r>
      <w:r>
        <w:rPr>
          <w:rFonts w:ascii="仿宋" w:hAnsi="仿宋" w:eastAsia="仿宋"/>
          <w:szCs w:val="32"/>
        </w:rPr>
        <w:t>%</w:t>
      </w:r>
      <w:r>
        <w:rPr>
          <w:rFonts w:hint="eastAsia" w:ascii="仿宋" w:hAnsi="仿宋" w:eastAsia="仿宋"/>
          <w:szCs w:val="32"/>
        </w:rPr>
        <w:t>，主要是结转结余资金减少。</w:t>
      </w:r>
    </w:p>
    <w:p>
      <w:pPr>
        <w:pStyle w:val="3"/>
        <w:pageBreakBefore w:val="0"/>
        <w:kinsoku/>
        <w:wordWrap/>
        <w:overflowPunct/>
        <w:topLinePunct w:val="0"/>
        <w:autoSpaceDE/>
        <w:autoSpaceDN/>
        <w:bidi w:val="0"/>
        <w:adjustRightInd w:val="0"/>
        <w:snapToGrid/>
        <w:spacing w:beforeLines="0" w:beforeAutospacing="0" w:afterLines="0" w:afterAutospacing="0" w:line="640" w:lineRule="exact"/>
        <w:ind w:firstLine="643"/>
        <w:textAlignment w:val="auto"/>
        <w:rPr>
          <w:rFonts w:ascii="仿宋" w:hAnsi="仿宋" w:eastAsia="仿宋" w:cs="楷体"/>
        </w:rPr>
      </w:pPr>
      <w:r>
        <w:rPr>
          <w:rFonts w:hint="eastAsia" w:ascii="仿宋" w:hAnsi="仿宋" w:eastAsia="仿宋" w:cs="楷体"/>
        </w:rPr>
        <w:t>二、收入决算情况说明</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本年收入合计1,025,219.90万元，其中：财政拨款收入838,400.69万元，占</w:t>
      </w:r>
      <w:r>
        <w:rPr>
          <w:rFonts w:ascii="仿宋" w:hAnsi="仿宋" w:eastAsia="仿宋"/>
          <w:szCs w:val="32"/>
        </w:rPr>
        <w:t>8</w:t>
      </w:r>
      <w:r>
        <w:rPr>
          <w:rFonts w:hint="eastAsia" w:ascii="仿宋" w:hAnsi="仿宋" w:eastAsia="仿宋"/>
          <w:szCs w:val="32"/>
        </w:rPr>
        <w:t>1.78</w:t>
      </w:r>
      <w:r>
        <w:rPr>
          <w:rFonts w:ascii="仿宋" w:hAnsi="仿宋" w:eastAsia="仿宋"/>
          <w:szCs w:val="32"/>
        </w:rPr>
        <w:t>%</w:t>
      </w:r>
      <w:r>
        <w:rPr>
          <w:rFonts w:hint="eastAsia" w:ascii="仿宋" w:hAnsi="仿宋" w:eastAsia="仿宋"/>
          <w:szCs w:val="32"/>
        </w:rPr>
        <w:t>；上级补助收入</w:t>
      </w:r>
      <w:r>
        <w:rPr>
          <w:rFonts w:ascii="仿宋" w:hAnsi="仿宋" w:eastAsia="仿宋"/>
          <w:szCs w:val="32"/>
        </w:rPr>
        <w:t>0.00</w:t>
      </w:r>
      <w:r>
        <w:rPr>
          <w:rFonts w:hint="eastAsia" w:ascii="仿宋" w:hAnsi="仿宋" w:eastAsia="仿宋"/>
          <w:szCs w:val="32"/>
        </w:rPr>
        <w:t>万元，占</w:t>
      </w:r>
      <w:r>
        <w:rPr>
          <w:rFonts w:ascii="仿宋" w:hAnsi="仿宋" w:eastAsia="仿宋"/>
          <w:szCs w:val="32"/>
        </w:rPr>
        <w:t>0%</w:t>
      </w:r>
      <w:r>
        <w:rPr>
          <w:rFonts w:hint="eastAsia" w:ascii="仿宋" w:hAnsi="仿宋" w:eastAsia="仿宋"/>
          <w:szCs w:val="32"/>
        </w:rPr>
        <w:t>；事业收入167,126.53万元，占</w:t>
      </w:r>
      <w:r>
        <w:rPr>
          <w:rFonts w:ascii="仿宋" w:hAnsi="仿宋" w:eastAsia="仿宋"/>
          <w:szCs w:val="32"/>
        </w:rPr>
        <w:t>1</w:t>
      </w:r>
      <w:r>
        <w:rPr>
          <w:rFonts w:hint="eastAsia" w:ascii="仿宋" w:hAnsi="仿宋" w:eastAsia="仿宋"/>
          <w:szCs w:val="32"/>
        </w:rPr>
        <w:t>6.30</w:t>
      </w:r>
      <w:r>
        <w:rPr>
          <w:rFonts w:ascii="仿宋" w:hAnsi="仿宋" w:eastAsia="仿宋"/>
          <w:szCs w:val="32"/>
        </w:rPr>
        <w:t>%</w:t>
      </w:r>
      <w:r>
        <w:rPr>
          <w:rFonts w:hint="eastAsia" w:ascii="仿宋" w:hAnsi="仿宋" w:eastAsia="仿宋"/>
          <w:szCs w:val="32"/>
        </w:rPr>
        <w:t>；经营收入3868.96万元，占0.38</w:t>
      </w:r>
      <w:r>
        <w:rPr>
          <w:rFonts w:ascii="仿宋" w:hAnsi="仿宋" w:eastAsia="仿宋"/>
          <w:szCs w:val="32"/>
        </w:rPr>
        <w:t>%</w:t>
      </w:r>
      <w:r>
        <w:rPr>
          <w:rFonts w:hint="eastAsia" w:ascii="仿宋" w:hAnsi="仿宋" w:eastAsia="仿宋"/>
          <w:szCs w:val="32"/>
        </w:rPr>
        <w:t>；附属单位上缴收入</w:t>
      </w:r>
      <w:r>
        <w:rPr>
          <w:rFonts w:ascii="仿宋" w:hAnsi="仿宋" w:eastAsia="仿宋"/>
          <w:szCs w:val="32"/>
        </w:rPr>
        <w:t>0.00</w:t>
      </w:r>
      <w:r>
        <w:rPr>
          <w:rFonts w:hint="eastAsia" w:ascii="仿宋" w:hAnsi="仿宋" w:eastAsia="仿宋"/>
          <w:szCs w:val="32"/>
        </w:rPr>
        <w:t>万元，占</w:t>
      </w:r>
      <w:r>
        <w:rPr>
          <w:rFonts w:ascii="仿宋" w:hAnsi="仿宋" w:eastAsia="仿宋"/>
          <w:szCs w:val="32"/>
        </w:rPr>
        <w:t>0%</w:t>
      </w:r>
      <w:r>
        <w:rPr>
          <w:rFonts w:hint="eastAsia" w:ascii="仿宋" w:hAnsi="仿宋" w:eastAsia="仿宋"/>
          <w:szCs w:val="32"/>
        </w:rPr>
        <w:t>；其他收入15,823.72万元，占</w:t>
      </w:r>
      <w:r>
        <w:rPr>
          <w:rFonts w:ascii="仿宋" w:hAnsi="仿宋" w:eastAsia="仿宋"/>
          <w:szCs w:val="32"/>
        </w:rPr>
        <w:t>1.5</w:t>
      </w:r>
      <w:r>
        <w:rPr>
          <w:rFonts w:hint="eastAsia" w:ascii="仿宋" w:hAnsi="仿宋" w:eastAsia="仿宋"/>
          <w:szCs w:val="32"/>
        </w:rPr>
        <w:t>4</w:t>
      </w:r>
      <w:r>
        <w:rPr>
          <w:rFonts w:ascii="仿宋" w:hAnsi="仿宋" w:eastAsia="仿宋"/>
          <w:szCs w:val="32"/>
        </w:rPr>
        <w:t>%</w:t>
      </w:r>
      <w:r>
        <w:rPr>
          <w:rFonts w:hint="eastAsia" w:ascii="仿宋" w:hAnsi="仿宋" w:eastAsia="仿宋"/>
          <w:szCs w:val="32"/>
        </w:rPr>
        <w:t>。</w:t>
      </w:r>
    </w:p>
    <w:p>
      <w:pPr>
        <w:pStyle w:val="3"/>
        <w:pageBreakBefore w:val="0"/>
        <w:kinsoku/>
        <w:wordWrap/>
        <w:overflowPunct/>
        <w:topLinePunct w:val="0"/>
        <w:autoSpaceDE/>
        <w:autoSpaceDN/>
        <w:bidi w:val="0"/>
        <w:snapToGrid/>
        <w:spacing w:beforeLines="0" w:beforeAutospacing="0" w:afterLines="0" w:afterAutospacing="0" w:line="640" w:lineRule="exact"/>
        <w:ind w:firstLine="643"/>
        <w:textAlignment w:val="auto"/>
        <w:rPr>
          <w:rFonts w:ascii="仿宋" w:hAnsi="仿宋" w:eastAsia="仿宋" w:cs="楷体"/>
        </w:rPr>
      </w:pPr>
      <w:r>
        <w:rPr>
          <w:rFonts w:hint="eastAsia" w:ascii="仿宋" w:hAnsi="仿宋" w:eastAsia="仿宋" w:cs="楷体"/>
        </w:rPr>
        <w:t>三、支出决算情况说明</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本年支出合计1,026,553.75万元，其中：基本支出429,201.22万元，占41.81%；项目支出593,780.67万元，占57.84%；上缴上级支出</w:t>
      </w:r>
      <w:r>
        <w:rPr>
          <w:rFonts w:ascii="仿宋" w:hAnsi="仿宋" w:eastAsia="仿宋"/>
          <w:szCs w:val="32"/>
        </w:rPr>
        <w:t>0.00</w:t>
      </w:r>
      <w:r>
        <w:rPr>
          <w:rFonts w:hint="eastAsia" w:ascii="仿宋" w:hAnsi="仿宋" w:eastAsia="仿宋"/>
          <w:szCs w:val="32"/>
        </w:rPr>
        <w:t>万元，占</w:t>
      </w:r>
      <w:r>
        <w:rPr>
          <w:rFonts w:ascii="仿宋" w:hAnsi="仿宋" w:eastAsia="仿宋"/>
          <w:szCs w:val="32"/>
        </w:rPr>
        <w:t>0%</w:t>
      </w:r>
      <w:r>
        <w:rPr>
          <w:rFonts w:hint="eastAsia" w:ascii="仿宋" w:hAnsi="仿宋" w:eastAsia="仿宋"/>
          <w:szCs w:val="32"/>
        </w:rPr>
        <w:t>；经营支出3,571.87万元，占0.35%；对附属单位补助支出</w:t>
      </w:r>
      <w:r>
        <w:rPr>
          <w:rFonts w:ascii="仿宋" w:hAnsi="仿宋" w:eastAsia="仿宋"/>
          <w:szCs w:val="32"/>
        </w:rPr>
        <w:t>0.00</w:t>
      </w:r>
      <w:r>
        <w:rPr>
          <w:rFonts w:hint="eastAsia" w:ascii="仿宋" w:hAnsi="仿宋" w:eastAsia="仿宋"/>
          <w:szCs w:val="32"/>
        </w:rPr>
        <w:t>万元，占</w:t>
      </w:r>
      <w:r>
        <w:rPr>
          <w:rFonts w:ascii="仿宋" w:hAnsi="仿宋" w:eastAsia="仿宋"/>
          <w:szCs w:val="32"/>
        </w:rPr>
        <w:t>0%</w:t>
      </w:r>
      <w:r>
        <w:rPr>
          <w:rFonts w:hint="eastAsia" w:ascii="仿宋" w:hAnsi="仿宋" w:eastAsia="仿宋"/>
          <w:szCs w:val="32"/>
        </w:rPr>
        <w:t>。</w:t>
      </w:r>
    </w:p>
    <w:p>
      <w:pPr>
        <w:pStyle w:val="3"/>
        <w:pageBreakBefore w:val="0"/>
        <w:kinsoku/>
        <w:wordWrap/>
        <w:overflowPunct/>
        <w:topLinePunct w:val="0"/>
        <w:autoSpaceDE/>
        <w:autoSpaceDN/>
        <w:bidi w:val="0"/>
        <w:snapToGrid/>
        <w:spacing w:beforeLines="0" w:beforeAutospacing="0" w:afterLines="0" w:afterAutospacing="0" w:line="640" w:lineRule="exact"/>
        <w:ind w:firstLine="643"/>
        <w:textAlignment w:val="auto"/>
        <w:rPr>
          <w:rFonts w:ascii="仿宋" w:hAnsi="仿宋" w:eastAsia="仿宋" w:cs="楷体"/>
        </w:rPr>
      </w:pPr>
      <w:r>
        <w:rPr>
          <w:rFonts w:hint="eastAsia" w:ascii="仿宋" w:hAnsi="仿宋" w:eastAsia="仿宋" w:cs="楷体"/>
        </w:rPr>
        <w:t>四、财政拨款收入支出决算总体情况说明</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2022年度财政拨款收入总计876,074.22万元，支出总计876,074.22万元。与2021年度相比，财政拨款收入、支出总计各减少2,237.3万元，同比下降0.25%。主要原因是教育专项资金减少。</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财政拨款年初结转结余37,673.53万元，主要是中央专项结转下年度使用，较2021年度决算数增加4,302.53万元，增加12.89%，主要原因是中央专项结转下年度使用。</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财政拨款年末结转结余42,323.87万元，主要是中央专项结转下年度使用，较2021年度年末决算数增加3,357.39万元，增长8.63%，主要原因是中央专项结转下年度使用。</w:t>
      </w:r>
    </w:p>
    <w:p>
      <w:pPr>
        <w:pStyle w:val="3"/>
        <w:pageBreakBefore w:val="0"/>
        <w:kinsoku/>
        <w:wordWrap/>
        <w:overflowPunct/>
        <w:topLinePunct w:val="0"/>
        <w:autoSpaceDE/>
        <w:autoSpaceDN/>
        <w:bidi w:val="0"/>
        <w:snapToGrid/>
        <w:spacing w:beforeLines="0" w:beforeAutospacing="0" w:afterLines="0" w:afterAutospacing="0" w:line="640" w:lineRule="exact"/>
        <w:ind w:firstLine="643"/>
        <w:textAlignment w:val="auto"/>
        <w:rPr>
          <w:rFonts w:ascii="仿宋" w:hAnsi="仿宋" w:eastAsia="仿宋"/>
        </w:rPr>
      </w:pPr>
      <w:r>
        <w:rPr>
          <w:rFonts w:hint="eastAsia" w:ascii="仿宋" w:hAnsi="仿宋" w:eastAsia="仿宋"/>
        </w:rPr>
        <w:t>五、一般公共预算财政拨款支出决算情况说明</w:t>
      </w:r>
    </w:p>
    <w:p>
      <w:pPr>
        <w:pStyle w:val="4"/>
        <w:pageBreakBefore w:val="0"/>
        <w:kinsoku/>
        <w:wordWrap/>
        <w:overflowPunct/>
        <w:topLinePunct w:val="0"/>
        <w:autoSpaceDE/>
        <w:autoSpaceDN/>
        <w:bidi w:val="0"/>
        <w:snapToGrid/>
        <w:spacing w:beforeLines="0" w:beforeAutospacing="0" w:afterLines="0" w:afterAutospacing="0" w:line="640" w:lineRule="exact"/>
        <w:ind w:firstLine="643"/>
        <w:textAlignment w:val="auto"/>
        <w:rPr>
          <w:rFonts w:ascii="仿宋" w:hAnsi="仿宋" w:eastAsia="仿宋"/>
        </w:rPr>
      </w:pPr>
      <w:r>
        <w:rPr>
          <w:rFonts w:hint="eastAsia" w:ascii="仿宋" w:hAnsi="仿宋" w:eastAsia="仿宋"/>
        </w:rPr>
        <w:t>（一）一般公共预算财政拨款支出决算总体情况。</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ascii="仿宋" w:hAnsi="仿宋" w:eastAsia="仿宋"/>
          <w:szCs w:val="32"/>
        </w:rPr>
        <w:t>202</w:t>
      </w:r>
      <w:r>
        <w:rPr>
          <w:rFonts w:hint="eastAsia" w:ascii="仿宋" w:hAnsi="仿宋" w:eastAsia="仿宋"/>
          <w:szCs w:val="32"/>
        </w:rPr>
        <w:t>2年度一般公共预算财政拨款支出833,714.46万元，占本年支出合计的81.21</w:t>
      </w:r>
      <w:r>
        <w:rPr>
          <w:rFonts w:ascii="仿宋" w:hAnsi="仿宋" w:eastAsia="仿宋"/>
          <w:szCs w:val="32"/>
        </w:rPr>
        <w:t>%</w:t>
      </w:r>
      <w:r>
        <w:rPr>
          <w:rFonts w:hint="eastAsia" w:ascii="仿宋" w:hAnsi="仿宋" w:eastAsia="仿宋"/>
          <w:szCs w:val="32"/>
        </w:rPr>
        <w:t>。与</w:t>
      </w:r>
      <w:r>
        <w:rPr>
          <w:rFonts w:ascii="仿宋" w:hAnsi="仿宋" w:eastAsia="仿宋"/>
          <w:szCs w:val="32"/>
        </w:rPr>
        <w:t>202</w:t>
      </w:r>
      <w:r>
        <w:rPr>
          <w:rFonts w:hint="eastAsia" w:ascii="仿宋" w:hAnsi="仿宋" w:eastAsia="仿宋"/>
          <w:szCs w:val="32"/>
        </w:rPr>
        <w:t>1年度相比，一般公共预算财政拨款支出减少3,270.58万元，同比下降0.39</w:t>
      </w:r>
      <w:r>
        <w:rPr>
          <w:rFonts w:ascii="仿宋" w:hAnsi="仿宋" w:eastAsia="仿宋"/>
          <w:szCs w:val="32"/>
        </w:rPr>
        <w:t>%</w:t>
      </w:r>
      <w:r>
        <w:rPr>
          <w:rFonts w:hint="eastAsia" w:ascii="仿宋" w:hAnsi="仿宋" w:eastAsia="仿宋"/>
          <w:szCs w:val="32"/>
        </w:rPr>
        <w:t>，主要原因是教育专项资金减少。</w:t>
      </w:r>
    </w:p>
    <w:p>
      <w:pPr>
        <w:pStyle w:val="4"/>
        <w:pageBreakBefore w:val="0"/>
        <w:kinsoku/>
        <w:wordWrap/>
        <w:overflowPunct/>
        <w:topLinePunct w:val="0"/>
        <w:autoSpaceDE/>
        <w:autoSpaceDN/>
        <w:bidi w:val="0"/>
        <w:snapToGrid/>
        <w:spacing w:beforeLines="0" w:beforeAutospacing="0" w:afterLines="0" w:afterAutospacing="0" w:line="640" w:lineRule="exact"/>
        <w:ind w:firstLine="643"/>
        <w:textAlignment w:val="auto"/>
        <w:rPr>
          <w:rFonts w:ascii="仿宋" w:hAnsi="仿宋" w:eastAsia="仿宋"/>
        </w:rPr>
      </w:pPr>
      <w:r>
        <w:rPr>
          <w:rFonts w:hint="eastAsia" w:ascii="仿宋" w:hAnsi="仿宋" w:eastAsia="仿宋"/>
        </w:rPr>
        <w:t>（二）一般公共预算财政拨款支出决算结构情况。</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ascii="仿宋" w:hAnsi="仿宋" w:eastAsia="仿宋"/>
          <w:szCs w:val="32"/>
        </w:rPr>
        <w:t>202</w:t>
      </w:r>
      <w:r>
        <w:rPr>
          <w:rFonts w:hint="eastAsia" w:ascii="仿宋" w:hAnsi="仿宋" w:eastAsia="仿宋"/>
          <w:szCs w:val="32"/>
        </w:rPr>
        <w:t>2年度一般公共预算财政拨款支出833714.46万元，主要用于以下几个方面：</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一般公共服务（类）支出1,347.20万元，占</w:t>
      </w:r>
      <w:r>
        <w:rPr>
          <w:rFonts w:ascii="仿宋" w:hAnsi="仿宋" w:eastAsia="仿宋"/>
          <w:szCs w:val="32"/>
        </w:rPr>
        <w:t>0.01%</w:t>
      </w:r>
      <w:r>
        <w:rPr>
          <w:rFonts w:hint="eastAsia" w:ascii="仿宋" w:hAnsi="仿宋" w:eastAsia="仿宋"/>
          <w:szCs w:val="32"/>
        </w:rPr>
        <w:t>；</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教育支出（类）支出733,149.09万元，占87.94%；</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社会保障和就业（类）支出34,182.62万元，占4.10%；</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shd w:val="clear" w:color="auto" w:fill="FFFFFF"/>
        </w:rPr>
        <w:t>卫生健康支出（类）支出11,905.42万元，占1.43%；</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住房保障（类）支出17,709.56万元，占2.12%；</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其他（类）支出7,187.37万元，占0.86%。</w:t>
      </w:r>
    </w:p>
    <w:p>
      <w:pPr>
        <w:pStyle w:val="4"/>
        <w:pageBreakBefore w:val="0"/>
        <w:kinsoku/>
        <w:wordWrap/>
        <w:overflowPunct/>
        <w:topLinePunct w:val="0"/>
        <w:autoSpaceDE/>
        <w:autoSpaceDN/>
        <w:bidi w:val="0"/>
        <w:snapToGrid/>
        <w:spacing w:beforeLines="0" w:beforeAutospacing="0" w:afterLines="0" w:afterAutospacing="0" w:line="640" w:lineRule="exact"/>
        <w:ind w:firstLine="643"/>
        <w:textAlignment w:val="auto"/>
        <w:rPr>
          <w:rFonts w:ascii="仿宋" w:hAnsi="仿宋" w:eastAsia="仿宋"/>
        </w:rPr>
      </w:pPr>
      <w:r>
        <w:rPr>
          <w:rFonts w:hint="eastAsia" w:ascii="仿宋" w:hAnsi="仿宋" w:eastAsia="仿宋"/>
        </w:rPr>
        <w:t>（三）一般公共预算财政拨款支出决算具体情况。</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2022年度一般公共预算财政拨款支出年初预算为  768,509.61 万元，支出决算为833,714.46 万元，完成年初预算的108.48%。其中：</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1.一般公共服务（类）知识产权事务（款）其他知识产权事务支出（项）。年初预算为0万元，支出决算为15.75万元。决算数大于预算数的主要原因是预算执行过程中有所追加。</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2.一般公共服务（类）组织事务（款）公务员事务（项）。年初预算为1,560.00万元，支出决算为1,207.94万元。决算数小于预算数的主要原因预算项目未执行完，考试局承接的公务员考试项目支出难以准确预计。</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3.一般公共服务（类）组织事务（款）其他组织事务支出（项）。年初预算为0万元，支出决算为123.51万元。决算数小于预算数的主要原因是预算执行过程中有所追加。</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4.外交支出（类）对外援助（款）</w:t>
      </w:r>
      <w:r>
        <w:rPr>
          <w:rFonts w:ascii="仿宋" w:hAnsi="仿宋" w:eastAsia="仿宋"/>
          <w:szCs w:val="32"/>
        </w:rPr>
        <w:t>对外援助</w:t>
      </w:r>
      <w:r>
        <w:rPr>
          <w:rFonts w:hint="eastAsia" w:ascii="仿宋" w:hAnsi="仿宋" w:eastAsia="仿宋"/>
          <w:szCs w:val="32"/>
        </w:rPr>
        <w:t>（项）。年初预算为1,074.51万元，支出决算为775.91万元。决算数小于预算数的主要原因是海南热带海洋学院预算执行过程中，因疫情影响，没有执行完成。</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5.教育支出（类）教育管理事务（款）行政运行（项）。年初预算为4,296.21万元，支出决算为4,307.81万元，完成年初预算的100.27%。决算数小于预算数的主要原因少部分预算项目未执行完。</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6.教育支出（类）教育管理事务（款）一般行政管理事务（项）。年初预算为92.00万元，支出决算为42.22</w:t>
      </w:r>
    </w:p>
    <w:p>
      <w:pPr>
        <w:pageBreakBefore w:val="0"/>
        <w:kinsoku/>
        <w:wordWrap/>
        <w:overflowPunct/>
        <w:topLinePunct w:val="0"/>
        <w:autoSpaceDE/>
        <w:autoSpaceDN/>
        <w:bidi w:val="0"/>
        <w:snapToGrid/>
        <w:spacing w:beforeAutospacing="0" w:afterAutospacing="0" w:line="640" w:lineRule="exact"/>
        <w:textAlignment w:val="auto"/>
        <w:rPr>
          <w:rFonts w:ascii="仿宋" w:hAnsi="仿宋" w:eastAsia="仿宋"/>
          <w:szCs w:val="32"/>
        </w:rPr>
      </w:pPr>
      <w:r>
        <w:rPr>
          <w:rFonts w:hint="eastAsia" w:ascii="仿宋" w:hAnsi="仿宋" w:eastAsia="仿宋"/>
          <w:szCs w:val="32"/>
        </w:rPr>
        <w:t>万元，完成年初预算的45.89%。决算数小于预算数的主要原因部分预算项目未执行完。</w:t>
      </w:r>
    </w:p>
    <w:p>
      <w:pPr>
        <w:pageBreakBefore w:val="0"/>
        <w:kinsoku/>
        <w:wordWrap/>
        <w:overflowPunct/>
        <w:topLinePunct w:val="0"/>
        <w:autoSpaceDE/>
        <w:autoSpaceDN/>
        <w:bidi w:val="0"/>
        <w:snapToGrid/>
        <w:spacing w:beforeAutospacing="0" w:afterAutospacing="0" w:line="640" w:lineRule="exact"/>
        <w:ind w:firstLine="627" w:firstLineChars="196"/>
        <w:textAlignment w:val="auto"/>
        <w:rPr>
          <w:rFonts w:ascii="仿宋" w:hAnsi="仿宋" w:eastAsia="仿宋"/>
          <w:szCs w:val="32"/>
        </w:rPr>
      </w:pPr>
      <w:r>
        <w:rPr>
          <w:rFonts w:hint="eastAsia" w:ascii="仿宋" w:hAnsi="仿宋" w:eastAsia="仿宋"/>
          <w:szCs w:val="32"/>
        </w:rPr>
        <w:t>7.教育支出（类）教育管理事务（款）其他教育管理事务支出（项）。年初预算为2,382.22万元，支出决算为2,331.69万元，完成年初预算的97.88%。决算数小于预算数的主要原因部分预算项目未执行完。</w:t>
      </w:r>
      <w:r>
        <w:rPr>
          <w:rFonts w:hint="eastAsia" w:ascii="仿宋" w:hAnsi="仿宋" w:eastAsia="仿宋"/>
          <w:szCs w:val="32"/>
        </w:rPr>
        <w:tab/>
      </w:r>
    </w:p>
    <w:p>
      <w:pPr>
        <w:pageBreakBefore w:val="0"/>
        <w:kinsoku/>
        <w:wordWrap/>
        <w:overflowPunct/>
        <w:topLinePunct w:val="0"/>
        <w:autoSpaceDE/>
        <w:autoSpaceDN/>
        <w:bidi w:val="0"/>
        <w:snapToGrid/>
        <w:spacing w:beforeAutospacing="0" w:afterAutospacing="0" w:line="640" w:lineRule="exact"/>
        <w:ind w:firstLine="627" w:firstLineChars="196"/>
        <w:textAlignment w:val="auto"/>
        <w:rPr>
          <w:rFonts w:ascii="仿宋" w:hAnsi="仿宋" w:eastAsia="仿宋"/>
          <w:szCs w:val="32"/>
        </w:rPr>
      </w:pPr>
      <w:r>
        <w:rPr>
          <w:rFonts w:hint="eastAsia" w:ascii="仿宋" w:hAnsi="仿宋" w:eastAsia="仿宋"/>
          <w:szCs w:val="32"/>
        </w:rPr>
        <w:t>8.教育支出（类）普通教育（款）学前教育（项）。年初预算为5,134.84万元，支出决算为5,149.53万元，完成年初预算的100.29%。决算数小于预算数的主要原因是预算执行过程中部分项目未执行完毕。</w:t>
      </w:r>
    </w:p>
    <w:p>
      <w:pPr>
        <w:pageBreakBefore w:val="0"/>
        <w:kinsoku/>
        <w:wordWrap/>
        <w:overflowPunct/>
        <w:topLinePunct w:val="0"/>
        <w:autoSpaceDE/>
        <w:autoSpaceDN/>
        <w:bidi w:val="0"/>
        <w:snapToGrid/>
        <w:spacing w:beforeAutospacing="0" w:afterAutospacing="0" w:line="640" w:lineRule="exact"/>
        <w:ind w:firstLine="627" w:firstLineChars="196"/>
        <w:textAlignment w:val="auto"/>
        <w:rPr>
          <w:rFonts w:ascii="仿宋" w:hAnsi="仿宋" w:eastAsia="仿宋"/>
          <w:szCs w:val="32"/>
        </w:rPr>
      </w:pPr>
      <w:r>
        <w:rPr>
          <w:rFonts w:hint="eastAsia" w:ascii="仿宋" w:hAnsi="仿宋" w:eastAsia="仿宋"/>
          <w:szCs w:val="32"/>
        </w:rPr>
        <w:t>9.教育支出（类）普通教育（款）小学教育（项）。年初预算为12,044.50万元，支出决算为12,108.05万元。完成年初预算的100.53%。决算数大于预算数的主要原因是预算执行过程中专项资金有所追加。</w:t>
      </w:r>
    </w:p>
    <w:p>
      <w:pPr>
        <w:pageBreakBefore w:val="0"/>
        <w:kinsoku/>
        <w:wordWrap/>
        <w:overflowPunct/>
        <w:topLinePunct w:val="0"/>
        <w:autoSpaceDE/>
        <w:autoSpaceDN/>
        <w:bidi w:val="0"/>
        <w:snapToGrid/>
        <w:spacing w:beforeAutospacing="0" w:afterAutospacing="0" w:line="640" w:lineRule="exact"/>
        <w:ind w:firstLine="627" w:firstLineChars="196"/>
        <w:textAlignment w:val="auto"/>
        <w:rPr>
          <w:rFonts w:ascii="仿宋" w:hAnsi="仿宋" w:eastAsia="仿宋"/>
          <w:szCs w:val="32"/>
        </w:rPr>
      </w:pPr>
      <w:r>
        <w:rPr>
          <w:rFonts w:ascii="仿宋" w:hAnsi="仿宋" w:eastAsia="仿宋"/>
          <w:szCs w:val="32"/>
        </w:rPr>
        <w:t>1</w:t>
      </w:r>
      <w:r>
        <w:rPr>
          <w:rFonts w:hint="eastAsia" w:ascii="仿宋" w:hAnsi="仿宋" w:eastAsia="仿宋"/>
          <w:szCs w:val="32"/>
        </w:rPr>
        <w:t>0.教育支出（类）普通教育（款）初中教育（项）。年初预算为13,688.36万元，支出决算为12,869.68万元。完成年初预算的94.02%。预算执行过程中部分项目未执行完毕。</w:t>
      </w:r>
    </w:p>
    <w:p>
      <w:pPr>
        <w:pageBreakBefore w:val="0"/>
        <w:kinsoku/>
        <w:wordWrap/>
        <w:overflowPunct/>
        <w:topLinePunct w:val="0"/>
        <w:autoSpaceDE/>
        <w:autoSpaceDN/>
        <w:bidi w:val="0"/>
        <w:snapToGrid/>
        <w:spacing w:beforeAutospacing="0" w:afterAutospacing="0" w:line="640" w:lineRule="exact"/>
        <w:ind w:firstLine="627" w:firstLineChars="196"/>
        <w:textAlignment w:val="auto"/>
        <w:rPr>
          <w:rFonts w:ascii="仿宋" w:hAnsi="仿宋" w:eastAsia="仿宋"/>
          <w:szCs w:val="32"/>
        </w:rPr>
      </w:pPr>
      <w:r>
        <w:rPr>
          <w:rFonts w:ascii="仿宋" w:hAnsi="仿宋" w:eastAsia="仿宋"/>
          <w:szCs w:val="32"/>
        </w:rPr>
        <w:t>1</w:t>
      </w:r>
      <w:r>
        <w:rPr>
          <w:rFonts w:hint="eastAsia" w:ascii="仿宋" w:hAnsi="仿宋" w:eastAsia="仿宋"/>
          <w:szCs w:val="32"/>
        </w:rPr>
        <w:t>1.教育支出（类）普通教育（款）高中教育（项）。年初预算为47,058.33万元，支出决算为49,103.21万元。完成年初预算的104.35%。决算数大于预算数的主要原因是预算执行过程中专项资金有所追加。</w:t>
      </w:r>
    </w:p>
    <w:p>
      <w:pPr>
        <w:pageBreakBefore w:val="0"/>
        <w:kinsoku/>
        <w:wordWrap/>
        <w:overflowPunct/>
        <w:topLinePunct w:val="0"/>
        <w:autoSpaceDE/>
        <w:autoSpaceDN/>
        <w:bidi w:val="0"/>
        <w:snapToGrid/>
        <w:spacing w:beforeAutospacing="0" w:afterAutospacing="0" w:line="640" w:lineRule="exact"/>
        <w:ind w:firstLine="627" w:firstLineChars="196"/>
        <w:textAlignment w:val="auto"/>
        <w:rPr>
          <w:rFonts w:ascii="仿宋" w:hAnsi="仿宋" w:eastAsia="仿宋"/>
          <w:szCs w:val="32"/>
        </w:rPr>
      </w:pPr>
      <w:r>
        <w:rPr>
          <w:rFonts w:hint="eastAsia" w:ascii="仿宋" w:hAnsi="仿宋" w:eastAsia="仿宋"/>
          <w:szCs w:val="32"/>
        </w:rPr>
        <w:t>12.教育支出（类）普通教育（款）高等教育（项）。年初预算为435,610.33万元，支出决算为479,860.47万元。完成年初预算的110.16%。决算数大于预算数的主要原因预算项目执行过程中追加安排的专项资金安排高等教育投入加大等。</w:t>
      </w:r>
    </w:p>
    <w:p>
      <w:pPr>
        <w:pStyle w:val="16"/>
        <w:pageBreakBefore w:val="0"/>
        <w:kinsoku/>
        <w:wordWrap/>
        <w:overflowPunct/>
        <w:topLinePunct w:val="0"/>
        <w:autoSpaceDE/>
        <w:autoSpaceDN/>
        <w:bidi w:val="0"/>
        <w:snapToGrid/>
        <w:spacing w:beforeAutospacing="0" w:afterAutospacing="0" w:line="640" w:lineRule="exact"/>
        <w:textAlignment w:val="auto"/>
        <w:rPr>
          <w:rFonts w:ascii="仿宋" w:hAnsi="仿宋" w:eastAsia="仿宋"/>
        </w:rPr>
      </w:pPr>
      <w:r>
        <w:rPr>
          <w:rFonts w:hint="eastAsia" w:ascii="仿宋" w:hAnsi="仿宋" w:eastAsia="仿宋"/>
        </w:rPr>
        <w:t xml:space="preserve">    13.教育支出（类）普通教育（款）其他普通教育支出（项）。年初预算为2,794.40万元，支出决算为2,223.87万元。完成年初预算的79.58%。决算数小于预算数的主要原因：一是部分预算项目未执行完。</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14.教育支出（类）职业教育（款）中等职业教育（项）。年初预算为69,383.75万元，支出决算为67,563.45万元。完成年初预算的97.38%。决算数大于预算数的主要原因预算项目执行过程中追加安排的中央专项资金。</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15.教育支出（类）职业教育（款）高等职业教育（项）。年初预算为68,656.47万元，支出决算为81,077.04万元。完成年初预算的118.09%。决算数大于预算数的主要原因预算项目执行过程中追加安排的中央专项资金。</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16.教育支出（类）成人教育（款）成人高等教育（项）。年初预算为92.15万元，支出决算为91.73万元。完成年初预算的99.54%。决算数大于预算数的主要原因预算项目执行过程中追加安排的中央专项资金。</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17.教育支出（类）广播电视教育（款）广播电视学校（项）。年初预算为5,168.97万元，支出决算为4,839.13万元。完成年初预算的93.62%。决算数小于预算数的主要原因：预算项目未执行完。</w:t>
      </w:r>
    </w:p>
    <w:p>
      <w:pPr>
        <w:pageBreakBefore w:val="0"/>
        <w:kinsoku/>
        <w:wordWrap/>
        <w:overflowPunct/>
        <w:topLinePunct w:val="0"/>
        <w:autoSpaceDE/>
        <w:autoSpaceDN/>
        <w:bidi w:val="0"/>
        <w:snapToGrid/>
        <w:spacing w:beforeAutospacing="0" w:afterAutospacing="0" w:line="640" w:lineRule="exact"/>
        <w:ind w:firstLine="627" w:firstLineChars="196"/>
        <w:textAlignment w:val="auto"/>
        <w:rPr>
          <w:rFonts w:ascii="仿宋" w:hAnsi="仿宋" w:eastAsia="仿宋"/>
          <w:szCs w:val="32"/>
        </w:rPr>
      </w:pPr>
      <w:r>
        <w:rPr>
          <w:rFonts w:hint="eastAsia" w:ascii="仿宋" w:hAnsi="仿宋" w:eastAsia="仿宋"/>
          <w:szCs w:val="32"/>
        </w:rPr>
        <w:t>18.教育支出（类）留学教育（款）来华留学教育支出（项）。年初预算为1,096.80万元，支出决算为1,173.41万元。决算数大于预算数的主要原因：在预算执行过程中有所调整。</w:t>
      </w:r>
    </w:p>
    <w:p>
      <w:pPr>
        <w:pageBreakBefore w:val="0"/>
        <w:kinsoku/>
        <w:wordWrap/>
        <w:overflowPunct/>
        <w:topLinePunct w:val="0"/>
        <w:autoSpaceDE/>
        <w:autoSpaceDN/>
        <w:bidi w:val="0"/>
        <w:snapToGrid/>
        <w:spacing w:beforeAutospacing="0" w:afterAutospacing="0" w:line="640" w:lineRule="exact"/>
        <w:ind w:firstLine="627" w:firstLineChars="196"/>
        <w:textAlignment w:val="auto"/>
        <w:rPr>
          <w:rFonts w:ascii="仿宋" w:hAnsi="仿宋" w:eastAsia="仿宋"/>
          <w:szCs w:val="32"/>
        </w:rPr>
      </w:pPr>
      <w:r>
        <w:rPr>
          <w:rFonts w:hint="eastAsia" w:ascii="仿宋" w:hAnsi="仿宋" w:eastAsia="仿宋"/>
          <w:szCs w:val="32"/>
        </w:rPr>
        <w:t>19.教育支出（类）特殊教育（款）特殊学校教育（项）。年初预算为0万元，支出决算为38.91万元。决算数大于预算数的主要原因：在预算执行过程中有所调整。</w:t>
      </w:r>
    </w:p>
    <w:p>
      <w:pPr>
        <w:pStyle w:val="16"/>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rPr>
      </w:pPr>
      <w:r>
        <w:rPr>
          <w:rFonts w:hint="eastAsia" w:ascii="仿宋" w:hAnsi="仿宋" w:eastAsia="仿宋"/>
        </w:rPr>
        <w:t>20.教育支出（类）进修及培训（款）教师进修（项）。年初预算为6,151.65万元，支出决算为3,713.10万元。完成年初预算的60.36%。决算数小于预算数的主要原因是受疫情影响，部分培训项目未能开展。</w:t>
      </w:r>
    </w:p>
    <w:p>
      <w:pPr>
        <w:pStyle w:val="16"/>
        <w:pageBreakBefore w:val="0"/>
        <w:kinsoku/>
        <w:wordWrap/>
        <w:overflowPunct/>
        <w:topLinePunct w:val="0"/>
        <w:autoSpaceDE/>
        <w:autoSpaceDN/>
        <w:bidi w:val="0"/>
        <w:snapToGrid/>
        <w:spacing w:beforeAutospacing="0" w:afterAutospacing="0" w:line="640" w:lineRule="exact"/>
        <w:textAlignment w:val="auto"/>
        <w:rPr>
          <w:rFonts w:ascii="仿宋" w:hAnsi="仿宋" w:eastAsia="仿宋"/>
        </w:rPr>
      </w:pPr>
      <w:r>
        <w:rPr>
          <w:rFonts w:hint="eastAsia" w:ascii="仿宋" w:hAnsi="仿宋" w:eastAsia="仿宋"/>
        </w:rPr>
        <w:t xml:space="preserve">     21.教育支出（类）进修及培训（款）培训支出（项）。年初预算为207.12万元，支出决算为178.11万元。完成年初预算的85.99%。决算数小于预算数的主要原因：预算项目未执行完。</w:t>
      </w:r>
    </w:p>
    <w:p>
      <w:pPr>
        <w:pStyle w:val="16"/>
        <w:pageBreakBefore w:val="0"/>
        <w:kinsoku/>
        <w:wordWrap/>
        <w:overflowPunct/>
        <w:topLinePunct w:val="0"/>
        <w:autoSpaceDE/>
        <w:autoSpaceDN/>
        <w:bidi w:val="0"/>
        <w:snapToGrid/>
        <w:spacing w:beforeAutospacing="0" w:afterAutospacing="0" w:line="640" w:lineRule="exact"/>
        <w:textAlignment w:val="auto"/>
        <w:rPr>
          <w:rFonts w:ascii="仿宋" w:hAnsi="仿宋" w:eastAsia="仿宋"/>
        </w:rPr>
      </w:pPr>
      <w:r>
        <w:rPr>
          <w:rFonts w:hint="eastAsia" w:ascii="仿宋" w:hAnsi="仿宋" w:eastAsia="仿宋"/>
        </w:rPr>
        <w:t xml:space="preserve">    22.教育支出（类）其他教育支出（款）其他教育支出（项）。年初预算为4,447.25万元，支出决算为6,477.68万元。完成年初预算的145.66%。决算数大于预算数的主要原因部分预算项目执行过程中有所追加，转拨给民办学校的资金用此项科目。</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23.科学技术支出（类）基础研究（款）自然科学基金（项）。年初预算为1,088.04万元，支出决算为1,686.03万元。</w:t>
      </w:r>
      <w:r>
        <w:rPr>
          <w:rFonts w:hint="eastAsia" w:ascii="仿宋" w:hAnsi="仿宋" w:eastAsia="仿宋"/>
        </w:rPr>
        <w:t>完成年初预算的154.96%。</w:t>
      </w:r>
      <w:r>
        <w:rPr>
          <w:rFonts w:hint="eastAsia" w:ascii="仿宋" w:hAnsi="仿宋" w:eastAsia="仿宋"/>
          <w:szCs w:val="32"/>
        </w:rPr>
        <w:t>决算数大于预算数的主要原因是中央和省财政下达的科研专项资金。</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24.科学技术支出（类）基础研究（款）实验室及相关设施（项）。年初预算为21.52万元，支出决算1,440.61万元。</w:t>
      </w:r>
      <w:r>
        <w:rPr>
          <w:rFonts w:hint="eastAsia" w:ascii="仿宋" w:hAnsi="仿宋" w:eastAsia="仿宋" w:cs="宋体"/>
          <w:szCs w:val="32"/>
        </w:rPr>
        <w:t>完成年初预算的6694.28%。决</w:t>
      </w:r>
      <w:r>
        <w:rPr>
          <w:rFonts w:hint="eastAsia" w:ascii="仿宋" w:hAnsi="仿宋" w:eastAsia="仿宋"/>
          <w:szCs w:val="32"/>
        </w:rPr>
        <w:t>算数大于预算数的主要原因是中央和省财政下达的科研专项资金</w:t>
      </w:r>
      <w:r>
        <w:rPr>
          <w:rFonts w:hint="eastAsia" w:ascii="仿宋" w:hAnsi="仿宋" w:eastAsia="仿宋"/>
        </w:rPr>
        <w:t>。</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25.科学技术支出（类）基础研究（款）科技人才队伍建设（项）。年初预算为1,699.00万元，支出决算为660.50万元。</w:t>
      </w:r>
      <w:r>
        <w:rPr>
          <w:rFonts w:hint="eastAsia" w:ascii="仿宋" w:hAnsi="仿宋" w:eastAsia="仿宋" w:cs="宋体"/>
          <w:szCs w:val="32"/>
        </w:rPr>
        <w:t>完成年初预算的38.88%。</w:t>
      </w:r>
      <w:r>
        <w:rPr>
          <w:rFonts w:hint="eastAsia" w:ascii="仿宋" w:hAnsi="仿宋" w:eastAsia="仿宋"/>
          <w:szCs w:val="32"/>
        </w:rPr>
        <w:t>决算数大于预算数的主要原因预算项目执行过程中有所追加。</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26.科学技术支出（类）基础研究（款）其他基础研究支出（项）。年初预算为65.00万元，支出决算为55.88万元。完成年初预算85.97%。决算数小于预算数的主要原因：预算项目未执行完。</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27.科学技术支出（类）应用研究（款）社会公益研究（项）。年初预算为32.72万元，支出决算为378.42万元。完成年初预算1156.54%。决算数大于预算数的主要原因：中央和省财政下达的科研专项资金。</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28.科学技术支出（类）应用研究（款）高技术研究（项）。年初预算为0万元，支出决算为812.00万元。决算数小于预算数的主要原因：预算项目未执行完。</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29.科学技术支出（类）技术研究与开发（款）科技成果转化与扩散（项）。年初预算为1,000.00万元，支出决算为992.22万元。完成年初预算99.22%。决算数大于预算数的主要原因：中央和省财政下达的科研专项资金。</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30.科学技术支出（类）技术研究与开发（款）其他技术研究与开发支出（项）。年初预算为0万元，支出决算为166.15万元。决算数大于预算数的主要原因：中央和省财政下达的科研专项资金。</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31.科学技术支出（类）科技条件与服务（款）科技条件专项（项）。年初预算为952.18万元，支出决算为3,100.57万元。完成年初预算325.63%。决算数大于预算数的主要原因：中央和省财政下达的科研专项资金。</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rPr>
      </w:pPr>
      <w:r>
        <w:rPr>
          <w:rFonts w:hint="eastAsia" w:ascii="仿宋" w:hAnsi="仿宋" w:eastAsia="仿宋"/>
          <w:szCs w:val="32"/>
        </w:rPr>
        <w:t>32.科学技术支出（类）社会科学（款）</w:t>
      </w:r>
      <w:r>
        <w:rPr>
          <w:rFonts w:ascii="仿宋" w:hAnsi="仿宋" w:eastAsia="仿宋"/>
          <w:szCs w:val="32"/>
        </w:rPr>
        <w:t>社会科学研究</w:t>
      </w:r>
      <w:r>
        <w:rPr>
          <w:rFonts w:hint="eastAsia" w:ascii="仿宋" w:hAnsi="仿宋" w:eastAsia="仿宋"/>
          <w:szCs w:val="32"/>
        </w:rPr>
        <w:t>（项）。年初预算为1,057.14万元，支出决算为885.67万元。完成年初预算83.78%。决算数大于预算数的主要原因：中央和省财政下达的科研专项资金</w:t>
      </w:r>
      <w:r>
        <w:rPr>
          <w:rFonts w:hint="eastAsia" w:ascii="仿宋" w:hAnsi="仿宋" w:eastAsia="仿宋"/>
        </w:rPr>
        <w:t>。</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33.科学技术支出（类）科学技术普及（款）</w:t>
      </w:r>
      <w:r>
        <w:rPr>
          <w:rFonts w:ascii="仿宋" w:hAnsi="仿宋" w:eastAsia="仿宋"/>
          <w:szCs w:val="32"/>
        </w:rPr>
        <w:t>科普活动</w:t>
      </w:r>
      <w:r>
        <w:rPr>
          <w:rFonts w:hint="eastAsia" w:ascii="仿宋" w:hAnsi="仿宋" w:eastAsia="仿宋"/>
          <w:szCs w:val="32"/>
        </w:rPr>
        <w:t>（项）。年初预算为10.00万元，支出决算为9.81万元。完成年初预算98.10%。决算数大于预算数的主要原因预算项目执行过程中有所追加。</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34.科学技术支出（类）科技交流与合作（款）</w:t>
      </w:r>
      <w:r>
        <w:rPr>
          <w:rFonts w:ascii="仿宋" w:hAnsi="仿宋" w:eastAsia="仿宋"/>
          <w:szCs w:val="32"/>
        </w:rPr>
        <w:t>其他科技交流与合作支出</w:t>
      </w:r>
      <w:r>
        <w:rPr>
          <w:rFonts w:hint="eastAsia" w:ascii="仿宋" w:hAnsi="仿宋" w:eastAsia="仿宋"/>
          <w:szCs w:val="32"/>
        </w:rPr>
        <w:t>（项）。年初预算为245.00万元，支出决算为26.15万元。完成年初预算10.67%。决算数大于预算数的主要原因预算项目执行过程中有所追加。</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35.科学技术支出（类）科技重大项目（款）</w:t>
      </w:r>
      <w:r>
        <w:rPr>
          <w:rFonts w:ascii="仿宋" w:hAnsi="仿宋" w:eastAsia="仿宋"/>
          <w:szCs w:val="32"/>
        </w:rPr>
        <w:t>科技重大专项</w:t>
      </w:r>
      <w:r>
        <w:rPr>
          <w:rFonts w:hint="eastAsia" w:ascii="仿宋" w:hAnsi="仿宋" w:eastAsia="仿宋"/>
          <w:szCs w:val="32"/>
        </w:rPr>
        <w:t>（项）。年初预算为3,263.51万元，支出决算为3,948.14</w:t>
      </w:r>
    </w:p>
    <w:p>
      <w:pPr>
        <w:pageBreakBefore w:val="0"/>
        <w:kinsoku/>
        <w:wordWrap/>
        <w:overflowPunct/>
        <w:topLinePunct w:val="0"/>
        <w:autoSpaceDE/>
        <w:autoSpaceDN/>
        <w:bidi w:val="0"/>
        <w:snapToGrid/>
        <w:spacing w:beforeAutospacing="0" w:afterAutospacing="0" w:line="640" w:lineRule="exact"/>
        <w:textAlignment w:val="auto"/>
        <w:rPr>
          <w:rFonts w:ascii="仿宋" w:hAnsi="仿宋" w:eastAsia="仿宋"/>
          <w:szCs w:val="32"/>
        </w:rPr>
      </w:pPr>
      <w:r>
        <w:rPr>
          <w:rFonts w:hint="eastAsia" w:ascii="仿宋" w:hAnsi="仿宋" w:eastAsia="仿宋"/>
          <w:szCs w:val="32"/>
        </w:rPr>
        <w:t>万元。完成年初预算120.98%。决算数大于预算数的主要原因：中央和省财政下达的科研专项资金。</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36.科学技术支出（类）科技重大项目（款）重点研发计划（项）。年初预算为5,637.11万元，支出决算为4,199.57万元。完成年初预算74.50%。决算数大于预算数的主要原因：中央和省财政下达的科研专项资金。</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37.科学技术支出（类）其他科学技术支出（款）科技奖励（项）。年初预算为</w:t>
      </w:r>
      <w:r>
        <w:rPr>
          <w:rFonts w:ascii="仿宋" w:hAnsi="仿宋" w:eastAsia="仿宋"/>
          <w:szCs w:val="32"/>
        </w:rPr>
        <w:t>0</w:t>
      </w:r>
      <w:r>
        <w:rPr>
          <w:rFonts w:hint="eastAsia" w:ascii="仿宋" w:hAnsi="仿宋" w:eastAsia="仿宋"/>
          <w:szCs w:val="32"/>
        </w:rPr>
        <w:t>万元，支出决算为5.00万元。决算数大于预算数的主要原因：中央和省财政下达的科研专项资金。</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38.科学技术支出（类）其他科学技术支出（款）</w:t>
      </w:r>
      <w:r>
        <w:rPr>
          <w:rFonts w:ascii="仿宋" w:hAnsi="仿宋" w:eastAsia="仿宋"/>
          <w:szCs w:val="32"/>
        </w:rPr>
        <w:t>其他科学技术支出</w:t>
      </w:r>
      <w:r>
        <w:rPr>
          <w:rFonts w:hint="eastAsia" w:ascii="仿宋" w:hAnsi="仿宋" w:eastAsia="仿宋"/>
          <w:szCs w:val="32"/>
        </w:rPr>
        <w:t>（项）。年初预算为3,880.58万元，支出决算为3,768.63万元。完成年初预算97.12%。决算数大于预算数的主要原因：中央和省财政下达的科研专项资金。</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39.文化旅游体育与传媒支出（类）其他文化旅游体育与传媒支出（款）其他文化旅游体育与传媒支出（项）。年初预算为40.00万元，支出决算为21.94万元。完成年初预算54.85%。决算数大于预算数的主要原因：中央和省财政下达的专项资金。</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40.社会保障和就业支出（类）行政事业单位养老支出（款）行政单位离退休（项）。年初预算为14.94 万元，支出决算为16.01万元。完成年初预算的107.16%。决算数大于预算数的主要原因：基数调整导致离退休支出增加。</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41.社会保障和就业支出（类）行政事业单位养老支出（款）事业单位离退休（项）。年初预算为232.82万元，支出决算为239.51万元。完成年初预算的102.87%。决算数大于预算数的主要原因：基数调整导致离退休支出增加。</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42.社会保障和就业支出（类）行政事业单位养老支出（款）机关事业单位基本养老保险缴费支出（项）。年初预算为20,192.31万元，支出决算为22,108.45万元。完成年初预算的109.49%。决算数大于预算数的主要原因：基数调整导致社保缴费增多。</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43.社会保障和就业支出（类）行政事业单位养老支出（款）机关事业单位职业年金缴费支出（项）。年初预算为8,460.86万元，支出决算为11,371.84万元。完成年初预算的134.41%。决算数小于预算数的主要原因：人员变化导致职业年金未执行完。</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44.社会保障和就业支出（类）就业补助（款）职业培训补贴（项）。年初预算为118.23万元，支出决算为98.33万元。完成年初预算的83.17%。决算数小于预算数的主要原因：该项支出未执行完。</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45.社会保障和就业支出（类）抚恤（款）死亡抚恤（项）。年初预算为20.47万元，支出决算为200.71万元。完成年初预算的980.51%。决算数大于预算数的主要原因：离退休人员死亡抚恤金支出。</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46.社会保障和就业支出（类）抚恤（款）其他优抚支出（项）。年初预算为131.00万元，支出决算为147.77万元。完成年初预算的112.80%。决算数大于预算数的主要原因是优抚支出有所增加。</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47.卫生健康支出（类）公共卫生（款）</w:t>
      </w:r>
      <w:r>
        <w:rPr>
          <w:rFonts w:ascii="仿宋" w:hAnsi="仿宋" w:eastAsia="仿宋"/>
          <w:szCs w:val="32"/>
        </w:rPr>
        <w:t>基本公共卫生服务</w:t>
      </w:r>
      <w:r>
        <w:rPr>
          <w:rFonts w:hint="eastAsia" w:ascii="仿宋" w:hAnsi="仿宋" w:eastAsia="仿宋"/>
          <w:szCs w:val="32"/>
        </w:rPr>
        <w:t>（项）。年初预算为8.57万元，支出决算为66.59万元。完成年初预算的777.01%。决算数大于预算数的主要原因：中央和省财政下达的专项资金以及疫情防控资金支出增加。</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48.卫生健康支出（类）公共卫生（款）</w:t>
      </w:r>
      <w:r>
        <w:rPr>
          <w:rFonts w:ascii="仿宋" w:hAnsi="仿宋" w:eastAsia="仿宋"/>
          <w:szCs w:val="32"/>
        </w:rPr>
        <w:t xml:space="preserve">  重大公共卫生专项</w:t>
      </w:r>
      <w:r>
        <w:rPr>
          <w:rFonts w:hint="eastAsia" w:ascii="仿宋" w:hAnsi="仿宋" w:eastAsia="仿宋"/>
          <w:szCs w:val="32"/>
        </w:rPr>
        <w:t>（项）。年初预算为2.12万元，支出决算为2.10万元。完成年初预算的99.06%。决算数大于预算数的主要原因：中央和省财政下达的专项资金以及疫情防控资金支出增加。</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49.卫生健康支出（类）公共卫生（款）其他公共卫生支出（项）。年初预算为0万元，支出决算为9.00万元。决算数大于预算数的主要原因：中央和省财政下达的专项资金以及疫情防控资金支出增加。</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ascii="仿宋" w:hAnsi="仿宋" w:eastAsia="仿宋"/>
          <w:szCs w:val="32"/>
        </w:rPr>
        <w:t>5</w:t>
      </w:r>
      <w:r>
        <w:rPr>
          <w:rFonts w:hint="eastAsia" w:ascii="仿宋" w:hAnsi="仿宋" w:eastAsia="仿宋"/>
          <w:szCs w:val="32"/>
        </w:rPr>
        <w:t>0.卫生健康支出（类）中医药（款）</w:t>
      </w:r>
      <w:r>
        <w:rPr>
          <w:rFonts w:ascii="仿宋" w:hAnsi="仿宋" w:eastAsia="仿宋"/>
          <w:szCs w:val="32"/>
        </w:rPr>
        <w:t>中医（民族医）药专项</w:t>
      </w:r>
      <w:r>
        <w:rPr>
          <w:rFonts w:hint="eastAsia" w:ascii="仿宋" w:hAnsi="仿宋" w:eastAsia="仿宋"/>
          <w:szCs w:val="32"/>
        </w:rPr>
        <w:t>（项）。年初预算为32.72万元，支出决算为26.06万元。完成年初预算的79.65%。决算数小于预算数的主要原因：项目支出未完成。</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ascii="仿宋" w:hAnsi="仿宋" w:eastAsia="仿宋"/>
          <w:szCs w:val="32"/>
        </w:rPr>
        <w:t>5</w:t>
      </w:r>
      <w:r>
        <w:rPr>
          <w:rFonts w:hint="eastAsia" w:ascii="仿宋" w:hAnsi="仿宋" w:eastAsia="仿宋"/>
          <w:szCs w:val="32"/>
        </w:rPr>
        <w:t>1.卫生健康支出（类）行政事业单位医疗（款）</w:t>
      </w:r>
      <w:r>
        <w:rPr>
          <w:rFonts w:ascii="仿宋" w:hAnsi="仿宋" w:eastAsia="仿宋"/>
          <w:szCs w:val="32"/>
        </w:rPr>
        <w:t>行政单位医疗</w:t>
      </w:r>
      <w:r>
        <w:rPr>
          <w:rFonts w:hint="eastAsia" w:ascii="仿宋" w:hAnsi="仿宋" w:eastAsia="仿宋"/>
          <w:szCs w:val="32"/>
        </w:rPr>
        <w:t>（项）。年初预算为142.51万元，支出决算为112.18万元。完成年初预算78.72%</w:t>
      </w:r>
      <w:r>
        <w:rPr>
          <w:rFonts w:ascii="仿宋" w:hAnsi="仿宋" w:eastAsia="仿宋"/>
          <w:szCs w:val="32"/>
        </w:rPr>
        <w:t>。</w:t>
      </w:r>
      <w:r>
        <w:rPr>
          <w:rFonts w:hint="eastAsia" w:ascii="仿宋" w:hAnsi="仿宋" w:eastAsia="仿宋"/>
          <w:szCs w:val="32"/>
        </w:rPr>
        <w:t>决算数小于预算数的主要原因：部分项目未执行完毕。</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ascii="仿宋" w:hAnsi="仿宋" w:eastAsia="仿宋"/>
          <w:szCs w:val="32"/>
        </w:rPr>
        <w:t>5</w:t>
      </w:r>
      <w:r>
        <w:rPr>
          <w:rFonts w:hint="eastAsia" w:ascii="仿宋" w:hAnsi="仿宋" w:eastAsia="仿宋"/>
          <w:szCs w:val="32"/>
        </w:rPr>
        <w:t>2.卫生健康支出（类）行政事业单位医疗（款）</w:t>
      </w:r>
      <w:r>
        <w:rPr>
          <w:rFonts w:ascii="仿宋" w:hAnsi="仿宋" w:eastAsia="仿宋"/>
          <w:szCs w:val="32"/>
        </w:rPr>
        <w:t>事业单位医疗</w:t>
      </w:r>
      <w:r>
        <w:rPr>
          <w:rFonts w:hint="eastAsia" w:ascii="仿宋" w:hAnsi="仿宋" w:eastAsia="仿宋"/>
          <w:szCs w:val="32"/>
        </w:rPr>
        <w:t>（项）。年初预算为10,439.29万元，支出决算为10,205.23万元。完成年初预算97.76%</w:t>
      </w:r>
      <w:r>
        <w:rPr>
          <w:rFonts w:ascii="仿宋" w:hAnsi="仿宋" w:eastAsia="仿宋"/>
          <w:szCs w:val="32"/>
        </w:rPr>
        <w:t>。</w:t>
      </w:r>
      <w:r>
        <w:rPr>
          <w:rFonts w:hint="eastAsia" w:ascii="仿宋" w:hAnsi="仿宋" w:eastAsia="仿宋"/>
          <w:szCs w:val="32"/>
        </w:rPr>
        <w:t>决算数大于预算数的主要原因：中央和省财政下达的专项资金。</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ascii="仿宋" w:hAnsi="仿宋" w:eastAsia="仿宋"/>
          <w:szCs w:val="32"/>
        </w:rPr>
        <w:t>5</w:t>
      </w:r>
      <w:r>
        <w:rPr>
          <w:rFonts w:hint="eastAsia" w:ascii="仿宋" w:hAnsi="仿宋" w:eastAsia="仿宋"/>
          <w:szCs w:val="32"/>
        </w:rPr>
        <w:t>3.卫生健康支出（类）行政事业单位医疗（款）</w:t>
      </w:r>
      <w:r>
        <w:rPr>
          <w:rFonts w:ascii="仿宋" w:hAnsi="仿宋" w:eastAsia="仿宋"/>
          <w:szCs w:val="32"/>
        </w:rPr>
        <w:t>公务员医疗补助</w:t>
      </w:r>
      <w:r>
        <w:rPr>
          <w:rFonts w:hint="eastAsia" w:ascii="仿宋" w:hAnsi="仿宋" w:eastAsia="仿宋"/>
          <w:szCs w:val="32"/>
        </w:rPr>
        <w:t>（项）。年初预算为444.29万元，支出决算为476.49万元。完成年初预算的107.25%。决算数大于预算数的主要原因：中央和省财政下达的专项资金。</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ascii="仿宋" w:hAnsi="仿宋" w:eastAsia="仿宋"/>
          <w:szCs w:val="32"/>
        </w:rPr>
        <w:t>5</w:t>
      </w:r>
      <w:r>
        <w:rPr>
          <w:rFonts w:hint="eastAsia" w:ascii="仿宋" w:hAnsi="仿宋" w:eastAsia="仿宋"/>
          <w:szCs w:val="32"/>
        </w:rPr>
        <w:t>4.卫生健康支出（类）其他卫生健康支出（款）</w:t>
      </w:r>
      <w:r>
        <w:rPr>
          <w:rFonts w:ascii="仿宋" w:hAnsi="仿宋" w:eastAsia="仿宋"/>
          <w:szCs w:val="32"/>
        </w:rPr>
        <w:t>其他卫生健康支出</w:t>
      </w:r>
      <w:r>
        <w:rPr>
          <w:rFonts w:hint="eastAsia" w:ascii="仿宋" w:hAnsi="仿宋" w:eastAsia="仿宋"/>
          <w:szCs w:val="32"/>
        </w:rPr>
        <w:t>（项）。年初预算为1,053.86万元，支出决算为1,007.77万元。完成年初预算的95.63%。决算数大于预算数的主要原因：中央和省财政下达的专项资金。</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55.农林水支出（类）林业和草原（款）森林资源培育（项）。年初预算为2.08万元，支出决算为104.34万元。决算数大于预算数的主要原因：中央和省财政下达的专项资金。</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56.农林水支出（类）林业和草原（款）动植物保护（项）。年初预算为419.05万元，支出决算为419.05万元。完成年初预算的100.00%。决算数小于预算数的主要原因：部分项目未执行完。</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57.农林水支出（类）巩固脱贫衔接乡村振兴（款）社会发展（项）。年初预算为2,000.00万元，支出决算为1,764.24万元。决算数大于预算数的主要原因：中央和省财政下达的专项资金。</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58.自然资源海洋气象等支出（类）自然资源事务（款）事业运行（项）。年初预算为2,362.28万元，支出决算为2,496.22万元。完成年初预算的105.67%。决算数大于预算数的主要原因：中央和省财政下达的专项资金。</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59.自然资源海洋气象等支出（类）其他自然资源海洋气象等支出（款）其他自然资源海洋气象等支出（项）。年初预算为517.17万元，支出决算为516.15万元。完成年初预算的99.80%。决算数大于预算数的主要原因：中央和省财政下达的专项资金。</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60.住房保障支出（类）住房改革支出（款）住房公积金（项）。年初预算14,722.41万元，支出决算为17,707.46万元。完成年初预算的120.28%。决算数大于预算数的主要原因：工资基数变化导致住房公积金缴费增加。</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61.住房保障支出（类）住房改革支出（款）购房补贴（项）。年初预算为2.22万元，支出决算为2.10万元。完成年初预算的94.59%。决算数小于预算数的主要原因：项目未执行完毕。</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szCs w:val="32"/>
        </w:rPr>
        <w:t>62.其他支出（类）其他支出（款）其他支出（项）。年初预算为7187.37万元，支出决算为7187.37万元。完成年初预算的100%。</w:t>
      </w:r>
    </w:p>
    <w:p>
      <w:pPr>
        <w:pStyle w:val="3"/>
        <w:pageBreakBefore w:val="0"/>
        <w:kinsoku/>
        <w:wordWrap/>
        <w:overflowPunct/>
        <w:topLinePunct w:val="0"/>
        <w:autoSpaceDE/>
        <w:autoSpaceDN/>
        <w:bidi w:val="0"/>
        <w:snapToGrid/>
        <w:spacing w:beforeLines="0" w:beforeAutospacing="0" w:afterLines="0" w:afterAutospacing="0" w:line="640" w:lineRule="exact"/>
        <w:ind w:firstLine="643"/>
        <w:textAlignment w:val="auto"/>
        <w:rPr>
          <w:rFonts w:ascii="仿宋" w:hAnsi="仿宋" w:eastAsia="仿宋"/>
        </w:rPr>
      </w:pPr>
      <w:r>
        <w:rPr>
          <w:rFonts w:hint="eastAsia" w:ascii="仿宋" w:hAnsi="仿宋" w:eastAsia="仿宋"/>
        </w:rPr>
        <w:t>六、一般公共预算财政拨款基本支出决算情况说明。</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cs="仿宋_GB2312"/>
          <w:szCs w:val="32"/>
        </w:rPr>
      </w:pPr>
      <w:r>
        <w:rPr>
          <w:rFonts w:hint="eastAsia" w:ascii="仿宋" w:hAnsi="仿宋" w:eastAsia="仿宋"/>
          <w:szCs w:val="32"/>
        </w:rPr>
        <w:t>2022年度财政拨款基本支出300,288.83万元，其中：人员经费240,658.63万元，主要包括：工资福利支出中的基本工资、津贴补贴、奖金、伙食补助费、绩效工资、机关事业单位基本养老保险缴费、职业年金缴费、职工基本医疗保险缴费、公务员医疗补助缴费、其他社</w:t>
      </w:r>
      <w:r>
        <w:rPr>
          <w:rFonts w:hint="eastAsia" w:ascii="仿宋" w:hAnsi="仿宋" w:eastAsia="仿宋" w:cs="仿宋_GB2312"/>
          <w:szCs w:val="32"/>
        </w:rPr>
        <w:t>会保障缴费、住房公积金、医疗费、其他工资福利支出；对个人和家庭的补助中的离休费、退休费、退职（役）费、抚恤金、生活补助、救济费、医疗费补助、助学金、奖励金、个人农业生产补贴、代缴社会保险费、其他对个人和家庭的补助。公用经费59,630.20万元，主要包括：商品和服务支出中的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债务利息及费用支出中的国内债务付息及国外债务付息；资本性支出中的房屋建筑物构建、办公设备购置、专用设备购置、基础设施建设、大型修缮、信息网络及软件购置更新、物资储备、土地补偿、安置补助、地上附着物和青苗补偿、拆迁补偿、公务用车购置、其他交通工具购置、文物和陈列品购置、无形资产购置、其他资本性支出等；其他支出中的国家赔偿费用支出、对民间非营利组织和群众性自治组织补贴、经常性赠与、资本性赠与和其他支出。</w:t>
      </w:r>
    </w:p>
    <w:p>
      <w:pPr>
        <w:pStyle w:val="3"/>
        <w:pageBreakBefore w:val="0"/>
        <w:kinsoku/>
        <w:wordWrap/>
        <w:overflowPunct/>
        <w:topLinePunct w:val="0"/>
        <w:autoSpaceDE/>
        <w:autoSpaceDN/>
        <w:bidi w:val="0"/>
        <w:snapToGrid/>
        <w:spacing w:beforeLines="0" w:beforeAutospacing="0" w:afterLines="0" w:afterAutospacing="0" w:line="640" w:lineRule="exact"/>
        <w:ind w:firstLine="643"/>
        <w:textAlignment w:val="auto"/>
        <w:rPr>
          <w:rFonts w:ascii="仿宋" w:hAnsi="仿宋" w:eastAsia="仿宋"/>
        </w:rPr>
      </w:pPr>
      <w:r>
        <w:rPr>
          <w:rFonts w:hint="eastAsia" w:ascii="仿宋" w:hAnsi="仿宋" w:eastAsia="仿宋"/>
        </w:rPr>
        <w:t>七、政府性基金预算财政拨款支出决算情况说明</w:t>
      </w:r>
    </w:p>
    <w:p>
      <w:pPr>
        <w:pStyle w:val="4"/>
        <w:pageBreakBefore w:val="0"/>
        <w:kinsoku/>
        <w:wordWrap/>
        <w:overflowPunct/>
        <w:topLinePunct w:val="0"/>
        <w:autoSpaceDE/>
        <w:autoSpaceDN/>
        <w:bidi w:val="0"/>
        <w:snapToGrid/>
        <w:spacing w:beforeLines="0" w:beforeAutospacing="0" w:afterLines="0" w:afterAutospacing="0" w:line="640" w:lineRule="exact"/>
        <w:ind w:firstLine="643"/>
        <w:textAlignment w:val="auto"/>
        <w:rPr>
          <w:rFonts w:ascii="仿宋" w:hAnsi="仿宋" w:eastAsia="仿宋"/>
        </w:rPr>
      </w:pPr>
      <w:r>
        <w:rPr>
          <w:rFonts w:hint="eastAsia" w:ascii="仿宋" w:hAnsi="仿宋" w:eastAsia="仿宋"/>
        </w:rPr>
        <w:t>（一）政府性基金预算财政拨款支出决算总体情况。</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ascii="仿宋" w:hAnsi="仿宋" w:eastAsia="仿宋"/>
          <w:szCs w:val="32"/>
        </w:rPr>
        <w:t>2</w:t>
      </w:r>
      <w:r>
        <w:rPr>
          <w:rFonts w:hint="eastAsia" w:ascii="仿宋" w:hAnsi="仿宋" w:eastAsia="仿宋" w:cs="仿宋_GB2312"/>
          <w:szCs w:val="32"/>
        </w:rPr>
        <w:t>022年度政府性基金预算财政拨款支出35.89万元，占本年支出合计的0%。与2021年度相比，政府性基金预算财政拨款支出减少2324.11</w:t>
      </w:r>
      <w:r>
        <w:rPr>
          <w:rFonts w:hint="eastAsia" w:ascii="仿宋" w:hAnsi="仿宋" w:eastAsia="仿宋"/>
          <w:szCs w:val="32"/>
        </w:rPr>
        <w:t>万元，主要原因是财政安排中央彩票公益金项目减少。</w:t>
      </w:r>
    </w:p>
    <w:p>
      <w:pPr>
        <w:pStyle w:val="4"/>
        <w:pageBreakBefore w:val="0"/>
        <w:kinsoku/>
        <w:wordWrap/>
        <w:overflowPunct/>
        <w:topLinePunct w:val="0"/>
        <w:autoSpaceDE/>
        <w:autoSpaceDN/>
        <w:bidi w:val="0"/>
        <w:snapToGrid/>
        <w:spacing w:beforeLines="0" w:beforeAutospacing="0" w:afterLines="0" w:afterAutospacing="0" w:line="640" w:lineRule="exact"/>
        <w:ind w:firstLine="643"/>
        <w:textAlignment w:val="auto"/>
        <w:rPr>
          <w:rFonts w:ascii="仿宋" w:hAnsi="仿宋" w:eastAsia="仿宋"/>
        </w:rPr>
      </w:pPr>
      <w:r>
        <w:rPr>
          <w:rFonts w:hint="eastAsia" w:ascii="仿宋" w:hAnsi="仿宋" w:eastAsia="仿宋"/>
        </w:rPr>
        <w:t>（二）政府性基金预算财政拨款支出决算结构情况。</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highlight w:val="yellow"/>
        </w:rPr>
      </w:pPr>
      <w:r>
        <w:rPr>
          <w:rFonts w:ascii="仿宋" w:hAnsi="仿宋" w:eastAsia="仿宋"/>
          <w:szCs w:val="32"/>
        </w:rPr>
        <w:t>202</w:t>
      </w:r>
      <w:r>
        <w:rPr>
          <w:rFonts w:hint="eastAsia" w:ascii="仿宋" w:hAnsi="仿宋" w:eastAsia="仿宋"/>
          <w:szCs w:val="32"/>
        </w:rPr>
        <w:t>2年度政府性基金预算财政拨款支出35.89万元，主要用于以下方面：其他（类）支出35.89万元，占100</w:t>
      </w:r>
      <w:r>
        <w:rPr>
          <w:rFonts w:ascii="仿宋" w:hAnsi="仿宋" w:eastAsia="仿宋"/>
          <w:szCs w:val="32"/>
        </w:rPr>
        <w:t>%</w:t>
      </w:r>
      <w:r>
        <w:rPr>
          <w:rFonts w:hint="eastAsia" w:ascii="仿宋" w:hAnsi="仿宋" w:eastAsia="仿宋"/>
          <w:szCs w:val="32"/>
        </w:rPr>
        <w:t>；</w:t>
      </w:r>
    </w:p>
    <w:p>
      <w:pPr>
        <w:pStyle w:val="4"/>
        <w:pageBreakBefore w:val="0"/>
        <w:kinsoku/>
        <w:wordWrap/>
        <w:overflowPunct/>
        <w:topLinePunct w:val="0"/>
        <w:autoSpaceDE/>
        <w:autoSpaceDN/>
        <w:bidi w:val="0"/>
        <w:snapToGrid/>
        <w:spacing w:beforeLines="0" w:beforeAutospacing="0" w:afterLines="0" w:afterAutospacing="0" w:line="640" w:lineRule="exact"/>
        <w:ind w:firstLine="643"/>
        <w:textAlignment w:val="auto"/>
        <w:rPr>
          <w:rFonts w:ascii="仿宋" w:hAnsi="仿宋" w:eastAsia="仿宋"/>
        </w:rPr>
      </w:pPr>
      <w:r>
        <w:rPr>
          <w:rFonts w:hint="eastAsia" w:ascii="仿宋" w:hAnsi="仿宋" w:eastAsia="仿宋"/>
        </w:rPr>
        <w:t>（三）政府性基金预算财政拨款支出决算具体情况。</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highlight w:val="yellow"/>
        </w:rPr>
      </w:pPr>
      <w:r>
        <w:rPr>
          <w:rFonts w:ascii="仿宋" w:hAnsi="仿宋" w:eastAsia="仿宋"/>
          <w:szCs w:val="32"/>
        </w:rPr>
        <w:t>202</w:t>
      </w:r>
      <w:r>
        <w:rPr>
          <w:rFonts w:hint="eastAsia" w:ascii="仿宋" w:hAnsi="仿宋" w:eastAsia="仿宋"/>
          <w:szCs w:val="32"/>
        </w:rPr>
        <w:t>2年度政府性基金预算财政拨款支出年初预算为0万元，支出决算为35.89万元。决算数大于预算数的主要原因：用于教育事业的彩票公益金支出。</w:t>
      </w:r>
    </w:p>
    <w:p>
      <w:pPr>
        <w:pStyle w:val="3"/>
        <w:pageBreakBefore w:val="0"/>
        <w:kinsoku/>
        <w:wordWrap/>
        <w:overflowPunct/>
        <w:topLinePunct w:val="0"/>
        <w:autoSpaceDE/>
        <w:autoSpaceDN/>
        <w:bidi w:val="0"/>
        <w:snapToGrid/>
        <w:spacing w:beforeLines="0" w:beforeAutospacing="0" w:afterLines="0" w:afterAutospacing="0" w:line="640" w:lineRule="exact"/>
        <w:ind w:firstLine="643"/>
        <w:textAlignment w:val="auto"/>
        <w:rPr>
          <w:rFonts w:ascii="仿宋" w:hAnsi="仿宋" w:eastAsia="仿宋"/>
        </w:rPr>
      </w:pPr>
      <w:r>
        <w:rPr>
          <w:rFonts w:hint="eastAsia" w:ascii="仿宋" w:hAnsi="仿宋" w:eastAsia="仿宋"/>
        </w:rPr>
        <w:t>八、国有资本经营预算财政拨款支出决算情况说明</w:t>
      </w:r>
    </w:p>
    <w:p>
      <w:pPr>
        <w:pStyle w:val="4"/>
        <w:pageBreakBefore w:val="0"/>
        <w:kinsoku/>
        <w:wordWrap/>
        <w:overflowPunct/>
        <w:topLinePunct w:val="0"/>
        <w:autoSpaceDE/>
        <w:autoSpaceDN/>
        <w:bidi w:val="0"/>
        <w:snapToGrid/>
        <w:spacing w:beforeLines="0" w:beforeAutospacing="0" w:afterLines="0" w:afterAutospacing="0" w:line="640" w:lineRule="exact"/>
        <w:ind w:firstLine="643"/>
        <w:textAlignment w:val="auto"/>
        <w:rPr>
          <w:rFonts w:ascii="仿宋" w:hAnsi="仿宋" w:eastAsia="仿宋"/>
        </w:rPr>
      </w:pPr>
      <w:r>
        <w:rPr>
          <w:rFonts w:hint="eastAsia" w:ascii="仿宋" w:hAnsi="仿宋" w:eastAsia="仿宋"/>
        </w:rPr>
        <w:t>（一）国有资本经营预算财政拨款支出决算总体情况。</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ascii="仿宋" w:hAnsi="仿宋" w:eastAsia="仿宋"/>
          <w:szCs w:val="32"/>
        </w:rPr>
        <w:t>202</w:t>
      </w:r>
      <w:r>
        <w:rPr>
          <w:rFonts w:hint="eastAsia" w:ascii="仿宋" w:hAnsi="仿宋" w:eastAsia="仿宋"/>
          <w:szCs w:val="32"/>
        </w:rPr>
        <w:t>2年度国有资本经营预算财政拨款支出</w:t>
      </w:r>
      <w:r>
        <w:rPr>
          <w:rFonts w:ascii="仿宋" w:hAnsi="仿宋" w:eastAsia="仿宋"/>
          <w:szCs w:val="32"/>
        </w:rPr>
        <w:t>0.00</w:t>
      </w:r>
      <w:r>
        <w:rPr>
          <w:rFonts w:hint="eastAsia" w:ascii="仿宋" w:hAnsi="仿宋" w:eastAsia="仿宋"/>
          <w:szCs w:val="32"/>
        </w:rPr>
        <w:t>万元，占本年支出合计的0</w:t>
      </w:r>
      <w:r>
        <w:rPr>
          <w:rFonts w:ascii="仿宋" w:hAnsi="仿宋" w:eastAsia="仿宋"/>
          <w:szCs w:val="32"/>
        </w:rPr>
        <w:t>%</w:t>
      </w:r>
      <w:r>
        <w:rPr>
          <w:rFonts w:hint="eastAsia" w:ascii="仿宋" w:hAnsi="仿宋" w:eastAsia="仿宋"/>
          <w:szCs w:val="32"/>
        </w:rPr>
        <w:t>。与</w:t>
      </w:r>
      <w:r>
        <w:rPr>
          <w:rFonts w:ascii="仿宋" w:hAnsi="仿宋" w:eastAsia="仿宋"/>
          <w:szCs w:val="32"/>
        </w:rPr>
        <w:t>202</w:t>
      </w:r>
      <w:r>
        <w:rPr>
          <w:rFonts w:hint="eastAsia" w:ascii="仿宋" w:hAnsi="仿宋" w:eastAsia="仿宋"/>
          <w:szCs w:val="32"/>
        </w:rPr>
        <w:t>1年度相比，国有资本经营预算财政拨款支出增加（减少）0万元。</w:t>
      </w:r>
    </w:p>
    <w:p>
      <w:pPr>
        <w:pStyle w:val="4"/>
        <w:pageBreakBefore w:val="0"/>
        <w:kinsoku/>
        <w:wordWrap/>
        <w:overflowPunct/>
        <w:topLinePunct w:val="0"/>
        <w:autoSpaceDE/>
        <w:autoSpaceDN/>
        <w:bidi w:val="0"/>
        <w:snapToGrid/>
        <w:spacing w:beforeLines="0" w:beforeAutospacing="0" w:afterLines="0" w:afterAutospacing="0" w:line="640" w:lineRule="exact"/>
        <w:ind w:firstLine="643"/>
        <w:textAlignment w:val="auto"/>
        <w:rPr>
          <w:rFonts w:ascii="仿宋" w:hAnsi="仿宋" w:eastAsia="仿宋"/>
        </w:rPr>
      </w:pPr>
      <w:r>
        <w:rPr>
          <w:rFonts w:hint="eastAsia" w:ascii="仿宋" w:hAnsi="仿宋" w:eastAsia="仿宋"/>
        </w:rPr>
        <w:t>（二）国有资本经营预算财政拨款支出决算结构情况。</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ascii="仿宋" w:hAnsi="仿宋" w:eastAsia="仿宋"/>
          <w:szCs w:val="32"/>
        </w:rPr>
        <w:t>202</w:t>
      </w:r>
      <w:r>
        <w:rPr>
          <w:rFonts w:hint="eastAsia" w:ascii="仿宋" w:hAnsi="仿宋" w:eastAsia="仿宋"/>
          <w:szCs w:val="32"/>
        </w:rPr>
        <w:t>2年度国有资本经营预算财政拨款支出</w:t>
      </w:r>
      <w:r>
        <w:rPr>
          <w:rFonts w:ascii="仿宋" w:hAnsi="仿宋" w:eastAsia="仿宋"/>
          <w:szCs w:val="32"/>
        </w:rPr>
        <w:t>0.00</w:t>
      </w:r>
      <w:r>
        <w:rPr>
          <w:rFonts w:hint="eastAsia" w:ascii="仿宋" w:hAnsi="仿宋" w:eastAsia="仿宋"/>
          <w:szCs w:val="32"/>
        </w:rPr>
        <w:t>万元。</w:t>
      </w:r>
    </w:p>
    <w:p>
      <w:pPr>
        <w:pStyle w:val="4"/>
        <w:pageBreakBefore w:val="0"/>
        <w:kinsoku/>
        <w:wordWrap/>
        <w:overflowPunct/>
        <w:topLinePunct w:val="0"/>
        <w:autoSpaceDE/>
        <w:autoSpaceDN/>
        <w:bidi w:val="0"/>
        <w:snapToGrid/>
        <w:spacing w:beforeLines="0" w:beforeAutospacing="0" w:afterLines="0" w:afterAutospacing="0" w:line="640" w:lineRule="exact"/>
        <w:ind w:firstLine="643"/>
        <w:textAlignment w:val="auto"/>
        <w:rPr>
          <w:rFonts w:ascii="仿宋" w:hAnsi="仿宋" w:eastAsia="仿宋"/>
        </w:rPr>
      </w:pPr>
      <w:r>
        <w:rPr>
          <w:rFonts w:hint="eastAsia" w:ascii="仿宋" w:hAnsi="仿宋" w:eastAsia="仿宋"/>
        </w:rPr>
        <w:t>（三）国有资本经营预算财政拨款支出决算具体情况。</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ascii="仿宋" w:hAnsi="仿宋" w:eastAsia="仿宋"/>
          <w:szCs w:val="32"/>
        </w:rPr>
        <w:t>202</w:t>
      </w:r>
      <w:r>
        <w:rPr>
          <w:rFonts w:hint="eastAsia" w:ascii="仿宋" w:hAnsi="仿宋" w:eastAsia="仿宋"/>
          <w:szCs w:val="32"/>
        </w:rPr>
        <w:t>2年度国有资本经营预算财政拨款支出年初预算为0万元，支出决算为</w:t>
      </w:r>
      <w:r>
        <w:rPr>
          <w:rFonts w:ascii="仿宋" w:hAnsi="仿宋" w:eastAsia="仿宋"/>
          <w:szCs w:val="32"/>
        </w:rPr>
        <w:t>0.00</w:t>
      </w:r>
      <w:r>
        <w:rPr>
          <w:rFonts w:hint="eastAsia" w:ascii="仿宋" w:hAnsi="仿宋" w:eastAsia="仿宋"/>
          <w:szCs w:val="32"/>
        </w:rPr>
        <w:t>万元。</w:t>
      </w:r>
    </w:p>
    <w:p>
      <w:pPr>
        <w:pStyle w:val="3"/>
        <w:pageBreakBefore w:val="0"/>
        <w:kinsoku/>
        <w:wordWrap/>
        <w:overflowPunct/>
        <w:topLinePunct w:val="0"/>
        <w:autoSpaceDE/>
        <w:autoSpaceDN/>
        <w:bidi w:val="0"/>
        <w:snapToGrid/>
        <w:spacing w:beforeLines="0" w:beforeAutospacing="0" w:afterLines="0" w:afterAutospacing="0" w:line="640" w:lineRule="exact"/>
        <w:ind w:firstLine="643"/>
        <w:textAlignment w:val="auto"/>
        <w:rPr>
          <w:rFonts w:ascii="仿宋" w:hAnsi="仿宋" w:eastAsia="仿宋"/>
        </w:rPr>
      </w:pPr>
      <w:r>
        <w:rPr>
          <w:rFonts w:hint="eastAsia" w:ascii="仿宋" w:hAnsi="仿宋" w:eastAsia="仿宋"/>
        </w:rPr>
        <w:t>九、财政拨款“三公”经费支出决算情况说明</w:t>
      </w:r>
    </w:p>
    <w:p>
      <w:pPr>
        <w:pStyle w:val="4"/>
        <w:pageBreakBefore w:val="0"/>
        <w:kinsoku/>
        <w:wordWrap/>
        <w:overflowPunct/>
        <w:topLinePunct w:val="0"/>
        <w:autoSpaceDE/>
        <w:autoSpaceDN/>
        <w:bidi w:val="0"/>
        <w:snapToGrid/>
        <w:spacing w:beforeLines="0" w:beforeAutospacing="0" w:afterLines="0" w:afterAutospacing="0" w:line="640" w:lineRule="exact"/>
        <w:ind w:firstLine="643"/>
        <w:textAlignment w:val="auto"/>
        <w:rPr>
          <w:rFonts w:ascii="仿宋" w:hAnsi="仿宋" w:eastAsia="仿宋"/>
        </w:rPr>
      </w:pPr>
      <w:r>
        <w:rPr>
          <w:rFonts w:hint="eastAsia" w:ascii="仿宋" w:hAnsi="仿宋" w:eastAsia="仿宋"/>
        </w:rPr>
        <w:t>（一）财政拨款“三公”经费支出决算总体情况说明。</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ascii="仿宋" w:hAnsi="仿宋" w:eastAsia="仿宋"/>
          <w:szCs w:val="32"/>
        </w:rPr>
        <w:t>202</w:t>
      </w:r>
      <w:r>
        <w:rPr>
          <w:rFonts w:hint="eastAsia" w:ascii="仿宋" w:hAnsi="仿宋" w:eastAsia="仿宋"/>
          <w:szCs w:val="32"/>
        </w:rPr>
        <w:t>2年度一般公共预算财政拨款“三公”经费支出预算为842.45万元，支出决算为351.62万元，完成预算的41.74%。</w:t>
      </w:r>
    </w:p>
    <w:p>
      <w:pPr>
        <w:pStyle w:val="4"/>
        <w:pageBreakBefore w:val="0"/>
        <w:kinsoku/>
        <w:wordWrap/>
        <w:overflowPunct/>
        <w:topLinePunct w:val="0"/>
        <w:autoSpaceDE/>
        <w:autoSpaceDN/>
        <w:bidi w:val="0"/>
        <w:snapToGrid/>
        <w:spacing w:beforeLines="0" w:beforeAutospacing="0" w:afterLines="0" w:afterAutospacing="0" w:line="640" w:lineRule="exact"/>
        <w:ind w:firstLine="643"/>
        <w:textAlignment w:val="auto"/>
        <w:rPr>
          <w:rFonts w:ascii="仿宋" w:hAnsi="仿宋" w:eastAsia="仿宋"/>
        </w:rPr>
      </w:pPr>
      <w:r>
        <w:rPr>
          <w:rFonts w:hint="eastAsia" w:ascii="仿宋" w:hAnsi="仿宋" w:eastAsia="仿宋"/>
        </w:rPr>
        <w:t>（二）财政拨款“三公”经费支出决算具体情况说明。</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cs="仿宋_GB2312"/>
          <w:szCs w:val="32"/>
        </w:rPr>
      </w:pPr>
      <w:r>
        <w:rPr>
          <w:rFonts w:hint="eastAsia" w:ascii="仿宋" w:hAnsi="仿宋" w:eastAsia="仿宋" w:cs="仿宋_GB2312"/>
          <w:szCs w:val="32"/>
        </w:rPr>
        <w:t>2022年度一般公共预算财政拨款“三公”经费支出决算中，因公出国（境）费支出决算29.11万元，占8.28%；公务用车购置及运行维护费支出决算289.55万元，占82.35%；公务接待费支出决算32.96万元，9.37%。具体情况如下：</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cs="仿宋_GB2312"/>
          <w:szCs w:val="32"/>
        </w:rPr>
      </w:pPr>
      <w:r>
        <w:rPr>
          <w:rFonts w:hint="eastAsia" w:ascii="仿宋" w:hAnsi="仿宋" w:eastAsia="仿宋" w:cs="仿宋_GB2312"/>
          <w:szCs w:val="32"/>
        </w:rPr>
        <w:t>1.因公出国（境）费支出29.11万元。全年安排因公出国（境）团组1个，因公出国（境）1人次。</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cs="仿宋_GB2312"/>
          <w:szCs w:val="32"/>
        </w:rPr>
      </w:pPr>
      <w:r>
        <w:rPr>
          <w:rFonts w:hint="eastAsia" w:ascii="仿宋" w:hAnsi="仿宋" w:eastAsia="仿宋" w:cs="仿宋_GB2312"/>
          <w:szCs w:val="32"/>
        </w:rPr>
        <w:t>因公出国（境）费支出决算比预算数减少-1048.58万元，下降74.89%。主要原因是受疫情影响，对外交流活动大幅度减少。</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cs="仿宋_GB2312"/>
          <w:szCs w:val="32"/>
        </w:rPr>
      </w:pPr>
      <w:r>
        <w:rPr>
          <w:rFonts w:hint="eastAsia" w:ascii="仿宋" w:hAnsi="仿宋" w:eastAsia="仿宋" w:cs="仿宋_GB2312"/>
          <w:szCs w:val="32"/>
        </w:rPr>
        <w:t xml:space="preserve"> 2.公务用车购置及运行维护费支出289.55万元。其中：</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cs="仿宋_GB2312"/>
          <w:szCs w:val="32"/>
        </w:rPr>
      </w:pPr>
      <w:r>
        <w:rPr>
          <w:rFonts w:hint="eastAsia" w:ascii="仿宋" w:hAnsi="仿宋" w:eastAsia="仿宋" w:cs="仿宋_GB2312"/>
          <w:szCs w:val="32"/>
        </w:rPr>
        <w:t>公务用车购置支出35.16万元，年末公务用车保有量144辆。</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cs="仿宋_GB2312"/>
          <w:szCs w:val="32"/>
        </w:rPr>
      </w:pPr>
      <w:r>
        <w:rPr>
          <w:rFonts w:hint="eastAsia" w:ascii="仿宋" w:hAnsi="仿宋" w:eastAsia="仿宋" w:cs="仿宋_GB2312"/>
          <w:szCs w:val="32"/>
        </w:rPr>
        <w:t>公务用车运行维护费支出254.39万元，主要用于公务用车的油料、维修维护等。</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cs="仿宋_GB2312"/>
          <w:szCs w:val="32"/>
        </w:rPr>
      </w:pPr>
      <w:r>
        <w:rPr>
          <w:rFonts w:hint="eastAsia" w:ascii="仿宋" w:hAnsi="仿宋" w:eastAsia="仿宋" w:cs="仿宋_GB2312"/>
          <w:szCs w:val="32"/>
        </w:rPr>
        <w:t>公务用车购置及运行费支出决算数比预算数减264.38万元，下降47.73%。主要原因是控制了公务用车出行，节约了经费。</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cs="仿宋_GB2312"/>
          <w:szCs w:val="32"/>
        </w:rPr>
      </w:pPr>
      <w:r>
        <w:rPr>
          <w:rFonts w:hint="eastAsia" w:ascii="仿宋" w:hAnsi="仿宋" w:eastAsia="仿宋" w:cs="仿宋_GB2312"/>
          <w:szCs w:val="32"/>
        </w:rPr>
        <w:t>3.公务接待费支出32.96万元，其中：</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cs="仿宋_GB2312"/>
          <w:szCs w:val="32"/>
        </w:rPr>
      </w:pPr>
      <w:r>
        <w:rPr>
          <w:rFonts w:hint="eastAsia" w:ascii="仿宋" w:hAnsi="仿宋" w:eastAsia="仿宋" w:cs="仿宋_GB2312"/>
          <w:szCs w:val="32"/>
        </w:rPr>
        <w:t>国内接待费支出32.96万元，国内公务接待317批次，接待2136人次；主要用于接待国家部委工作检查、调研、来琼合作办学单位考察洽谈、兄弟省份教育业务交流，高校之间的交流活动等。</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cs="仿宋_GB2312"/>
          <w:szCs w:val="32"/>
        </w:rPr>
      </w:pPr>
      <w:r>
        <w:rPr>
          <w:rFonts w:hint="eastAsia" w:ascii="仿宋" w:hAnsi="仿宋" w:eastAsia="仿宋" w:cs="仿宋_GB2312"/>
          <w:szCs w:val="32"/>
        </w:rPr>
        <w:t>国（境）外接待费支出0万元。</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szCs w:val="32"/>
        </w:rPr>
      </w:pPr>
      <w:r>
        <w:rPr>
          <w:rFonts w:hint="eastAsia" w:ascii="仿宋" w:hAnsi="仿宋" w:eastAsia="仿宋" w:cs="仿宋_GB2312"/>
          <w:szCs w:val="32"/>
        </w:rPr>
        <w:t>公务接待费支出决算数比预算数减少336.93万元，下降91.09%。主要原因是接待批次减少，节约了接待费用，控制了运行成本。</w:t>
      </w:r>
    </w:p>
    <w:p>
      <w:pPr>
        <w:pStyle w:val="3"/>
        <w:pageBreakBefore w:val="0"/>
        <w:kinsoku/>
        <w:wordWrap/>
        <w:overflowPunct/>
        <w:topLinePunct w:val="0"/>
        <w:autoSpaceDE/>
        <w:autoSpaceDN/>
        <w:bidi w:val="0"/>
        <w:snapToGrid/>
        <w:spacing w:beforeLines="0" w:beforeAutospacing="0" w:afterLines="0" w:afterAutospacing="0" w:line="640" w:lineRule="exact"/>
        <w:ind w:firstLine="643"/>
        <w:textAlignment w:val="auto"/>
        <w:rPr>
          <w:rFonts w:ascii="仿宋" w:hAnsi="仿宋" w:eastAsia="仿宋"/>
        </w:rPr>
      </w:pPr>
      <w:r>
        <w:rPr>
          <w:rFonts w:hint="eastAsia" w:ascii="仿宋" w:hAnsi="仿宋" w:eastAsia="仿宋"/>
        </w:rPr>
        <w:t>十、预算绩效情况说明。</w:t>
      </w:r>
    </w:p>
    <w:p>
      <w:pPr>
        <w:pStyle w:val="4"/>
        <w:pageBreakBefore w:val="0"/>
        <w:kinsoku/>
        <w:wordWrap/>
        <w:overflowPunct/>
        <w:topLinePunct w:val="0"/>
        <w:autoSpaceDE/>
        <w:autoSpaceDN/>
        <w:bidi w:val="0"/>
        <w:snapToGrid/>
        <w:spacing w:beforeLines="0" w:beforeAutospacing="0" w:afterLines="0" w:afterAutospacing="0" w:line="640" w:lineRule="exact"/>
        <w:ind w:firstLine="643"/>
        <w:textAlignment w:val="auto"/>
        <w:rPr>
          <w:rFonts w:ascii="仿宋" w:hAnsi="仿宋" w:eastAsia="仿宋"/>
        </w:rPr>
      </w:pPr>
      <w:r>
        <w:rPr>
          <w:rFonts w:hint="eastAsia" w:ascii="仿宋" w:hAnsi="仿宋" w:eastAsia="仿宋"/>
        </w:rPr>
        <w:t>（一）绩效管理工作开展情况</w:t>
      </w:r>
    </w:p>
    <w:p>
      <w:pPr>
        <w:pageBreakBefore w:val="0"/>
        <w:widowControl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cs="黑体"/>
          <w:bCs/>
          <w:color w:val="000000"/>
          <w:szCs w:val="32"/>
        </w:rPr>
      </w:pPr>
      <w:r>
        <w:rPr>
          <w:rFonts w:hint="eastAsia" w:ascii="仿宋" w:hAnsi="仿宋" w:eastAsia="仿宋" w:cs="黑体"/>
          <w:bCs/>
          <w:color w:val="000000"/>
          <w:szCs w:val="32"/>
        </w:rPr>
        <w:t>十、预算绩效情况说明</w:t>
      </w:r>
    </w:p>
    <w:p>
      <w:pPr>
        <w:pageBreakBefore w:val="0"/>
        <w:widowControl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cs="楷体"/>
          <w:bCs/>
          <w:color w:val="000000"/>
          <w:szCs w:val="32"/>
        </w:rPr>
      </w:pPr>
      <w:r>
        <w:rPr>
          <w:rFonts w:hint="eastAsia" w:ascii="仿宋" w:hAnsi="仿宋" w:eastAsia="仿宋" w:cs="楷体"/>
          <w:bCs/>
          <w:color w:val="000000"/>
          <w:szCs w:val="32"/>
        </w:rPr>
        <w:t>（一）绩效管理工作开展情况。</w:t>
      </w:r>
    </w:p>
    <w:p>
      <w:pPr>
        <w:pageBreakBefore w:val="0"/>
        <w:widowControl w:val="0"/>
        <w:kinsoku/>
        <w:wordWrap/>
        <w:overflowPunct/>
        <w:topLinePunct w:val="0"/>
        <w:autoSpaceDE/>
        <w:autoSpaceDN/>
        <w:bidi w:val="0"/>
        <w:snapToGrid/>
        <w:spacing w:beforeAutospacing="0" w:afterAutospacing="0" w:line="640" w:lineRule="exact"/>
        <w:ind w:firstLine="640" w:firstLineChars="200"/>
        <w:jc w:val="both"/>
        <w:textAlignment w:val="auto"/>
        <w:rPr>
          <w:rFonts w:ascii="仿宋" w:hAnsi="仿宋" w:eastAsia="仿宋"/>
          <w:color w:val="000000"/>
          <w:szCs w:val="32"/>
        </w:rPr>
      </w:pPr>
      <w:r>
        <w:rPr>
          <w:rFonts w:hint="eastAsia" w:ascii="仿宋" w:hAnsi="仿宋" w:eastAsia="仿宋"/>
          <w:color w:val="000000"/>
          <w:szCs w:val="32"/>
        </w:rPr>
        <w:t>根据预算管理要求，我部门（单位）组织对2022年度一般公共预算项目支出全面开展绩效自评。</w:t>
      </w:r>
      <w:r>
        <w:rPr>
          <w:rFonts w:hint="eastAsia" w:ascii="仿宋" w:hAnsi="仿宋" w:eastAsia="仿宋"/>
          <w:color w:val="000000"/>
          <w:kern w:val="2"/>
          <w:szCs w:val="32"/>
        </w:rPr>
        <w:t>其中，自评项目690个，共涉及资金59552353.万元，占一般公共预算项目支出总额的100%。</w:t>
      </w:r>
    </w:p>
    <w:p>
      <w:pPr>
        <w:pageBreakBefore w:val="0"/>
        <w:widowControl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cs="楷体"/>
          <w:bCs/>
          <w:color w:val="000000"/>
          <w:szCs w:val="32"/>
        </w:rPr>
      </w:pPr>
      <w:r>
        <w:rPr>
          <w:rFonts w:hint="eastAsia" w:ascii="仿宋" w:hAnsi="仿宋" w:eastAsia="仿宋" w:cs="楷体"/>
          <w:bCs/>
          <w:color w:val="000000"/>
          <w:szCs w:val="32"/>
        </w:rPr>
        <w:t>共组织对“普通高中基础设施建设资金项目”等3个项目开展了部门评价，涉及一般公共预算支出5519.08万元，政府性基金预算支出0万元，国有资本经营预算支出0万元。从评价情况来看，2022年普通高中基础设施建设资金项目决策、过程、产出、效益和满意度指标评价均为“优”，项目实施效果较好，项目的实施不影响学校生态环境，社会效益目标基本实现，项目可持续发展情况较好。</w:t>
      </w:r>
    </w:p>
    <w:p>
      <w:pPr>
        <w:pageBreakBefore w:val="0"/>
        <w:widowControl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cs="楷体"/>
          <w:bCs/>
          <w:color w:val="000000"/>
          <w:szCs w:val="32"/>
        </w:rPr>
      </w:pPr>
      <w:r>
        <w:rPr>
          <w:rFonts w:hint="eastAsia" w:ascii="仿宋" w:hAnsi="仿宋" w:eastAsia="仿宋" w:cs="楷体"/>
          <w:bCs/>
          <w:color w:val="000000"/>
          <w:szCs w:val="32"/>
        </w:rPr>
        <w:t>完成部门整体支出绩效评价，涉及一般公共预算支出817840.77万元，政府性基金预算支出0万元。从评价情况来看，教育厅部门评价得分87.39分，预算执行差异率5.53%，年初预算到位率100%，项目储备率59.43%，预算支出进度94.45%，项目调剂频率39.21%，项目预算调剂率8.39%，存量资金规模占比7.63%，三公经费预算变动率-1.27%，直达资金支出进度94.35%。</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cs="楷体"/>
          <w:bCs/>
          <w:color w:val="000000"/>
          <w:szCs w:val="32"/>
        </w:rPr>
      </w:pPr>
      <w:r>
        <w:rPr>
          <w:rFonts w:hint="eastAsia" w:ascii="仿宋" w:hAnsi="仿宋" w:eastAsia="仿宋" w:cs="楷体"/>
          <w:bCs/>
          <w:color w:val="000000"/>
          <w:szCs w:val="32"/>
        </w:rPr>
        <w:t>（二）部门决算中项目绩效自评结果。</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hint="eastAsia" w:ascii="仿宋" w:hAnsi="仿宋" w:eastAsia="仿宋"/>
          <w:color w:val="000000"/>
          <w:szCs w:val="32"/>
        </w:rPr>
      </w:pPr>
      <w:r>
        <w:rPr>
          <w:rFonts w:hint="eastAsia" w:ascii="仿宋" w:hAnsi="仿宋" w:eastAsia="仿宋"/>
          <w:color w:val="000000"/>
          <w:szCs w:val="32"/>
        </w:rPr>
        <w:t>我部门（单位）在部门决算中反映城乡义务教育补助项目、高水平大学和一流学科建设、引进国内外知名高校来海南办学补助项目、教育合作与交流、海南省特色印记工程、中小学幼儿园教师国家级培训计划、教师队伍建设资金项目、教育系统党建思政质量提升工程、海南陵水黎安国际教育创新试验区北京体育大学专享区（一期）项目、现代职业教育质量提升计划项目等10个重点项目绩效自评结果。</w:t>
      </w: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 w:hAnsi="仿宋" w:eastAsia="仿宋"/>
          <w:color w:val="000000"/>
          <w:szCs w:val="32"/>
        </w:rPr>
      </w:pPr>
    </w:p>
    <w:p>
      <w:pPr>
        <w:pageBreakBefore w:val="0"/>
        <w:kinsoku/>
        <w:wordWrap/>
        <w:overflowPunct/>
        <w:topLinePunct w:val="0"/>
        <w:autoSpaceDE/>
        <w:autoSpaceDN/>
        <w:bidi w:val="0"/>
        <w:snapToGrid/>
        <w:spacing w:beforeAutospacing="0" w:afterAutospacing="0" w:line="640" w:lineRule="exact"/>
        <w:ind w:firstLine="640" w:firstLineChars="200"/>
        <w:textAlignment w:val="auto"/>
        <w:rPr>
          <w:rFonts w:ascii="仿宋_GB2312"/>
          <w:color w:val="000000"/>
          <w:szCs w:val="32"/>
        </w:rPr>
        <w:sectPr>
          <w:footerReference r:id="rId6" w:type="default"/>
          <w:pgSz w:w="11906" w:h="16838"/>
          <w:pgMar w:top="1440" w:right="1800" w:bottom="1440" w:left="1800" w:header="851" w:footer="992" w:gutter="0"/>
          <w:pgNumType w:fmt="decimal" w:start="2"/>
          <w:cols w:space="425" w:num="1"/>
          <w:docGrid w:type="lines" w:linePitch="312" w:charSpace="0"/>
        </w:sectPr>
      </w:pPr>
    </w:p>
    <w:p>
      <w:pPr>
        <w:spacing w:line="560" w:lineRule="exact"/>
        <w:ind w:firstLine="640" w:firstLineChars="200"/>
        <w:rPr>
          <w:rFonts w:hint="eastAsia" w:ascii="仿宋_GB2312"/>
          <w:color w:val="000000"/>
          <w:szCs w:val="32"/>
        </w:rPr>
      </w:pPr>
      <w:r>
        <w:rPr>
          <w:rFonts w:hint="eastAsia" w:ascii="仿宋" w:hAnsi="仿宋" w:eastAsia="仿宋"/>
          <w:color w:val="000000"/>
          <w:szCs w:val="32"/>
        </w:rPr>
        <w:t>城乡义务教育补助项目绩效自评表</w:t>
      </w:r>
      <w:r>
        <w:rPr>
          <w:rFonts w:hint="eastAsia" w:ascii="仿宋_GB2312"/>
          <w:color w:val="000000"/>
          <w:szCs w:val="32"/>
        </w:rPr>
        <w:t>：</w:t>
      </w:r>
    </w:p>
    <w:tbl>
      <w:tblPr>
        <w:tblStyle w:val="13"/>
        <w:tblW w:w="13120" w:type="dxa"/>
        <w:tblInd w:w="92" w:type="dxa"/>
        <w:tblLayout w:type="autofit"/>
        <w:tblCellMar>
          <w:top w:w="0" w:type="dxa"/>
          <w:left w:w="108" w:type="dxa"/>
          <w:bottom w:w="0" w:type="dxa"/>
          <w:right w:w="108" w:type="dxa"/>
        </w:tblCellMar>
      </w:tblPr>
      <w:tblGrid>
        <w:gridCol w:w="1103"/>
        <w:gridCol w:w="1100"/>
        <w:gridCol w:w="2206"/>
        <w:gridCol w:w="397"/>
        <w:gridCol w:w="1537"/>
        <w:gridCol w:w="954"/>
        <w:gridCol w:w="867"/>
        <w:gridCol w:w="912"/>
        <w:gridCol w:w="986"/>
        <w:gridCol w:w="880"/>
        <w:gridCol w:w="878"/>
        <w:gridCol w:w="1300"/>
      </w:tblGrid>
      <w:tr>
        <w:tblPrEx>
          <w:tblCellMar>
            <w:top w:w="0" w:type="dxa"/>
            <w:left w:w="108" w:type="dxa"/>
            <w:bottom w:w="0" w:type="dxa"/>
            <w:right w:w="108" w:type="dxa"/>
          </w:tblCellMar>
        </w:tblPrEx>
        <w:trPr>
          <w:trHeight w:val="510" w:hRule="atLeast"/>
        </w:trPr>
        <w:tc>
          <w:tcPr>
            <w:tcW w:w="13120" w:type="dxa"/>
            <w:gridSpan w:val="1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40"/>
                <w:szCs w:val="40"/>
              </w:rPr>
            </w:pPr>
            <w:r>
              <w:rPr>
                <w:rFonts w:hint="eastAsia" w:ascii="等线" w:eastAsia="等线" w:cs="宋体"/>
                <w:b/>
                <w:bCs/>
                <w:color w:val="000000"/>
                <w:sz w:val="40"/>
                <w:szCs w:val="40"/>
              </w:rPr>
              <w:t xml:space="preserve">项目支出绩效自评表 </w:t>
            </w:r>
          </w:p>
        </w:tc>
      </w:tr>
      <w:tr>
        <w:tblPrEx>
          <w:tblCellMar>
            <w:top w:w="0" w:type="dxa"/>
            <w:left w:w="108" w:type="dxa"/>
            <w:bottom w:w="0" w:type="dxa"/>
            <w:right w:w="108" w:type="dxa"/>
          </w:tblCellMar>
        </w:tblPrEx>
        <w:trPr>
          <w:trHeight w:val="432" w:hRule="atLeast"/>
        </w:trPr>
        <w:tc>
          <w:tcPr>
            <w:tcW w:w="1103"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项目名称:</w:t>
            </w:r>
          </w:p>
        </w:tc>
        <w:tc>
          <w:tcPr>
            <w:tcW w:w="12017" w:type="dxa"/>
            <w:gridSpan w:val="11"/>
            <w:tcBorders>
              <w:top w:val="single" w:color="auto" w:sz="4" w:space="0"/>
              <w:left w:val="nil"/>
              <w:bottom w:val="single" w:color="auto" w:sz="4" w:space="0"/>
              <w:right w:val="single" w:color="000000" w:sz="4" w:space="0"/>
            </w:tcBorders>
            <w:shd w:val="clear" w:color="000000" w:fill="FFFFFF"/>
            <w:vAlign w:val="center"/>
          </w:tcPr>
          <w:p>
            <w:pPr>
              <w:spacing w:line="240" w:lineRule="auto"/>
              <w:jc w:val="center"/>
              <w:rPr>
                <w:rFonts w:ascii="等线" w:eastAsia="等线" w:cs="宋体"/>
                <w:color w:val="000000"/>
                <w:sz w:val="22"/>
                <w:szCs w:val="22"/>
              </w:rPr>
            </w:pPr>
            <w:r>
              <w:rPr>
                <w:rFonts w:hint="eastAsia" w:ascii="等线" w:eastAsia="等线" w:cs="宋体"/>
                <w:color w:val="000000"/>
                <w:sz w:val="22"/>
                <w:szCs w:val="22"/>
              </w:rPr>
              <w:t>城乡义务教育补助项目</w:t>
            </w:r>
          </w:p>
        </w:tc>
      </w:tr>
      <w:tr>
        <w:tblPrEx>
          <w:tblCellMar>
            <w:top w:w="0" w:type="dxa"/>
            <w:left w:w="108" w:type="dxa"/>
            <w:bottom w:w="0" w:type="dxa"/>
            <w:right w:w="108" w:type="dxa"/>
          </w:tblCellMar>
        </w:tblPrEx>
        <w:trPr>
          <w:trHeight w:val="398" w:hRule="atLeast"/>
        </w:trPr>
        <w:tc>
          <w:tcPr>
            <w:tcW w:w="1103"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主管部门:</w:t>
            </w:r>
          </w:p>
        </w:tc>
        <w:tc>
          <w:tcPr>
            <w:tcW w:w="3703" w:type="dxa"/>
            <w:gridSpan w:val="3"/>
            <w:tcBorders>
              <w:top w:val="single" w:color="auto" w:sz="4" w:space="0"/>
              <w:left w:val="nil"/>
              <w:bottom w:val="single" w:color="auto" w:sz="4" w:space="0"/>
              <w:right w:val="single" w:color="000000"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203-省教育厅</w:t>
            </w:r>
          </w:p>
        </w:tc>
        <w:tc>
          <w:tcPr>
            <w:tcW w:w="153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实施单位:</w:t>
            </w:r>
          </w:p>
        </w:tc>
        <w:tc>
          <w:tcPr>
            <w:tcW w:w="6777" w:type="dxa"/>
            <w:gridSpan w:val="7"/>
            <w:tcBorders>
              <w:top w:val="single" w:color="auto" w:sz="4" w:space="0"/>
              <w:left w:val="nil"/>
              <w:bottom w:val="single" w:color="auto" w:sz="4" w:space="0"/>
              <w:right w:val="single" w:color="000000"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203001-省教育厅本级</w:t>
            </w:r>
          </w:p>
        </w:tc>
      </w:tr>
      <w:tr>
        <w:tblPrEx>
          <w:tblCellMar>
            <w:top w:w="0" w:type="dxa"/>
            <w:left w:w="108" w:type="dxa"/>
            <w:bottom w:w="0" w:type="dxa"/>
            <w:right w:w="108" w:type="dxa"/>
          </w:tblCellMar>
        </w:tblPrEx>
        <w:trPr>
          <w:trHeight w:val="315" w:hRule="atLeast"/>
        </w:trPr>
        <w:tc>
          <w:tcPr>
            <w:tcW w:w="2203"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资金构成(元)</w:t>
            </w:r>
          </w:p>
        </w:tc>
        <w:tc>
          <w:tcPr>
            <w:tcW w:w="2206" w:type="dxa"/>
            <w:tcBorders>
              <w:top w:val="nil"/>
              <w:left w:val="nil"/>
              <w:bottom w:val="single" w:color="auto" w:sz="4" w:space="0"/>
              <w:right w:val="nil"/>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年初预算数</w:t>
            </w:r>
          </w:p>
        </w:tc>
        <w:tc>
          <w:tcPr>
            <w:tcW w:w="1934"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全年预算数</w:t>
            </w:r>
          </w:p>
        </w:tc>
        <w:tc>
          <w:tcPr>
            <w:tcW w:w="3719"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执行数</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分值</w:t>
            </w:r>
          </w:p>
        </w:tc>
        <w:tc>
          <w:tcPr>
            <w:tcW w:w="878" w:type="dxa"/>
            <w:tcBorders>
              <w:top w:val="nil"/>
              <w:left w:val="nil"/>
              <w:bottom w:val="single" w:color="auto" w:sz="4" w:space="0"/>
              <w:right w:val="nil"/>
            </w:tcBorders>
            <w:shd w:val="clear" w:color="000000" w:fill="FFFFFF"/>
            <w:vAlign w:val="center"/>
          </w:tcPr>
          <w:p>
            <w:pPr>
              <w:spacing w:line="240" w:lineRule="auto"/>
              <w:rPr>
                <w:rFonts w:ascii="等线" w:eastAsia="等线" w:cs="宋体"/>
                <w:b/>
                <w:bCs/>
                <w:color w:val="000000"/>
                <w:sz w:val="24"/>
              </w:rPr>
            </w:pPr>
            <w:r>
              <w:rPr>
                <w:rFonts w:hint="eastAsia" w:ascii="等线" w:eastAsia="等线" w:cs="宋体"/>
                <w:b/>
                <w:bCs/>
                <w:color w:val="000000"/>
                <w:sz w:val="24"/>
              </w:rPr>
              <w:t>执行率（%）</w:t>
            </w:r>
          </w:p>
        </w:tc>
        <w:tc>
          <w:tcPr>
            <w:tcW w:w="1300" w:type="dxa"/>
            <w:tcBorders>
              <w:top w:val="nil"/>
              <w:left w:val="single" w:color="auto" w:sz="4" w:space="0"/>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得分</w:t>
            </w:r>
          </w:p>
        </w:tc>
      </w:tr>
      <w:tr>
        <w:tblPrEx>
          <w:tblCellMar>
            <w:top w:w="0" w:type="dxa"/>
            <w:left w:w="108" w:type="dxa"/>
            <w:bottom w:w="0" w:type="dxa"/>
            <w:right w:w="108" w:type="dxa"/>
          </w:tblCellMar>
        </w:tblPrEx>
        <w:trPr>
          <w:trHeight w:val="285" w:hRule="atLeast"/>
        </w:trPr>
        <w:tc>
          <w:tcPr>
            <w:tcW w:w="220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资金总额：</w:t>
            </w:r>
          </w:p>
        </w:tc>
        <w:tc>
          <w:tcPr>
            <w:tcW w:w="220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240,890,000.00</w:t>
            </w:r>
          </w:p>
        </w:tc>
        <w:tc>
          <w:tcPr>
            <w:tcW w:w="1934"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248,398,900.00</w:t>
            </w:r>
          </w:p>
        </w:tc>
        <w:tc>
          <w:tcPr>
            <w:tcW w:w="3719"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230,614,949.09</w:t>
            </w:r>
          </w:p>
        </w:tc>
        <w:tc>
          <w:tcPr>
            <w:tcW w:w="880" w:type="dxa"/>
            <w:tcBorders>
              <w:top w:val="nil"/>
              <w:left w:val="nil"/>
              <w:bottom w:val="single" w:color="auto" w:sz="4" w:space="0"/>
              <w:right w:val="single" w:color="auto" w:sz="4" w:space="0"/>
            </w:tcBorders>
            <w:shd w:val="clear" w:color="000000" w:fill="FFFFFF"/>
            <w:noWrap/>
            <w:vAlign w:val="center"/>
          </w:tcPr>
          <w:p>
            <w:pPr>
              <w:spacing w:line="240" w:lineRule="auto"/>
              <w:jc w:val="center"/>
              <w:rPr>
                <w:rFonts w:ascii="等线" w:eastAsia="等线" w:cs="宋体"/>
                <w:color w:val="000000"/>
                <w:sz w:val="22"/>
                <w:szCs w:val="22"/>
              </w:rPr>
            </w:pPr>
            <w:r>
              <w:rPr>
                <w:rFonts w:hint="eastAsia" w:ascii="等线" w:eastAsia="等线" w:cs="宋体"/>
                <w:color w:val="000000"/>
                <w:sz w:val="22"/>
                <w:szCs w:val="22"/>
              </w:rPr>
              <w:t xml:space="preserve">10.00 </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92.84</w:t>
            </w:r>
          </w:p>
        </w:tc>
        <w:tc>
          <w:tcPr>
            <w:tcW w:w="1300" w:type="dxa"/>
            <w:tcBorders>
              <w:top w:val="nil"/>
              <w:left w:val="nil"/>
              <w:bottom w:val="single" w:color="auto" w:sz="4" w:space="0"/>
              <w:right w:val="single" w:color="auto" w:sz="4" w:space="0"/>
            </w:tcBorders>
            <w:shd w:val="clear" w:color="000000" w:fill="FFFFFF"/>
            <w:noWrap/>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9.28</w:t>
            </w:r>
          </w:p>
        </w:tc>
      </w:tr>
      <w:tr>
        <w:tblPrEx>
          <w:tblCellMar>
            <w:top w:w="0" w:type="dxa"/>
            <w:left w:w="108" w:type="dxa"/>
            <w:bottom w:w="0" w:type="dxa"/>
            <w:right w:w="108" w:type="dxa"/>
          </w:tblCellMar>
        </w:tblPrEx>
        <w:trPr>
          <w:trHeight w:val="285" w:hRule="atLeast"/>
        </w:trPr>
        <w:tc>
          <w:tcPr>
            <w:tcW w:w="220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其中：财政资金：</w:t>
            </w:r>
          </w:p>
        </w:tc>
        <w:tc>
          <w:tcPr>
            <w:tcW w:w="220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240,890,000.00</w:t>
            </w:r>
          </w:p>
        </w:tc>
        <w:tc>
          <w:tcPr>
            <w:tcW w:w="1934"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248,398,900.00</w:t>
            </w:r>
          </w:p>
        </w:tc>
        <w:tc>
          <w:tcPr>
            <w:tcW w:w="3719"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230,614,949.09</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92.84</w:t>
            </w:r>
          </w:p>
        </w:tc>
        <w:tc>
          <w:tcPr>
            <w:tcW w:w="130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285" w:hRule="atLeast"/>
        </w:trPr>
        <w:tc>
          <w:tcPr>
            <w:tcW w:w="220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单位资金：</w:t>
            </w:r>
          </w:p>
        </w:tc>
        <w:tc>
          <w:tcPr>
            <w:tcW w:w="220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1934"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3719" w:type="dxa"/>
            <w:gridSpan w:val="4"/>
            <w:tcBorders>
              <w:top w:val="nil"/>
              <w:left w:val="nil"/>
              <w:bottom w:val="nil"/>
              <w:right w:val="nil"/>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880" w:type="dxa"/>
            <w:tcBorders>
              <w:top w:val="nil"/>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w:t>
            </w:r>
          </w:p>
        </w:tc>
        <w:tc>
          <w:tcPr>
            <w:tcW w:w="130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285" w:hRule="atLeast"/>
        </w:trPr>
        <w:tc>
          <w:tcPr>
            <w:tcW w:w="220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财政专户管理资金：</w:t>
            </w:r>
          </w:p>
        </w:tc>
        <w:tc>
          <w:tcPr>
            <w:tcW w:w="220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1934"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3719"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w:t>
            </w:r>
          </w:p>
        </w:tc>
        <w:tc>
          <w:tcPr>
            <w:tcW w:w="130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285" w:hRule="atLeast"/>
        </w:trPr>
        <w:tc>
          <w:tcPr>
            <w:tcW w:w="6343"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年度目标</w:t>
            </w:r>
          </w:p>
        </w:tc>
        <w:tc>
          <w:tcPr>
            <w:tcW w:w="6777" w:type="dxa"/>
            <w:gridSpan w:val="7"/>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年度目标完成情况</w:t>
            </w:r>
          </w:p>
        </w:tc>
      </w:tr>
      <w:tr>
        <w:tblPrEx>
          <w:tblCellMar>
            <w:top w:w="0" w:type="dxa"/>
            <w:left w:w="108" w:type="dxa"/>
            <w:bottom w:w="0" w:type="dxa"/>
            <w:right w:w="108" w:type="dxa"/>
          </w:tblCellMar>
        </w:tblPrEx>
        <w:trPr>
          <w:trHeight w:val="510" w:hRule="atLeast"/>
        </w:trPr>
        <w:tc>
          <w:tcPr>
            <w:tcW w:w="6343" w:type="dxa"/>
            <w:gridSpan w:val="5"/>
            <w:tcBorders>
              <w:top w:val="single" w:color="auto" w:sz="4" w:space="0"/>
              <w:left w:val="single" w:color="auto" w:sz="4" w:space="0"/>
              <w:bottom w:val="single" w:color="auto" w:sz="4" w:space="0"/>
              <w:right w:val="single" w:color="000000" w:sz="4" w:space="0"/>
            </w:tcBorders>
            <w:shd w:val="clear" w:color="000000" w:fill="FFFFFF"/>
          </w:tcPr>
          <w:p>
            <w:pPr>
              <w:spacing w:line="240" w:lineRule="auto"/>
              <w:rPr>
                <w:rFonts w:ascii="等线" w:eastAsia="等线" w:cs="宋体"/>
                <w:color w:val="000000"/>
                <w:sz w:val="22"/>
                <w:szCs w:val="22"/>
              </w:rPr>
            </w:pPr>
            <w:r>
              <w:rPr>
                <w:rFonts w:hint="eastAsia" w:ascii="等线" w:eastAsia="等线" w:cs="宋体"/>
                <w:color w:val="000000"/>
                <w:sz w:val="22"/>
                <w:szCs w:val="22"/>
              </w:rPr>
              <w:t>对义务教育学生免费提供教科书</w:t>
            </w:r>
          </w:p>
        </w:tc>
        <w:tc>
          <w:tcPr>
            <w:tcW w:w="6777" w:type="dxa"/>
            <w:gridSpan w:val="7"/>
            <w:tcBorders>
              <w:top w:val="single" w:color="auto" w:sz="4" w:space="0"/>
              <w:left w:val="nil"/>
              <w:bottom w:val="single" w:color="auto" w:sz="4" w:space="0"/>
              <w:right w:val="single" w:color="000000" w:sz="4" w:space="0"/>
            </w:tcBorders>
            <w:shd w:val="clear" w:color="000000" w:fill="FFFFFF"/>
          </w:tcPr>
          <w:p>
            <w:pPr>
              <w:spacing w:line="240" w:lineRule="auto"/>
              <w:rPr>
                <w:rFonts w:ascii="等线" w:eastAsia="等线" w:cs="宋体"/>
                <w:color w:val="000000"/>
                <w:sz w:val="22"/>
                <w:szCs w:val="22"/>
              </w:rPr>
            </w:pPr>
            <w:r>
              <w:rPr>
                <w:rFonts w:hint="eastAsia" w:ascii="等线" w:eastAsia="等线" w:cs="宋体"/>
                <w:color w:val="000000"/>
                <w:sz w:val="22"/>
                <w:szCs w:val="22"/>
              </w:rPr>
              <w:t>对完全义务教育阶段学生免费提供教科书，完成了年度目标。</w:t>
            </w:r>
          </w:p>
        </w:tc>
      </w:tr>
      <w:tr>
        <w:tblPrEx>
          <w:tblCellMar>
            <w:top w:w="0" w:type="dxa"/>
            <w:left w:w="108" w:type="dxa"/>
            <w:bottom w:w="0" w:type="dxa"/>
            <w:right w:w="108" w:type="dxa"/>
          </w:tblCellMar>
        </w:tblPrEx>
        <w:trPr>
          <w:trHeight w:val="570" w:hRule="atLeast"/>
        </w:trPr>
        <w:tc>
          <w:tcPr>
            <w:tcW w:w="1103" w:type="dxa"/>
            <w:tcBorders>
              <w:top w:val="nil"/>
              <w:left w:val="single" w:color="auto" w:sz="4" w:space="0"/>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一级指标</w:t>
            </w:r>
          </w:p>
        </w:tc>
        <w:tc>
          <w:tcPr>
            <w:tcW w:w="1100"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二级指标</w:t>
            </w:r>
          </w:p>
        </w:tc>
        <w:tc>
          <w:tcPr>
            <w:tcW w:w="2603" w:type="dxa"/>
            <w:gridSpan w:val="2"/>
            <w:tcBorders>
              <w:top w:val="single" w:color="auto" w:sz="4" w:space="0"/>
              <w:left w:val="nil"/>
              <w:bottom w:val="single" w:color="auto" w:sz="4" w:space="0"/>
              <w:right w:val="single" w:color="000000"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三级指标</w:t>
            </w:r>
          </w:p>
        </w:tc>
        <w:tc>
          <w:tcPr>
            <w:tcW w:w="1537"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指标性质</w:t>
            </w:r>
          </w:p>
        </w:tc>
        <w:tc>
          <w:tcPr>
            <w:tcW w:w="954"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年度指标值</w:t>
            </w:r>
          </w:p>
        </w:tc>
        <w:tc>
          <w:tcPr>
            <w:tcW w:w="867"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度量单位</w:t>
            </w:r>
          </w:p>
        </w:tc>
        <w:tc>
          <w:tcPr>
            <w:tcW w:w="912"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实际完成值</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完成率</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分值</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得分</w:t>
            </w:r>
          </w:p>
        </w:tc>
        <w:tc>
          <w:tcPr>
            <w:tcW w:w="1300" w:type="dxa"/>
            <w:tcBorders>
              <w:top w:val="nil"/>
              <w:left w:val="nil"/>
              <w:bottom w:val="single" w:color="auto" w:sz="4" w:space="0"/>
              <w:right w:val="nil"/>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未完成原因分析</w:t>
            </w:r>
          </w:p>
        </w:tc>
      </w:tr>
      <w:tr>
        <w:trPr>
          <w:trHeight w:val="623" w:hRule="atLeast"/>
        </w:trPr>
        <w:tc>
          <w:tcPr>
            <w:tcW w:w="1103"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产出指标</w:t>
            </w:r>
          </w:p>
        </w:tc>
        <w:tc>
          <w:tcPr>
            <w:tcW w:w="1100"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数量指标</w:t>
            </w:r>
          </w:p>
        </w:tc>
        <w:tc>
          <w:tcPr>
            <w:tcW w:w="2603"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项目免费教科书学生比例</w:t>
            </w:r>
          </w:p>
        </w:tc>
        <w:tc>
          <w:tcPr>
            <w:tcW w:w="153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54"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99.99</w:t>
            </w:r>
          </w:p>
        </w:tc>
        <w:tc>
          <w:tcPr>
            <w:tcW w:w="86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12"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30.00</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30</w:t>
            </w:r>
          </w:p>
        </w:tc>
        <w:tc>
          <w:tcPr>
            <w:tcW w:w="1300" w:type="dxa"/>
            <w:tcBorders>
              <w:top w:val="nil"/>
              <w:left w:val="nil"/>
              <w:bottom w:val="single" w:color="auto" w:sz="4" w:space="0"/>
              <w:right w:val="single" w:color="auto" w:sz="4" w:space="0"/>
            </w:tcBorders>
            <w:shd w:val="clear" w:color="000000" w:fill="FFFFFF"/>
            <w:noWrap/>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1103"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产出指标</w:t>
            </w:r>
          </w:p>
        </w:tc>
        <w:tc>
          <w:tcPr>
            <w:tcW w:w="1100"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质量指标</w:t>
            </w:r>
          </w:p>
        </w:tc>
        <w:tc>
          <w:tcPr>
            <w:tcW w:w="2603"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教科书合格率</w:t>
            </w:r>
          </w:p>
        </w:tc>
        <w:tc>
          <w:tcPr>
            <w:tcW w:w="153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54"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97</w:t>
            </w:r>
          </w:p>
        </w:tc>
        <w:tc>
          <w:tcPr>
            <w:tcW w:w="86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12"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30.00</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30</w:t>
            </w:r>
          </w:p>
        </w:tc>
        <w:tc>
          <w:tcPr>
            <w:tcW w:w="1300" w:type="dxa"/>
            <w:tcBorders>
              <w:top w:val="nil"/>
              <w:left w:val="nil"/>
              <w:bottom w:val="single" w:color="auto" w:sz="4" w:space="0"/>
              <w:right w:val="single" w:color="auto" w:sz="4" w:space="0"/>
            </w:tcBorders>
            <w:shd w:val="clear" w:color="000000" w:fill="FFFFFF"/>
            <w:noWrap/>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1103"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效益指标</w:t>
            </w:r>
          </w:p>
        </w:tc>
        <w:tc>
          <w:tcPr>
            <w:tcW w:w="1100"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社会效益指标</w:t>
            </w:r>
          </w:p>
        </w:tc>
        <w:tc>
          <w:tcPr>
            <w:tcW w:w="2603"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提升义务教育巩固率</w:t>
            </w:r>
          </w:p>
        </w:tc>
        <w:tc>
          <w:tcPr>
            <w:tcW w:w="153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54"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92</w:t>
            </w:r>
          </w:p>
        </w:tc>
        <w:tc>
          <w:tcPr>
            <w:tcW w:w="86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12"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95.9</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15.00</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15</w:t>
            </w:r>
          </w:p>
        </w:tc>
        <w:tc>
          <w:tcPr>
            <w:tcW w:w="1300" w:type="dxa"/>
            <w:tcBorders>
              <w:top w:val="nil"/>
              <w:left w:val="nil"/>
              <w:bottom w:val="single" w:color="auto" w:sz="4" w:space="0"/>
              <w:right w:val="single" w:color="auto" w:sz="4" w:space="0"/>
            </w:tcBorders>
            <w:shd w:val="clear" w:color="000000" w:fill="FFFFFF"/>
            <w:noWrap/>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1103"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满意度指标</w:t>
            </w:r>
          </w:p>
        </w:tc>
        <w:tc>
          <w:tcPr>
            <w:tcW w:w="1100"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服务对象满意度</w:t>
            </w:r>
          </w:p>
        </w:tc>
        <w:tc>
          <w:tcPr>
            <w:tcW w:w="2603"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师生满意度</w:t>
            </w:r>
          </w:p>
        </w:tc>
        <w:tc>
          <w:tcPr>
            <w:tcW w:w="153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54"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85</w:t>
            </w:r>
          </w:p>
        </w:tc>
        <w:tc>
          <w:tcPr>
            <w:tcW w:w="86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12"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90</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15.00</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15</w:t>
            </w:r>
          </w:p>
        </w:tc>
        <w:tc>
          <w:tcPr>
            <w:tcW w:w="1300" w:type="dxa"/>
            <w:tcBorders>
              <w:top w:val="nil"/>
              <w:left w:val="nil"/>
              <w:bottom w:val="single" w:color="auto" w:sz="4" w:space="0"/>
              <w:right w:val="single" w:color="auto" w:sz="4" w:space="0"/>
            </w:tcBorders>
            <w:shd w:val="clear" w:color="000000" w:fill="FFFFFF"/>
            <w:noWrap/>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10062" w:type="dxa"/>
            <w:gridSpan w:val="9"/>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合计</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99.28</w:t>
            </w:r>
          </w:p>
        </w:tc>
        <w:tc>
          <w:tcPr>
            <w:tcW w:w="1300" w:type="dxa"/>
            <w:tcBorders>
              <w:top w:val="nil"/>
              <w:left w:val="nil"/>
              <w:bottom w:val="single" w:color="auto" w:sz="4" w:space="0"/>
              <w:right w:val="single" w:color="auto" w:sz="4" w:space="0"/>
            </w:tcBorders>
            <w:shd w:val="clear" w:color="000000" w:fill="FFFFFF"/>
            <w:noWrap/>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bl>
    <w:p>
      <w:pPr>
        <w:spacing w:line="560" w:lineRule="exact"/>
        <w:ind w:firstLine="640" w:firstLineChars="200"/>
        <w:rPr>
          <w:rFonts w:ascii="仿宋" w:hAnsi="仿宋" w:eastAsia="仿宋"/>
          <w:color w:val="000000"/>
          <w:szCs w:val="32"/>
        </w:rPr>
      </w:pPr>
      <w:r>
        <w:rPr>
          <w:rFonts w:hint="eastAsia" w:ascii="仿宋" w:hAnsi="仿宋" w:eastAsia="仿宋"/>
          <w:color w:val="000000"/>
          <w:szCs w:val="32"/>
        </w:rPr>
        <w:t>城乡义务教育补助项目绩效自评报告：根据年初设定的绩效目标，项目绩效自评得分为99.28分。全年预算数为24839.89万元，执行数为23061.50万元，完成预算的92.84%。项目绩效目标完成情况：完成对完全义务教育阶段学生免费提供教科书，有效提升义务教育巩固率。发现的主要问题及原因：无。下一步改进措施：无。</w:t>
      </w:r>
    </w:p>
    <w:p>
      <w:pPr>
        <w:spacing w:line="560" w:lineRule="exact"/>
        <w:ind w:firstLine="640" w:firstLineChars="200"/>
        <w:jc w:val="both"/>
        <w:rPr>
          <w:rFonts w:ascii="仿宋_GB2312"/>
          <w:color w:val="000000"/>
          <w:szCs w:val="32"/>
        </w:rPr>
        <w:sectPr>
          <w:pgSz w:w="16838" w:h="11906" w:orient="landscape"/>
          <w:pgMar w:top="1797" w:right="1440" w:bottom="1797" w:left="1440" w:header="851" w:footer="992" w:gutter="0"/>
          <w:pgNumType w:fmt="decimal"/>
          <w:cols w:space="425" w:num="1"/>
          <w:docGrid w:type="linesAndChars" w:linePitch="312" w:charSpace="0"/>
        </w:sectPr>
      </w:pPr>
    </w:p>
    <w:p>
      <w:pPr>
        <w:spacing w:line="560" w:lineRule="exact"/>
        <w:jc w:val="both"/>
        <w:rPr>
          <w:rFonts w:ascii="仿宋" w:hAnsi="仿宋" w:eastAsia="仿宋" w:cs="楷体"/>
          <w:bCs/>
          <w:color w:val="000000"/>
          <w:szCs w:val="32"/>
        </w:rPr>
      </w:pPr>
      <w:r>
        <w:rPr>
          <w:rFonts w:hint="eastAsia" w:ascii="仿宋" w:hAnsi="仿宋" w:eastAsia="仿宋" w:cs="楷体"/>
          <w:bCs/>
          <w:color w:val="000000"/>
          <w:szCs w:val="32"/>
        </w:rPr>
        <w:t xml:space="preserve">    </w:t>
      </w:r>
      <w:r>
        <w:rPr>
          <w:rFonts w:hint="eastAsia" w:ascii="仿宋" w:hAnsi="仿宋" w:eastAsia="仿宋" w:cs="宋体"/>
          <w:color w:val="000000"/>
          <w:szCs w:val="32"/>
        </w:rPr>
        <w:t>高水平大学和一流学科建设项目自评表：</w:t>
      </w:r>
    </w:p>
    <w:tbl>
      <w:tblPr>
        <w:tblStyle w:val="13"/>
        <w:tblW w:w="13460" w:type="dxa"/>
        <w:tblInd w:w="103" w:type="dxa"/>
        <w:tblLayout w:type="autofit"/>
        <w:tblCellMar>
          <w:top w:w="0" w:type="dxa"/>
          <w:left w:w="108" w:type="dxa"/>
          <w:bottom w:w="0" w:type="dxa"/>
          <w:right w:w="108" w:type="dxa"/>
        </w:tblCellMar>
      </w:tblPr>
      <w:tblGrid>
        <w:gridCol w:w="1068"/>
        <w:gridCol w:w="1061"/>
        <w:gridCol w:w="2106"/>
        <w:gridCol w:w="1018"/>
        <w:gridCol w:w="1107"/>
        <w:gridCol w:w="933"/>
        <w:gridCol w:w="1007"/>
        <w:gridCol w:w="897"/>
        <w:gridCol w:w="986"/>
        <w:gridCol w:w="880"/>
        <w:gridCol w:w="875"/>
        <w:gridCol w:w="1300"/>
        <w:gridCol w:w="222"/>
      </w:tblGrid>
      <w:tr>
        <w:tblPrEx>
          <w:tblCellMar>
            <w:top w:w="0" w:type="dxa"/>
            <w:left w:w="108" w:type="dxa"/>
            <w:bottom w:w="0" w:type="dxa"/>
            <w:right w:w="108" w:type="dxa"/>
          </w:tblCellMar>
        </w:tblPrEx>
        <w:trPr>
          <w:trHeight w:val="510" w:hRule="atLeast"/>
        </w:trPr>
        <w:tc>
          <w:tcPr>
            <w:tcW w:w="13238" w:type="dxa"/>
            <w:gridSpan w:val="1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40"/>
                <w:szCs w:val="40"/>
              </w:rPr>
            </w:pPr>
            <w:r>
              <w:rPr>
                <w:rFonts w:hint="eastAsia" w:ascii="等线" w:eastAsia="等线" w:cs="宋体"/>
                <w:b/>
                <w:bCs/>
                <w:color w:val="000000"/>
                <w:sz w:val="40"/>
                <w:szCs w:val="40"/>
              </w:rPr>
              <w:t xml:space="preserve">项目支出绩效自评表 </w:t>
            </w:r>
          </w:p>
        </w:tc>
        <w:tc>
          <w:tcPr>
            <w:tcW w:w="222" w:type="dxa"/>
            <w:tcBorders>
              <w:top w:val="nil"/>
              <w:left w:val="nil"/>
              <w:bottom w:val="nil"/>
              <w:right w:val="nil"/>
            </w:tcBorders>
            <w:shd w:val="clear" w:color="000000" w:fill="FFFFFF"/>
            <w:noWrap/>
            <w:vAlign w:val="center"/>
          </w:tcPr>
          <w:p>
            <w:pPr>
              <w:spacing w:line="240" w:lineRule="auto"/>
              <w:rPr>
                <w:rFonts w:eastAsia="宋体" w:cs="宋体"/>
                <w:sz w:val="24"/>
              </w:rPr>
            </w:pPr>
            <w:r>
              <w:rPr>
                <w:rFonts w:hint="eastAsia" w:eastAsia="宋体" w:cs="宋体"/>
                <w:sz w:val="24"/>
              </w:rPr>
              <w:t>　</w:t>
            </w:r>
          </w:p>
        </w:tc>
      </w:tr>
      <w:tr>
        <w:tblPrEx>
          <w:tblCellMar>
            <w:top w:w="0" w:type="dxa"/>
            <w:left w:w="108" w:type="dxa"/>
            <w:bottom w:w="0" w:type="dxa"/>
            <w:right w:w="108" w:type="dxa"/>
          </w:tblCellMar>
        </w:tblPrEx>
        <w:trPr>
          <w:trHeight w:val="432" w:hRule="atLeast"/>
        </w:trPr>
        <w:tc>
          <w:tcPr>
            <w:tcW w:w="1068"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项目名称:</w:t>
            </w:r>
          </w:p>
        </w:tc>
        <w:tc>
          <w:tcPr>
            <w:tcW w:w="12170" w:type="dxa"/>
            <w:gridSpan w:val="11"/>
            <w:tcBorders>
              <w:top w:val="single" w:color="auto" w:sz="4" w:space="0"/>
              <w:left w:val="nil"/>
              <w:bottom w:val="single" w:color="auto" w:sz="4" w:space="0"/>
              <w:right w:val="single" w:color="000000" w:sz="4" w:space="0"/>
            </w:tcBorders>
            <w:shd w:val="clear" w:color="000000" w:fill="FFFFFF"/>
            <w:vAlign w:val="center"/>
          </w:tcPr>
          <w:p>
            <w:pPr>
              <w:spacing w:line="240" w:lineRule="auto"/>
              <w:jc w:val="center"/>
              <w:rPr>
                <w:rFonts w:ascii="等线" w:eastAsia="等线" w:cs="宋体"/>
                <w:color w:val="000000"/>
                <w:sz w:val="22"/>
                <w:szCs w:val="22"/>
              </w:rPr>
            </w:pPr>
            <w:r>
              <w:rPr>
                <w:rFonts w:hint="eastAsia" w:ascii="等线" w:eastAsia="等线" w:cs="宋体"/>
                <w:color w:val="000000"/>
                <w:sz w:val="22"/>
                <w:szCs w:val="22"/>
              </w:rPr>
              <w:t>高水平大学和一流学科建设</w:t>
            </w:r>
          </w:p>
        </w:tc>
        <w:tc>
          <w:tcPr>
            <w:tcW w:w="222" w:type="dxa"/>
            <w:tcBorders>
              <w:top w:val="nil"/>
              <w:left w:val="nil"/>
              <w:bottom w:val="nil"/>
              <w:right w:val="nil"/>
            </w:tcBorders>
            <w:shd w:val="clear" w:color="000000" w:fill="FFFFFF"/>
            <w:noWrap/>
            <w:vAlign w:val="center"/>
          </w:tcPr>
          <w:p>
            <w:pPr>
              <w:spacing w:line="240" w:lineRule="auto"/>
              <w:rPr>
                <w:rFonts w:eastAsia="宋体" w:cs="宋体"/>
                <w:sz w:val="24"/>
              </w:rPr>
            </w:pPr>
            <w:r>
              <w:rPr>
                <w:rFonts w:hint="eastAsia" w:eastAsia="宋体" w:cs="宋体"/>
                <w:sz w:val="24"/>
              </w:rPr>
              <w:t>　</w:t>
            </w:r>
          </w:p>
        </w:tc>
      </w:tr>
      <w:tr>
        <w:tblPrEx>
          <w:tblCellMar>
            <w:top w:w="0" w:type="dxa"/>
            <w:left w:w="108" w:type="dxa"/>
            <w:bottom w:w="0" w:type="dxa"/>
            <w:right w:w="108" w:type="dxa"/>
          </w:tblCellMar>
        </w:tblPrEx>
        <w:trPr>
          <w:trHeight w:val="398" w:hRule="atLeast"/>
        </w:trPr>
        <w:tc>
          <w:tcPr>
            <w:tcW w:w="1068"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主管部门:</w:t>
            </w:r>
          </w:p>
        </w:tc>
        <w:tc>
          <w:tcPr>
            <w:tcW w:w="4185" w:type="dxa"/>
            <w:gridSpan w:val="3"/>
            <w:tcBorders>
              <w:top w:val="single" w:color="auto" w:sz="4" w:space="0"/>
              <w:left w:val="nil"/>
              <w:bottom w:val="single" w:color="auto" w:sz="4" w:space="0"/>
              <w:right w:val="single" w:color="000000"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203-省教育厅</w:t>
            </w:r>
          </w:p>
        </w:tc>
        <w:tc>
          <w:tcPr>
            <w:tcW w:w="110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实施单位:</w:t>
            </w:r>
          </w:p>
        </w:tc>
        <w:tc>
          <w:tcPr>
            <w:tcW w:w="6878" w:type="dxa"/>
            <w:gridSpan w:val="7"/>
            <w:tcBorders>
              <w:top w:val="single" w:color="auto" w:sz="4" w:space="0"/>
              <w:left w:val="nil"/>
              <w:bottom w:val="single" w:color="auto" w:sz="4" w:space="0"/>
              <w:right w:val="single" w:color="000000"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203006001-海南大学本级</w:t>
            </w:r>
          </w:p>
        </w:tc>
        <w:tc>
          <w:tcPr>
            <w:tcW w:w="222" w:type="dxa"/>
            <w:tcBorders>
              <w:top w:val="nil"/>
              <w:left w:val="nil"/>
              <w:bottom w:val="nil"/>
              <w:right w:val="nil"/>
            </w:tcBorders>
            <w:shd w:val="clear" w:color="000000" w:fill="FFFFFF"/>
            <w:noWrap/>
            <w:vAlign w:val="center"/>
          </w:tcPr>
          <w:p>
            <w:pPr>
              <w:spacing w:line="240" w:lineRule="auto"/>
              <w:rPr>
                <w:rFonts w:eastAsia="宋体" w:cs="宋体"/>
                <w:sz w:val="24"/>
              </w:rPr>
            </w:pPr>
            <w:r>
              <w:rPr>
                <w:rFonts w:hint="eastAsia" w:eastAsia="宋体" w:cs="宋体"/>
                <w:sz w:val="24"/>
              </w:rPr>
              <w:t>　</w:t>
            </w:r>
          </w:p>
        </w:tc>
      </w:tr>
      <w:tr>
        <w:tblPrEx>
          <w:tblCellMar>
            <w:top w:w="0" w:type="dxa"/>
            <w:left w:w="108" w:type="dxa"/>
            <w:bottom w:w="0" w:type="dxa"/>
            <w:right w:w="108" w:type="dxa"/>
          </w:tblCellMar>
        </w:tblPrEx>
        <w:trPr>
          <w:trHeight w:val="315" w:hRule="atLeast"/>
        </w:trPr>
        <w:tc>
          <w:tcPr>
            <w:tcW w:w="2129"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资金构成(元)</w:t>
            </w:r>
          </w:p>
        </w:tc>
        <w:tc>
          <w:tcPr>
            <w:tcW w:w="2106" w:type="dxa"/>
            <w:tcBorders>
              <w:top w:val="nil"/>
              <w:left w:val="nil"/>
              <w:bottom w:val="single" w:color="auto" w:sz="4" w:space="0"/>
              <w:right w:val="nil"/>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年初预算数</w:t>
            </w:r>
          </w:p>
        </w:tc>
        <w:tc>
          <w:tcPr>
            <w:tcW w:w="212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全年预算数</w:t>
            </w:r>
          </w:p>
        </w:tc>
        <w:tc>
          <w:tcPr>
            <w:tcW w:w="3823"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执行数</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分值</w:t>
            </w:r>
          </w:p>
        </w:tc>
        <w:tc>
          <w:tcPr>
            <w:tcW w:w="875" w:type="dxa"/>
            <w:tcBorders>
              <w:top w:val="nil"/>
              <w:left w:val="nil"/>
              <w:bottom w:val="single" w:color="auto" w:sz="4" w:space="0"/>
              <w:right w:val="nil"/>
            </w:tcBorders>
            <w:shd w:val="clear" w:color="000000" w:fill="FFFFFF"/>
            <w:vAlign w:val="center"/>
          </w:tcPr>
          <w:p>
            <w:pPr>
              <w:spacing w:line="240" w:lineRule="auto"/>
              <w:rPr>
                <w:rFonts w:ascii="等线" w:eastAsia="等线" w:cs="宋体"/>
                <w:b/>
                <w:bCs/>
                <w:color w:val="000000"/>
                <w:sz w:val="24"/>
              </w:rPr>
            </w:pPr>
            <w:r>
              <w:rPr>
                <w:rFonts w:hint="eastAsia" w:ascii="等线" w:eastAsia="等线" w:cs="宋体"/>
                <w:b/>
                <w:bCs/>
                <w:color w:val="000000"/>
                <w:sz w:val="24"/>
              </w:rPr>
              <w:t>执行率（%）</w:t>
            </w:r>
          </w:p>
        </w:tc>
        <w:tc>
          <w:tcPr>
            <w:tcW w:w="1300" w:type="dxa"/>
            <w:tcBorders>
              <w:top w:val="nil"/>
              <w:left w:val="single" w:color="auto" w:sz="4" w:space="0"/>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得分</w:t>
            </w:r>
          </w:p>
        </w:tc>
        <w:tc>
          <w:tcPr>
            <w:tcW w:w="222" w:type="dxa"/>
            <w:tcBorders>
              <w:top w:val="nil"/>
              <w:left w:val="nil"/>
              <w:bottom w:val="nil"/>
              <w:right w:val="nil"/>
            </w:tcBorders>
            <w:shd w:val="clear" w:color="000000" w:fill="FFFFFF"/>
            <w:noWrap/>
            <w:vAlign w:val="center"/>
          </w:tcPr>
          <w:p>
            <w:pPr>
              <w:spacing w:line="240" w:lineRule="auto"/>
              <w:rPr>
                <w:rFonts w:eastAsia="宋体" w:cs="宋体"/>
                <w:sz w:val="24"/>
              </w:rPr>
            </w:pPr>
            <w:r>
              <w:rPr>
                <w:rFonts w:hint="eastAsia" w:eastAsia="宋体" w:cs="宋体"/>
                <w:sz w:val="24"/>
              </w:rPr>
              <w:t>　</w:t>
            </w:r>
          </w:p>
        </w:tc>
      </w:tr>
      <w:tr>
        <w:tblPrEx>
          <w:tblCellMar>
            <w:top w:w="0" w:type="dxa"/>
            <w:left w:w="108" w:type="dxa"/>
            <w:bottom w:w="0" w:type="dxa"/>
            <w:right w:w="108" w:type="dxa"/>
          </w:tblCellMar>
        </w:tblPrEx>
        <w:trPr>
          <w:trHeight w:val="285" w:hRule="atLeast"/>
        </w:trPr>
        <w:tc>
          <w:tcPr>
            <w:tcW w:w="212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资金总额：</w:t>
            </w:r>
          </w:p>
        </w:tc>
        <w:tc>
          <w:tcPr>
            <w:tcW w:w="210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975,332,300.00</w:t>
            </w:r>
          </w:p>
        </w:tc>
        <w:tc>
          <w:tcPr>
            <w:tcW w:w="2125"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975,332,300.00</w:t>
            </w:r>
          </w:p>
        </w:tc>
        <w:tc>
          <w:tcPr>
            <w:tcW w:w="3823"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672,156,987.09</w:t>
            </w:r>
          </w:p>
        </w:tc>
        <w:tc>
          <w:tcPr>
            <w:tcW w:w="880" w:type="dxa"/>
            <w:tcBorders>
              <w:top w:val="nil"/>
              <w:left w:val="nil"/>
              <w:bottom w:val="single" w:color="auto" w:sz="4" w:space="0"/>
              <w:right w:val="single" w:color="auto" w:sz="4" w:space="0"/>
            </w:tcBorders>
            <w:shd w:val="clear" w:color="000000" w:fill="FFFFFF"/>
            <w:noWrap/>
            <w:vAlign w:val="center"/>
          </w:tcPr>
          <w:p>
            <w:pPr>
              <w:spacing w:line="240" w:lineRule="auto"/>
              <w:jc w:val="center"/>
              <w:rPr>
                <w:rFonts w:ascii="等线" w:eastAsia="等线" w:cs="宋体"/>
                <w:color w:val="000000"/>
                <w:sz w:val="22"/>
                <w:szCs w:val="22"/>
              </w:rPr>
            </w:pPr>
            <w:r>
              <w:rPr>
                <w:rFonts w:hint="eastAsia" w:ascii="等线" w:eastAsia="等线" w:cs="宋体"/>
                <w:color w:val="000000"/>
                <w:sz w:val="22"/>
                <w:szCs w:val="22"/>
              </w:rPr>
              <w:t xml:space="preserve">10.00 </w:t>
            </w:r>
          </w:p>
        </w:tc>
        <w:tc>
          <w:tcPr>
            <w:tcW w:w="87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68.92</w:t>
            </w:r>
          </w:p>
        </w:tc>
        <w:tc>
          <w:tcPr>
            <w:tcW w:w="1300" w:type="dxa"/>
            <w:tcBorders>
              <w:top w:val="nil"/>
              <w:left w:val="nil"/>
              <w:bottom w:val="single" w:color="auto" w:sz="4" w:space="0"/>
              <w:right w:val="single" w:color="auto" w:sz="4" w:space="0"/>
            </w:tcBorders>
            <w:shd w:val="clear" w:color="000000" w:fill="FFFFFF"/>
            <w:noWrap/>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6.89</w:t>
            </w:r>
          </w:p>
        </w:tc>
        <w:tc>
          <w:tcPr>
            <w:tcW w:w="222" w:type="dxa"/>
            <w:tcBorders>
              <w:top w:val="nil"/>
              <w:left w:val="nil"/>
              <w:bottom w:val="nil"/>
              <w:right w:val="nil"/>
            </w:tcBorders>
            <w:shd w:val="clear" w:color="000000" w:fill="FFFFFF"/>
            <w:noWrap/>
            <w:vAlign w:val="center"/>
          </w:tcPr>
          <w:p>
            <w:pPr>
              <w:spacing w:line="240" w:lineRule="auto"/>
              <w:rPr>
                <w:rFonts w:eastAsia="宋体" w:cs="宋体"/>
                <w:sz w:val="24"/>
              </w:rPr>
            </w:pPr>
            <w:r>
              <w:rPr>
                <w:rFonts w:hint="eastAsia" w:eastAsia="宋体" w:cs="宋体"/>
                <w:sz w:val="24"/>
              </w:rPr>
              <w:t>　</w:t>
            </w:r>
          </w:p>
        </w:tc>
      </w:tr>
      <w:tr>
        <w:tblPrEx>
          <w:tblCellMar>
            <w:top w:w="0" w:type="dxa"/>
            <w:left w:w="108" w:type="dxa"/>
            <w:bottom w:w="0" w:type="dxa"/>
            <w:right w:w="108" w:type="dxa"/>
          </w:tblCellMar>
        </w:tblPrEx>
        <w:trPr>
          <w:trHeight w:val="285" w:hRule="atLeast"/>
        </w:trPr>
        <w:tc>
          <w:tcPr>
            <w:tcW w:w="212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其中：财政资金：</w:t>
            </w:r>
          </w:p>
        </w:tc>
        <w:tc>
          <w:tcPr>
            <w:tcW w:w="210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236,002,300.00</w:t>
            </w:r>
          </w:p>
        </w:tc>
        <w:tc>
          <w:tcPr>
            <w:tcW w:w="2125"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236,002,300.00</w:t>
            </w:r>
          </w:p>
        </w:tc>
        <w:tc>
          <w:tcPr>
            <w:tcW w:w="3823"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235,773,709.44</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c>
          <w:tcPr>
            <w:tcW w:w="87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99.9</w:t>
            </w:r>
          </w:p>
        </w:tc>
        <w:tc>
          <w:tcPr>
            <w:tcW w:w="130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c>
          <w:tcPr>
            <w:tcW w:w="222" w:type="dxa"/>
            <w:tcBorders>
              <w:top w:val="nil"/>
              <w:left w:val="nil"/>
              <w:bottom w:val="nil"/>
              <w:right w:val="nil"/>
            </w:tcBorders>
            <w:shd w:val="clear" w:color="000000" w:fill="FFFFFF"/>
            <w:noWrap/>
            <w:vAlign w:val="center"/>
          </w:tcPr>
          <w:p>
            <w:pPr>
              <w:spacing w:line="240" w:lineRule="auto"/>
              <w:rPr>
                <w:rFonts w:eastAsia="宋体" w:cs="宋体"/>
                <w:sz w:val="24"/>
              </w:rPr>
            </w:pPr>
            <w:r>
              <w:rPr>
                <w:rFonts w:hint="eastAsia" w:eastAsia="宋体" w:cs="宋体"/>
                <w:sz w:val="24"/>
              </w:rPr>
              <w:t>　</w:t>
            </w:r>
          </w:p>
        </w:tc>
      </w:tr>
      <w:tr>
        <w:tblPrEx>
          <w:tblCellMar>
            <w:top w:w="0" w:type="dxa"/>
            <w:left w:w="108" w:type="dxa"/>
            <w:bottom w:w="0" w:type="dxa"/>
            <w:right w:w="108" w:type="dxa"/>
          </w:tblCellMar>
        </w:tblPrEx>
        <w:trPr>
          <w:trHeight w:val="285" w:hRule="atLeast"/>
        </w:trPr>
        <w:tc>
          <w:tcPr>
            <w:tcW w:w="212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单位资金：</w:t>
            </w:r>
          </w:p>
        </w:tc>
        <w:tc>
          <w:tcPr>
            <w:tcW w:w="210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729,330,000.00</w:t>
            </w:r>
          </w:p>
        </w:tc>
        <w:tc>
          <w:tcPr>
            <w:tcW w:w="2125"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729,330,000.00</w:t>
            </w:r>
          </w:p>
        </w:tc>
        <w:tc>
          <w:tcPr>
            <w:tcW w:w="3823" w:type="dxa"/>
            <w:gridSpan w:val="4"/>
            <w:tcBorders>
              <w:top w:val="nil"/>
              <w:left w:val="nil"/>
              <w:bottom w:val="nil"/>
              <w:right w:val="nil"/>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426,444,877.94</w:t>
            </w:r>
          </w:p>
        </w:tc>
        <w:tc>
          <w:tcPr>
            <w:tcW w:w="880" w:type="dxa"/>
            <w:tcBorders>
              <w:top w:val="nil"/>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c>
          <w:tcPr>
            <w:tcW w:w="87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58.47</w:t>
            </w:r>
          </w:p>
        </w:tc>
        <w:tc>
          <w:tcPr>
            <w:tcW w:w="130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c>
          <w:tcPr>
            <w:tcW w:w="222" w:type="dxa"/>
            <w:tcBorders>
              <w:top w:val="nil"/>
              <w:left w:val="nil"/>
              <w:bottom w:val="nil"/>
              <w:right w:val="nil"/>
            </w:tcBorders>
            <w:shd w:val="clear" w:color="000000" w:fill="FFFFFF"/>
            <w:noWrap/>
            <w:vAlign w:val="center"/>
          </w:tcPr>
          <w:p>
            <w:pPr>
              <w:spacing w:line="240" w:lineRule="auto"/>
              <w:rPr>
                <w:rFonts w:eastAsia="宋体" w:cs="宋体"/>
                <w:sz w:val="24"/>
              </w:rPr>
            </w:pPr>
            <w:r>
              <w:rPr>
                <w:rFonts w:hint="eastAsia" w:eastAsia="宋体" w:cs="宋体"/>
                <w:sz w:val="24"/>
              </w:rPr>
              <w:t>　</w:t>
            </w:r>
          </w:p>
        </w:tc>
      </w:tr>
      <w:tr>
        <w:tblPrEx>
          <w:tblCellMar>
            <w:top w:w="0" w:type="dxa"/>
            <w:left w:w="108" w:type="dxa"/>
            <w:bottom w:w="0" w:type="dxa"/>
            <w:right w:w="108" w:type="dxa"/>
          </w:tblCellMar>
        </w:tblPrEx>
        <w:trPr>
          <w:trHeight w:val="285" w:hRule="atLeast"/>
        </w:trPr>
        <w:tc>
          <w:tcPr>
            <w:tcW w:w="212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财政专户管理资金：</w:t>
            </w:r>
          </w:p>
        </w:tc>
        <w:tc>
          <w:tcPr>
            <w:tcW w:w="210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10,000,000.00</w:t>
            </w:r>
          </w:p>
        </w:tc>
        <w:tc>
          <w:tcPr>
            <w:tcW w:w="2125"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10,000,000.00</w:t>
            </w:r>
          </w:p>
        </w:tc>
        <w:tc>
          <w:tcPr>
            <w:tcW w:w="3823"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9,938,399.71</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c>
          <w:tcPr>
            <w:tcW w:w="87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99.38</w:t>
            </w:r>
          </w:p>
        </w:tc>
        <w:tc>
          <w:tcPr>
            <w:tcW w:w="130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c>
          <w:tcPr>
            <w:tcW w:w="222" w:type="dxa"/>
            <w:tcBorders>
              <w:top w:val="nil"/>
              <w:left w:val="nil"/>
              <w:bottom w:val="nil"/>
              <w:right w:val="nil"/>
            </w:tcBorders>
            <w:shd w:val="clear" w:color="000000" w:fill="FFFFFF"/>
            <w:noWrap/>
            <w:vAlign w:val="center"/>
          </w:tcPr>
          <w:p>
            <w:pPr>
              <w:spacing w:line="240" w:lineRule="auto"/>
              <w:rPr>
                <w:rFonts w:eastAsia="宋体" w:cs="宋体"/>
                <w:sz w:val="24"/>
              </w:rPr>
            </w:pPr>
            <w:r>
              <w:rPr>
                <w:rFonts w:hint="eastAsia" w:eastAsia="宋体" w:cs="宋体"/>
                <w:sz w:val="24"/>
              </w:rPr>
              <w:t>　</w:t>
            </w:r>
          </w:p>
        </w:tc>
      </w:tr>
      <w:tr>
        <w:tblPrEx>
          <w:tblCellMar>
            <w:top w:w="0" w:type="dxa"/>
            <w:left w:w="108" w:type="dxa"/>
            <w:bottom w:w="0" w:type="dxa"/>
            <w:right w:w="108" w:type="dxa"/>
          </w:tblCellMar>
        </w:tblPrEx>
        <w:trPr>
          <w:trHeight w:val="285" w:hRule="atLeast"/>
        </w:trPr>
        <w:tc>
          <w:tcPr>
            <w:tcW w:w="6360"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年度目标</w:t>
            </w:r>
          </w:p>
        </w:tc>
        <w:tc>
          <w:tcPr>
            <w:tcW w:w="6878" w:type="dxa"/>
            <w:gridSpan w:val="7"/>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年度目标完成情况</w:t>
            </w:r>
          </w:p>
        </w:tc>
        <w:tc>
          <w:tcPr>
            <w:tcW w:w="222" w:type="dxa"/>
            <w:tcBorders>
              <w:top w:val="nil"/>
              <w:left w:val="nil"/>
              <w:bottom w:val="nil"/>
              <w:right w:val="nil"/>
            </w:tcBorders>
            <w:shd w:val="clear" w:color="000000" w:fill="FFFFFF"/>
            <w:noWrap/>
            <w:vAlign w:val="center"/>
          </w:tcPr>
          <w:p>
            <w:pPr>
              <w:spacing w:line="240" w:lineRule="auto"/>
              <w:rPr>
                <w:rFonts w:eastAsia="宋体" w:cs="宋体"/>
                <w:sz w:val="24"/>
              </w:rPr>
            </w:pPr>
            <w:r>
              <w:rPr>
                <w:rFonts w:hint="eastAsia" w:eastAsia="宋体" w:cs="宋体"/>
                <w:sz w:val="24"/>
              </w:rPr>
              <w:t>　</w:t>
            </w:r>
          </w:p>
        </w:tc>
      </w:tr>
      <w:tr>
        <w:tblPrEx>
          <w:tblCellMar>
            <w:top w:w="0" w:type="dxa"/>
            <w:left w:w="108" w:type="dxa"/>
            <w:bottom w:w="0" w:type="dxa"/>
            <w:right w:w="108" w:type="dxa"/>
          </w:tblCellMar>
        </w:tblPrEx>
        <w:trPr>
          <w:trHeight w:val="2790" w:hRule="atLeast"/>
        </w:trPr>
        <w:tc>
          <w:tcPr>
            <w:tcW w:w="6360" w:type="dxa"/>
            <w:gridSpan w:val="5"/>
            <w:tcBorders>
              <w:top w:val="single" w:color="auto" w:sz="4" w:space="0"/>
              <w:left w:val="single" w:color="auto" w:sz="4" w:space="0"/>
              <w:bottom w:val="single" w:color="auto" w:sz="4" w:space="0"/>
              <w:right w:val="single" w:color="000000" w:sz="4" w:space="0"/>
            </w:tcBorders>
            <w:shd w:val="clear" w:color="000000" w:fill="FFFFFF"/>
          </w:tcPr>
          <w:p>
            <w:pPr>
              <w:spacing w:line="240" w:lineRule="auto"/>
              <w:rPr>
                <w:rFonts w:ascii="等线" w:eastAsia="等线" w:cs="宋体"/>
                <w:color w:val="000000"/>
                <w:sz w:val="22"/>
                <w:szCs w:val="22"/>
              </w:rPr>
            </w:pPr>
            <w:r>
              <w:rPr>
                <w:rFonts w:hint="eastAsia" w:ascii="等线" w:eastAsia="等线" w:cs="宋体"/>
                <w:color w:val="000000"/>
                <w:sz w:val="22"/>
                <w:szCs w:val="22"/>
              </w:rPr>
              <w:t>1、为推动海南大学创建世界一流学科、国内一流大学，学校分解压实各学科群人才引进与培养目标任务，加强与世界一流大学的联系和对接，加大国内外优秀人才引进力度，引育并举；</w:t>
            </w:r>
            <w:r>
              <w:rPr>
                <w:rFonts w:hint="eastAsia" w:ascii="等线" w:eastAsia="等线" w:cs="宋体"/>
                <w:color w:val="000000"/>
                <w:sz w:val="22"/>
                <w:szCs w:val="22"/>
              </w:rPr>
              <w:br w:type="textWrapping"/>
            </w:r>
            <w:r>
              <w:rPr>
                <w:rFonts w:hint="eastAsia" w:ascii="等线" w:eastAsia="等线" w:cs="宋体"/>
                <w:color w:val="000000"/>
                <w:sz w:val="22"/>
                <w:szCs w:val="22"/>
              </w:rPr>
              <w:t>2、学校全面深化综合改革，实施师资队伍能力提升工程，提升人才培养质量，深化内涵发展，不断追求卓越，为早日建成国内一流本科完成构梁架柱的基础性工作，学校师资队伍师资结构明显改善；</w:t>
            </w:r>
            <w:r>
              <w:rPr>
                <w:rFonts w:hint="eastAsia" w:ascii="等线" w:eastAsia="等线" w:cs="宋体"/>
                <w:color w:val="000000"/>
                <w:sz w:val="22"/>
                <w:szCs w:val="22"/>
              </w:rPr>
              <w:br w:type="textWrapping"/>
            </w:r>
            <w:r>
              <w:rPr>
                <w:rFonts w:hint="eastAsia" w:ascii="等线" w:eastAsia="等线" w:cs="宋体"/>
                <w:color w:val="000000"/>
                <w:sz w:val="22"/>
                <w:szCs w:val="22"/>
              </w:rPr>
              <w:t>3、完成教学实验室条件升级改造；</w:t>
            </w:r>
            <w:r>
              <w:rPr>
                <w:rFonts w:hint="eastAsia" w:ascii="等线" w:eastAsia="等线" w:cs="宋体"/>
                <w:color w:val="000000"/>
                <w:sz w:val="22"/>
                <w:szCs w:val="22"/>
              </w:rPr>
              <w:br w:type="textWrapping"/>
            </w:r>
            <w:r>
              <w:rPr>
                <w:rFonts w:hint="eastAsia" w:ascii="等线" w:eastAsia="等线" w:cs="宋体"/>
                <w:color w:val="000000"/>
                <w:sz w:val="22"/>
                <w:szCs w:val="22"/>
              </w:rPr>
              <w:t>4、提升国家重点实验室和协同创新中心的科研能力，显著提高学校国际化水平.</w:t>
            </w:r>
          </w:p>
        </w:tc>
        <w:tc>
          <w:tcPr>
            <w:tcW w:w="6878" w:type="dxa"/>
            <w:gridSpan w:val="7"/>
            <w:tcBorders>
              <w:top w:val="single" w:color="auto" w:sz="4" w:space="0"/>
              <w:left w:val="nil"/>
              <w:bottom w:val="single" w:color="auto" w:sz="4" w:space="0"/>
              <w:right w:val="single" w:color="000000" w:sz="4" w:space="0"/>
            </w:tcBorders>
            <w:shd w:val="clear" w:color="000000" w:fill="FFFFFF"/>
          </w:tcPr>
          <w:p>
            <w:pPr>
              <w:spacing w:line="240" w:lineRule="auto"/>
              <w:rPr>
                <w:rFonts w:ascii="等线" w:eastAsia="等线" w:cs="宋体"/>
                <w:color w:val="000000"/>
                <w:sz w:val="22"/>
                <w:szCs w:val="22"/>
              </w:rPr>
            </w:pPr>
            <w:r>
              <w:rPr>
                <w:rFonts w:hint="eastAsia" w:ascii="等线" w:eastAsia="等线" w:cs="宋体"/>
                <w:color w:val="000000"/>
                <w:sz w:val="22"/>
                <w:szCs w:val="22"/>
              </w:rPr>
              <w:t>整体来看，项目实施合理，年初设定的各项绩效目标基本达成。主要包括：购置教学仪器设备及教学软件达到2072台/套，举办大中小型校园招聘会达到114场次，开展学术交流活动达到74次，支持攻读博士人数（增量）29人，书院建设数量15座，实验室条件提升改造数量达到32个，发表SCI论文480篇，立项科研项目1449个，新引进人才数量301人，新增国家级、部级项目数量724个，在国内主流媒体刊载学校专题报道（专版）5篇，全校师生对学校办学水平的满意度达到95%，项目整体推动了海南大学基本办学条件提升，全面深化综合改革，促进了学校的持续健康发展。</w:t>
            </w:r>
          </w:p>
        </w:tc>
        <w:tc>
          <w:tcPr>
            <w:tcW w:w="222" w:type="dxa"/>
            <w:tcBorders>
              <w:top w:val="nil"/>
              <w:left w:val="nil"/>
              <w:bottom w:val="nil"/>
              <w:right w:val="nil"/>
            </w:tcBorders>
            <w:shd w:val="clear" w:color="000000" w:fill="FFFFFF"/>
            <w:noWrap/>
            <w:vAlign w:val="center"/>
          </w:tcPr>
          <w:p>
            <w:pPr>
              <w:spacing w:line="240" w:lineRule="auto"/>
              <w:rPr>
                <w:rFonts w:eastAsia="宋体" w:cs="宋体"/>
                <w:sz w:val="24"/>
              </w:rPr>
            </w:pPr>
            <w:r>
              <w:rPr>
                <w:rFonts w:hint="eastAsia" w:eastAsia="宋体" w:cs="宋体"/>
                <w:sz w:val="24"/>
              </w:rPr>
              <w:t>　</w:t>
            </w:r>
          </w:p>
        </w:tc>
      </w:tr>
      <w:tr>
        <w:tblPrEx>
          <w:tblCellMar>
            <w:top w:w="0" w:type="dxa"/>
            <w:left w:w="108" w:type="dxa"/>
            <w:bottom w:w="0" w:type="dxa"/>
            <w:right w:w="108" w:type="dxa"/>
          </w:tblCellMar>
        </w:tblPrEx>
        <w:trPr>
          <w:trHeight w:val="570" w:hRule="atLeast"/>
        </w:trPr>
        <w:tc>
          <w:tcPr>
            <w:tcW w:w="1068" w:type="dxa"/>
            <w:tcBorders>
              <w:top w:val="nil"/>
              <w:left w:val="single" w:color="auto" w:sz="4" w:space="0"/>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一级指标</w:t>
            </w:r>
          </w:p>
        </w:tc>
        <w:tc>
          <w:tcPr>
            <w:tcW w:w="1061"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二级指标</w:t>
            </w:r>
          </w:p>
        </w:tc>
        <w:tc>
          <w:tcPr>
            <w:tcW w:w="3124" w:type="dxa"/>
            <w:gridSpan w:val="2"/>
            <w:tcBorders>
              <w:top w:val="single" w:color="auto" w:sz="4" w:space="0"/>
              <w:left w:val="nil"/>
              <w:bottom w:val="single" w:color="auto" w:sz="4" w:space="0"/>
              <w:right w:val="single" w:color="000000"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三级指标</w:t>
            </w:r>
          </w:p>
        </w:tc>
        <w:tc>
          <w:tcPr>
            <w:tcW w:w="1107"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指标性质</w:t>
            </w:r>
          </w:p>
        </w:tc>
        <w:tc>
          <w:tcPr>
            <w:tcW w:w="933"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年度指标值</w:t>
            </w:r>
          </w:p>
        </w:tc>
        <w:tc>
          <w:tcPr>
            <w:tcW w:w="1007"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度量单位</w:t>
            </w:r>
          </w:p>
        </w:tc>
        <w:tc>
          <w:tcPr>
            <w:tcW w:w="897"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实际完成值</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完成率</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分值</w:t>
            </w:r>
          </w:p>
        </w:tc>
        <w:tc>
          <w:tcPr>
            <w:tcW w:w="875"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得分</w:t>
            </w:r>
          </w:p>
        </w:tc>
        <w:tc>
          <w:tcPr>
            <w:tcW w:w="1522"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未完成原因分析</w:t>
            </w:r>
          </w:p>
        </w:tc>
      </w:tr>
      <w:tr>
        <w:tblPrEx>
          <w:tblCellMar>
            <w:top w:w="0" w:type="dxa"/>
            <w:left w:w="108" w:type="dxa"/>
            <w:bottom w:w="0" w:type="dxa"/>
            <w:right w:w="108" w:type="dxa"/>
          </w:tblCellMar>
        </w:tblPrEx>
        <w:trPr>
          <w:trHeight w:val="1140" w:hRule="atLeast"/>
        </w:trPr>
        <w:tc>
          <w:tcPr>
            <w:tcW w:w="1068"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产出指标</w:t>
            </w:r>
          </w:p>
        </w:tc>
        <w:tc>
          <w:tcPr>
            <w:tcW w:w="1061"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数量指标</w:t>
            </w:r>
          </w:p>
        </w:tc>
        <w:tc>
          <w:tcPr>
            <w:tcW w:w="3124"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高层次人才培训人数</w:t>
            </w:r>
          </w:p>
        </w:tc>
        <w:tc>
          <w:tcPr>
            <w:tcW w:w="110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33"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60</w:t>
            </w:r>
          </w:p>
        </w:tc>
        <w:tc>
          <w:tcPr>
            <w:tcW w:w="100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人</w:t>
            </w:r>
          </w:p>
        </w:tc>
        <w:tc>
          <w:tcPr>
            <w:tcW w:w="897"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3</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5.00%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3.00</w:t>
            </w:r>
          </w:p>
        </w:tc>
        <w:tc>
          <w:tcPr>
            <w:tcW w:w="87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0.15</w:t>
            </w:r>
          </w:p>
        </w:tc>
        <w:tc>
          <w:tcPr>
            <w:tcW w:w="1522"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因疫情影响未举办高层次人才国情培训班</w:t>
            </w:r>
          </w:p>
        </w:tc>
      </w:tr>
      <w:tr>
        <w:tblPrEx>
          <w:tblCellMar>
            <w:top w:w="0" w:type="dxa"/>
            <w:left w:w="108" w:type="dxa"/>
            <w:bottom w:w="0" w:type="dxa"/>
            <w:right w:w="108" w:type="dxa"/>
          </w:tblCellMar>
        </w:tblPrEx>
        <w:trPr>
          <w:trHeight w:val="623" w:hRule="atLeast"/>
        </w:trPr>
        <w:tc>
          <w:tcPr>
            <w:tcW w:w="1068"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产出指标</w:t>
            </w:r>
          </w:p>
        </w:tc>
        <w:tc>
          <w:tcPr>
            <w:tcW w:w="1061"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数量指标</w:t>
            </w:r>
          </w:p>
        </w:tc>
        <w:tc>
          <w:tcPr>
            <w:tcW w:w="3124"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购置教学仪器设备及教学软件</w:t>
            </w:r>
          </w:p>
        </w:tc>
        <w:tc>
          <w:tcPr>
            <w:tcW w:w="110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33"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2000</w:t>
            </w:r>
          </w:p>
        </w:tc>
        <w:tc>
          <w:tcPr>
            <w:tcW w:w="100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台/套</w:t>
            </w:r>
          </w:p>
        </w:tc>
        <w:tc>
          <w:tcPr>
            <w:tcW w:w="897"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2072</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w:t>
            </w:r>
          </w:p>
        </w:tc>
        <w:tc>
          <w:tcPr>
            <w:tcW w:w="87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w:t>
            </w:r>
          </w:p>
        </w:tc>
        <w:tc>
          <w:tcPr>
            <w:tcW w:w="1522"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1068"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产出指标</w:t>
            </w:r>
          </w:p>
        </w:tc>
        <w:tc>
          <w:tcPr>
            <w:tcW w:w="1061"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数量指标</w:t>
            </w:r>
          </w:p>
        </w:tc>
        <w:tc>
          <w:tcPr>
            <w:tcW w:w="3124"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举办大中小型校园招聘会</w:t>
            </w:r>
          </w:p>
        </w:tc>
        <w:tc>
          <w:tcPr>
            <w:tcW w:w="110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33"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80</w:t>
            </w:r>
          </w:p>
        </w:tc>
        <w:tc>
          <w:tcPr>
            <w:tcW w:w="100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场次</w:t>
            </w:r>
          </w:p>
        </w:tc>
        <w:tc>
          <w:tcPr>
            <w:tcW w:w="897"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114</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2.00</w:t>
            </w:r>
          </w:p>
        </w:tc>
        <w:tc>
          <w:tcPr>
            <w:tcW w:w="87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w:t>
            </w:r>
          </w:p>
        </w:tc>
        <w:tc>
          <w:tcPr>
            <w:tcW w:w="1522"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1890" w:hRule="atLeast"/>
        </w:trPr>
        <w:tc>
          <w:tcPr>
            <w:tcW w:w="1068"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产出指标</w:t>
            </w:r>
          </w:p>
        </w:tc>
        <w:tc>
          <w:tcPr>
            <w:tcW w:w="1061"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数量指标</w:t>
            </w:r>
          </w:p>
        </w:tc>
        <w:tc>
          <w:tcPr>
            <w:tcW w:w="3124"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开展科研学术交流</w:t>
            </w:r>
          </w:p>
        </w:tc>
        <w:tc>
          <w:tcPr>
            <w:tcW w:w="110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33"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120</w:t>
            </w:r>
          </w:p>
        </w:tc>
        <w:tc>
          <w:tcPr>
            <w:tcW w:w="100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次</w:t>
            </w:r>
          </w:p>
        </w:tc>
        <w:tc>
          <w:tcPr>
            <w:tcW w:w="897"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74</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61.67%</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3.00</w:t>
            </w:r>
          </w:p>
        </w:tc>
        <w:tc>
          <w:tcPr>
            <w:tcW w:w="87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1.85</w:t>
            </w:r>
          </w:p>
        </w:tc>
        <w:tc>
          <w:tcPr>
            <w:tcW w:w="1522"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省内外新冠疫情反复，全国性学术会议举办延期，学术交流活动受影响</w:t>
            </w:r>
          </w:p>
        </w:tc>
      </w:tr>
      <w:tr>
        <w:tblPrEx>
          <w:tblCellMar>
            <w:top w:w="0" w:type="dxa"/>
            <w:left w:w="108" w:type="dxa"/>
            <w:bottom w:w="0" w:type="dxa"/>
            <w:right w:w="108" w:type="dxa"/>
          </w:tblCellMar>
        </w:tblPrEx>
        <w:trPr>
          <w:trHeight w:val="623" w:hRule="atLeast"/>
        </w:trPr>
        <w:tc>
          <w:tcPr>
            <w:tcW w:w="1068"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产出指标</w:t>
            </w:r>
          </w:p>
        </w:tc>
        <w:tc>
          <w:tcPr>
            <w:tcW w:w="1061"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数量指标</w:t>
            </w:r>
          </w:p>
        </w:tc>
        <w:tc>
          <w:tcPr>
            <w:tcW w:w="3124"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支持攻读博士人数（增量）</w:t>
            </w:r>
          </w:p>
        </w:tc>
        <w:tc>
          <w:tcPr>
            <w:tcW w:w="110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33"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16</w:t>
            </w:r>
          </w:p>
        </w:tc>
        <w:tc>
          <w:tcPr>
            <w:tcW w:w="100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人</w:t>
            </w:r>
          </w:p>
        </w:tc>
        <w:tc>
          <w:tcPr>
            <w:tcW w:w="897"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29</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4.00</w:t>
            </w:r>
          </w:p>
        </w:tc>
        <w:tc>
          <w:tcPr>
            <w:tcW w:w="87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4</w:t>
            </w:r>
          </w:p>
        </w:tc>
        <w:tc>
          <w:tcPr>
            <w:tcW w:w="1522"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1068"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效益指标</w:t>
            </w:r>
          </w:p>
        </w:tc>
        <w:tc>
          <w:tcPr>
            <w:tcW w:w="1061"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社会效益指标</w:t>
            </w:r>
          </w:p>
        </w:tc>
        <w:tc>
          <w:tcPr>
            <w:tcW w:w="3124"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书院建设数量</w:t>
            </w:r>
          </w:p>
        </w:tc>
        <w:tc>
          <w:tcPr>
            <w:tcW w:w="110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33"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w:t>
            </w:r>
          </w:p>
        </w:tc>
        <w:tc>
          <w:tcPr>
            <w:tcW w:w="100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座</w:t>
            </w:r>
          </w:p>
        </w:tc>
        <w:tc>
          <w:tcPr>
            <w:tcW w:w="897"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15</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3.00</w:t>
            </w:r>
          </w:p>
        </w:tc>
        <w:tc>
          <w:tcPr>
            <w:tcW w:w="87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3</w:t>
            </w:r>
          </w:p>
        </w:tc>
        <w:tc>
          <w:tcPr>
            <w:tcW w:w="1522"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1068"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效益指标</w:t>
            </w:r>
          </w:p>
        </w:tc>
        <w:tc>
          <w:tcPr>
            <w:tcW w:w="1061"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可持续发展指标</w:t>
            </w:r>
          </w:p>
        </w:tc>
        <w:tc>
          <w:tcPr>
            <w:tcW w:w="3124"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升级改造实验室数量</w:t>
            </w:r>
          </w:p>
        </w:tc>
        <w:tc>
          <w:tcPr>
            <w:tcW w:w="110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33"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24</w:t>
            </w:r>
          </w:p>
        </w:tc>
        <w:tc>
          <w:tcPr>
            <w:tcW w:w="100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个</w:t>
            </w:r>
          </w:p>
        </w:tc>
        <w:tc>
          <w:tcPr>
            <w:tcW w:w="897"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32</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12.00</w:t>
            </w:r>
          </w:p>
        </w:tc>
        <w:tc>
          <w:tcPr>
            <w:tcW w:w="87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12</w:t>
            </w:r>
          </w:p>
        </w:tc>
        <w:tc>
          <w:tcPr>
            <w:tcW w:w="1522"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1068"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效益指标</w:t>
            </w:r>
          </w:p>
        </w:tc>
        <w:tc>
          <w:tcPr>
            <w:tcW w:w="1061"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可持续影响</w:t>
            </w:r>
          </w:p>
        </w:tc>
        <w:tc>
          <w:tcPr>
            <w:tcW w:w="3124"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发表SCI论文</w:t>
            </w:r>
          </w:p>
        </w:tc>
        <w:tc>
          <w:tcPr>
            <w:tcW w:w="110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33"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350</w:t>
            </w:r>
          </w:p>
        </w:tc>
        <w:tc>
          <w:tcPr>
            <w:tcW w:w="100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篇</w:t>
            </w:r>
          </w:p>
        </w:tc>
        <w:tc>
          <w:tcPr>
            <w:tcW w:w="897"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480</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w:t>
            </w:r>
          </w:p>
        </w:tc>
        <w:tc>
          <w:tcPr>
            <w:tcW w:w="87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w:t>
            </w:r>
          </w:p>
        </w:tc>
        <w:tc>
          <w:tcPr>
            <w:tcW w:w="1522"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1068"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效益指标</w:t>
            </w:r>
          </w:p>
        </w:tc>
        <w:tc>
          <w:tcPr>
            <w:tcW w:w="1061"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可持续影响</w:t>
            </w:r>
          </w:p>
        </w:tc>
        <w:tc>
          <w:tcPr>
            <w:tcW w:w="3124"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立项科研项目</w:t>
            </w:r>
          </w:p>
        </w:tc>
        <w:tc>
          <w:tcPr>
            <w:tcW w:w="110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33"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800</w:t>
            </w:r>
          </w:p>
        </w:tc>
        <w:tc>
          <w:tcPr>
            <w:tcW w:w="100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个</w:t>
            </w:r>
          </w:p>
        </w:tc>
        <w:tc>
          <w:tcPr>
            <w:tcW w:w="897"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1449</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w:t>
            </w:r>
          </w:p>
        </w:tc>
        <w:tc>
          <w:tcPr>
            <w:tcW w:w="87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w:t>
            </w:r>
          </w:p>
        </w:tc>
        <w:tc>
          <w:tcPr>
            <w:tcW w:w="1522"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1068"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效益指标</w:t>
            </w:r>
          </w:p>
        </w:tc>
        <w:tc>
          <w:tcPr>
            <w:tcW w:w="1061"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可持续影响</w:t>
            </w:r>
          </w:p>
        </w:tc>
        <w:tc>
          <w:tcPr>
            <w:tcW w:w="3124"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新引进人才数量</w:t>
            </w:r>
          </w:p>
        </w:tc>
        <w:tc>
          <w:tcPr>
            <w:tcW w:w="110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33"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200</w:t>
            </w:r>
          </w:p>
        </w:tc>
        <w:tc>
          <w:tcPr>
            <w:tcW w:w="100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人</w:t>
            </w:r>
          </w:p>
        </w:tc>
        <w:tc>
          <w:tcPr>
            <w:tcW w:w="897"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301</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12.00</w:t>
            </w:r>
          </w:p>
        </w:tc>
        <w:tc>
          <w:tcPr>
            <w:tcW w:w="87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12</w:t>
            </w:r>
          </w:p>
        </w:tc>
        <w:tc>
          <w:tcPr>
            <w:tcW w:w="1522"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1068"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效益指标</w:t>
            </w:r>
          </w:p>
        </w:tc>
        <w:tc>
          <w:tcPr>
            <w:tcW w:w="1061"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可持续影响</w:t>
            </w:r>
          </w:p>
        </w:tc>
        <w:tc>
          <w:tcPr>
            <w:tcW w:w="3124"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新增国家级、部级项目数量</w:t>
            </w:r>
          </w:p>
        </w:tc>
        <w:tc>
          <w:tcPr>
            <w:tcW w:w="110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33"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25</w:t>
            </w:r>
          </w:p>
        </w:tc>
        <w:tc>
          <w:tcPr>
            <w:tcW w:w="100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个</w:t>
            </w:r>
          </w:p>
        </w:tc>
        <w:tc>
          <w:tcPr>
            <w:tcW w:w="897"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724</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w:t>
            </w:r>
          </w:p>
        </w:tc>
        <w:tc>
          <w:tcPr>
            <w:tcW w:w="87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w:t>
            </w:r>
          </w:p>
        </w:tc>
        <w:tc>
          <w:tcPr>
            <w:tcW w:w="1522"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1068"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效益指标</w:t>
            </w:r>
          </w:p>
        </w:tc>
        <w:tc>
          <w:tcPr>
            <w:tcW w:w="1061"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可持续影响</w:t>
            </w:r>
          </w:p>
        </w:tc>
        <w:tc>
          <w:tcPr>
            <w:tcW w:w="3124"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在国内主流媒体刊载学校专题报道（专版）</w:t>
            </w:r>
          </w:p>
        </w:tc>
        <w:tc>
          <w:tcPr>
            <w:tcW w:w="110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33"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5</w:t>
            </w:r>
          </w:p>
        </w:tc>
        <w:tc>
          <w:tcPr>
            <w:tcW w:w="100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篇</w:t>
            </w:r>
          </w:p>
        </w:tc>
        <w:tc>
          <w:tcPr>
            <w:tcW w:w="897"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5</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w:t>
            </w:r>
          </w:p>
        </w:tc>
        <w:tc>
          <w:tcPr>
            <w:tcW w:w="87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w:t>
            </w:r>
          </w:p>
        </w:tc>
        <w:tc>
          <w:tcPr>
            <w:tcW w:w="1522"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1068"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满意度指标</w:t>
            </w:r>
          </w:p>
        </w:tc>
        <w:tc>
          <w:tcPr>
            <w:tcW w:w="1061"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服务对象满意度</w:t>
            </w:r>
          </w:p>
        </w:tc>
        <w:tc>
          <w:tcPr>
            <w:tcW w:w="3124"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师生满意度</w:t>
            </w:r>
          </w:p>
        </w:tc>
        <w:tc>
          <w:tcPr>
            <w:tcW w:w="110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33"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92</w:t>
            </w:r>
          </w:p>
        </w:tc>
        <w:tc>
          <w:tcPr>
            <w:tcW w:w="100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897"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95</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w:t>
            </w:r>
          </w:p>
        </w:tc>
        <w:tc>
          <w:tcPr>
            <w:tcW w:w="87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w:t>
            </w:r>
          </w:p>
        </w:tc>
        <w:tc>
          <w:tcPr>
            <w:tcW w:w="1522"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10183" w:type="dxa"/>
            <w:gridSpan w:val="9"/>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合计</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7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92.89</w:t>
            </w:r>
          </w:p>
        </w:tc>
        <w:tc>
          <w:tcPr>
            <w:tcW w:w="1522"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bl>
    <w:p>
      <w:pPr>
        <w:spacing w:line="560" w:lineRule="exact"/>
        <w:ind w:firstLine="640" w:firstLineChars="200"/>
        <w:rPr>
          <w:rFonts w:ascii="仿宋" w:hAnsi="仿宋" w:eastAsia="仿宋"/>
          <w:color w:val="000000"/>
          <w:szCs w:val="32"/>
        </w:rPr>
      </w:pPr>
      <w:r>
        <w:rPr>
          <w:rFonts w:hint="eastAsia" w:ascii="仿宋" w:hAnsi="仿宋" w:eastAsia="仿宋"/>
          <w:color w:val="000000"/>
          <w:szCs w:val="32"/>
        </w:rPr>
        <w:t>高水平大学和一流学科建设项目绩效自评报告：根据年初设定的绩效目标，项目绩效自评得分为99.89分。全年预算数为23600.23万元，执行数为23577.37万元，完成预算的99.9%。项目绩效目标完成情况:</w:t>
      </w:r>
      <w:r>
        <w:rPr>
          <w:rFonts w:hint="eastAsia" w:ascii="仿宋" w:hAnsi="仿宋" w:eastAsia="仿宋" w:cs="宋体"/>
          <w:color w:val="000000"/>
          <w:szCs w:val="32"/>
        </w:rPr>
        <w:t>整体来看，项目实施合理，年初设定的各项绩效目标基本达成。主要包括：购置教学仪器设备及教学软件达到2072台/套，举办大中小型校园招聘会达到114场次，开展学术交流活动达到74次，支持攻读博士人数（增量）29人，书院建设数量15座，实验室条件提升改造数量达到32个，发表SCI论文480篇，立项科研项目1449个，新引进人才数量301人，新增国家级、部级项目数量724个，在国内主流媒体刊载学校专题报道（专版）5篇，全校师生对学校办学水平的满意度达到95%，项目整体推动了海南大学基本办学条件提升，全面深化综合改革，促进了学校的持续健康发展。</w:t>
      </w:r>
      <w:r>
        <w:rPr>
          <w:rFonts w:hint="eastAsia" w:ascii="仿宋" w:hAnsi="仿宋" w:eastAsia="仿宋"/>
          <w:color w:val="000000"/>
          <w:szCs w:val="32"/>
        </w:rPr>
        <w:t>发现的主要问题及原因：由于2022年新冠疫情形势严峻，需外出培训的高层次人才计划未如期举行，导致高层次人才培训人数未达到预期。下一步改进措施：一是不断完善人才引进制度，创新人才管理方式；二是在项目立项阶段，合理做好预算。</w:t>
      </w:r>
    </w:p>
    <w:p>
      <w:pPr>
        <w:spacing w:line="560" w:lineRule="exact"/>
        <w:ind w:firstLine="640" w:firstLineChars="200"/>
        <w:rPr>
          <w:rFonts w:hint="eastAsia" w:ascii="仿宋" w:hAnsi="仿宋" w:eastAsia="仿宋"/>
          <w:color w:val="000000"/>
          <w:szCs w:val="32"/>
        </w:rPr>
      </w:pPr>
    </w:p>
    <w:p>
      <w:pPr>
        <w:spacing w:line="560" w:lineRule="exact"/>
        <w:ind w:firstLine="640" w:firstLineChars="200"/>
        <w:rPr>
          <w:rFonts w:hint="eastAsia" w:ascii="仿宋" w:hAnsi="仿宋" w:eastAsia="仿宋"/>
          <w:color w:val="000000"/>
          <w:szCs w:val="32"/>
        </w:rPr>
      </w:pPr>
      <w:r>
        <w:rPr>
          <w:rFonts w:hint="eastAsia" w:ascii="仿宋" w:hAnsi="仿宋" w:eastAsia="仿宋"/>
          <w:color w:val="000000"/>
          <w:szCs w:val="32"/>
        </w:rPr>
        <w:t>引进国内外知名高校来海南办学补助项目绩效自评表：</w:t>
      </w:r>
    </w:p>
    <w:tbl>
      <w:tblPr>
        <w:tblStyle w:val="13"/>
        <w:tblW w:w="12800" w:type="dxa"/>
        <w:tblInd w:w="92" w:type="dxa"/>
        <w:tblLayout w:type="autofit"/>
        <w:tblCellMar>
          <w:top w:w="0" w:type="dxa"/>
          <w:left w:w="108" w:type="dxa"/>
          <w:bottom w:w="0" w:type="dxa"/>
          <w:right w:w="108" w:type="dxa"/>
        </w:tblCellMar>
      </w:tblPr>
      <w:tblGrid>
        <w:gridCol w:w="1053"/>
        <w:gridCol w:w="1042"/>
        <w:gridCol w:w="1858"/>
        <w:gridCol w:w="1008"/>
        <w:gridCol w:w="1102"/>
        <w:gridCol w:w="899"/>
        <w:gridCol w:w="988"/>
        <w:gridCol w:w="863"/>
        <w:gridCol w:w="986"/>
        <w:gridCol w:w="876"/>
        <w:gridCol w:w="865"/>
        <w:gridCol w:w="1260"/>
      </w:tblGrid>
      <w:tr>
        <w:tblPrEx>
          <w:tblCellMar>
            <w:top w:w="0" w:type="dxa"/>
            <w:left w:w="108" w:type="dxa"/>
            <w:bottom w:w="0" w:type="dxa"/>
            <w:right w:w="108" w:type="dxa"/>
          </w:tblCellMar>
        </w:tblPrEx>
        <w:trPr>
          <w:trHeight w:val="510" w:hRule="atLeast"/>
        </w:trPr>
        <w:tc>
          <w:tcPr>
            <w:tcW w:w="12800" w:type="dxa"/>
            <w:gridSpan w:val="12"/>
            <w:tcBorders>
              <w:top w:val="single" w:color="auto" w:sz="4" w:space="0"/>
              <w:left w:val="single" w:color="auto" w:sz="4" w:space="0"/>
              <w:bottom w:val="nil"/>
              <w:right w:val="single" w:color="auto" w:sz="4" w:space="0"/>
            </w:tcBorders>
            <w:shd w:val="clear" w:color="000000" w:fill="FFFFFF"/>
            <w:vAlign w:val="center"/>
          </w:tcPr>
          <w:p>
            <w:pPr>
              <w:spacing w:line="240" w:lineRule="auto"/>
              <w:jc w:val="center"/>
              <w:rPr>
                <w:rFonts w:ascii="等线" w:eastAsia="等线" w:cs="宋体"/>
                <w:b/>
                <w:bCs/>
                <w:color w:val="000000"/>
                <w:sz w:val="40"/>
                <w:szCs w:val="40"/>
              </w:rPr>
            </w:pPr>
            <w:r>
              <w:rPr>
                <w:rFonts w:hint="eastAsia" w:ascii="等线" w:eastAsia="等线" w:cs="宋体"/>
                <w:b/>
                <w:bCs/>
                <w:color w:val="000000"/>
                <w:sz w:val="40"/>
                <w:szCs w:val="40"/>
              </w:rPr>
              <w:t xml:space="preserve">项目支出绩效自评表 </w:t>
            </w:r>
          </w:p>
        </w:tc>
      </w:tr>
      <w:tr>
        <w:tblPrEx>
          <w:tblCellMar>
            <w:top w:w="0" w:type="dxa"/>
            <w:left w:w="108" w:type="dxa"/>
            <w:bottom w:w="0" w:type="dxa"/>
            <w:right w:w="108" w:type="dxa"/>
          </w:tblCellMar>
        </w:tblPrEx>
        <w:trPr>
          <w:trHeight w:val="432" w:hRule="atLeast"/>
        </w:trPr>
        <w:tc>
          <w:tcPr>
            <w:tcW w:w="1053"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项目名称:</w:t>
            </w:r>
          </w:p>
        </w:tc>
        <w:tc>
          <w:tcPr>
            <w:tcW w:w="11747" w:type="dxa"/>
            <w:gridSpan w:val="11"/>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color w:val="000000"/>
                <w:sz w:val="22"/>
                <w:szCs w:val="22"/>
              </w:rPr>
            </w:pPr>
            <w:r>
              <w:rPr>
                <w:rFonts w:hint="eastAsia" w:ascii="等线" w:eastAsia="等线" w:cs="宋体"/>
                <w:color w:val="000000"/>
                <w:sz w:val="22"/>
                <w:szCs w:val="22"/>
              </w:rPr>
              <w:t>引进国内外知名高校来海南办学补助项目</w:t>
            </w:r>
          </w:p>
        </w:tc>
      </w:tr>
      <w:tr>
        <w:tblPrEx>
          <w:tblCellMar>
            <w:top w:w="0" w:type="dxa"/>
            <w:left w:w="108" w:type="dxa"/>
            <w:bottom w:w="0" w:type="dxa"/>
            <w:right w:w="108" w:type="dxa"/>
          </w:tblCellMar>
        </w:tblPrEx>
        <w:trPr>
          <w:trHeight w:val="398" w:hRule="atLeast"/>
        </w:trPr>
        <w:tc>
          <w:tcPr>
            <w:tcW w:w="1053"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主管部门:</w:t>
            </w:r>
          </w:p>
        </w:tc>
        <w:tc>
          <w:tcPr>
            <w:tcW w:w="3908" w:type="dxa"/>
            <w:gridSpan w:val="3"/>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203-省教育厅</w:t>
            </w:r>
          </w:p>
        </w:tc>
        <w:tc>
          <w:tcPr>
            <w:tcW w:w="1102"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实施单位:</w:t>
            </w:r>
          </w:p>
        </w:tc>
        <w:tc>
          <w:tcPr>
            <w:tcW w:w="6737" w:type="dxa"/>
            <w:gridSpan w:val="7"/>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203001-省教育厅本级</w:t>
            </w:r>
          </w:p>
        </w:tc>
      </w:tr>
      <w:tr>
        <w:tblPrEx>
          <w:tblCellMar>
            <w:top w:w="0" w:type="dxa"/>
            <w:left w:w="108" w:type="dxa"/>
            <w:bottom w:w="0" w:type="dxa"/>
            <w:right w:w="108" w:type="dxa"/>
          </w:tblCellMar>
        </w:tblPrEx>
        <w:trPr>
          <w:trHeight w:val="315" w:hRule="atLeast"/>
        </w:trPr>
        <w:tc>
          <w:tcPr>
            <w:tcW w:w="209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资金构成(元)</w:t>
            </w:r>
          </w:p>
        </w:tc>
        <w:tc>
          <w:tcPr>
            <w:tcW w:w="1858"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年初预算数</w:t>
            </w:r>
          </w:p>
        </w:tc>
        <w:tc>
          <w:tcPr>
            <w:tcW w:w="2110"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全年预算数</w:t>
            </w:r>
          </w:p>
        </w:tc>
        <w:tc>
          <w:tcPr>
            <w:tcW w:w="3736"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执行数</w:t>
            </w:r>
          </w:p>
        </w:tc>
        <w:tc>
          <w:tcPr>
            <w:tcW w:w="876"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分值</w:t>
            </w:r>
          </w:p>
        </w:tc>
        <w:tc>
          <w:tcPr>
            <w:tcW w:w="865"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b/>
                <w:bCs/>
                <w:color w:val="000000"/>
                <w:sz w:val="24"/>
              </w:rPr>
            </w:pPr>
            <w:r>
              <w:rPr>
                <w:rFonts w:hint="eastAsia" w:ascii="等线" w:eastAsia="等线" w:cs="宋体"/>
                <w:b/>
                <w:bCs/>
                <w:color w:val="000000"/>
                <w:sz w:val="24"/>
              </w:rPr>
              <w:t>执行率（%）</w:t>
            </w:r>
          </w:p>
        </w:tc>
        <w:tc>
          <w:tcPr>
            <w:tcW w:w="1260"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得分</w:t>
            </w:r>
          </w:p>
        </w:tc>
      </w:tr>
      <w:tr>
        <w:tblPrEx>
          <w:tblCellMar>
            <w:top w:w="0" w:type="dxa"/>
            <w:left w:w="108" w:type="dxa"/>
            <w:bottom w:w="0" w:type="dxa"/>
            <w:right w:w="108" w:type="dxa"/>
          </w:tblCellMar>
        </w:tblPrEx>
        <w:trPr>
          <w:trHeight w:val="285" w:hRule="atLeast"/>
        </w:trPr>
        <w:tc>
          <w:tcPr>
            <w:tcW w:w="209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资金总额：</w:t>
            </w:r>
          </w:p>
        </w:tc>
        <w:tc>
          <w:tcPr>
            <w:tcW w:w="185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216,000,000.00</w:t>
            </w:r>
          </w:p>
        </w:tc>
        <w:tc>
          <w:tcPr>
            <w:tcW w:w="2110"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154,904,062.00</w:t>
            </w:r>
          </w:p>
        </w:tc>
        <w:tc>
          <w:tcPr>
            <w:tcW w:w="3736"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151,020,000.00</w:t>
            </w:r>
          </w:p>
        </w:tc>
        <w:tc>
          <w:tcPr>
            <w:tcW w:w="876" w:type="dxa"/>
            <w:tcBorders>
              <w:top w:val="nil"/>
              <w:left w:val="nil"/>
              <w:bottom w:val="single" w:color="auto" w:sz="4" w:space="0"/>
              <w:right w:val="single" w:color="auto" w:sz="4" w:space="0"/>
            </w:tcBorders>
            <w:shd w:val="clear" w:color="000000" w:fill="FFFFFF"/>
            <w:noWrap/>
            <w:vAlign w:val="center"/>
          </w:tcPr>
          <w:p>
            <w:pPr>
              <w:spacing w:line="240" w:lineRule="auto"/>
              <w:jc w:val="center"/>
              <w:rPr>
                <w:rFonts w:ascii="等线" w:eastAsia="等线" w:cs="宋体"/>
                <w:color w:val="000000"/>
                <w:sz w:val="22"/>
                <w:szCs w:val="22"/>
              </w:rPr>
            </w:pPr>
            <w:r>
              <w:rPr>
                <w:rFonts w:hint="eastAsia" w:ascii="等线" w:eastAsia="等线" w:cs="宋体"/>
                <w:color w:val="000000"/>
                <w:sz w:val="22"/>
                <w:szCs w:val="22"/>
              </w:rPr>
              <w:t xml:space="preserve">10.00 </w:t>
            </w:r>
          </w:p>
        </w:tc>
        <w:tc>
          <w:tcPr>
            <w:tcW w:w="86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97.49</w:t>
            </w:r>
          </w:p>
        </w:tc>
        <w:tc>
          <w:tcPr>
            <w:tcW w:w="1260" w:type="dxa"/>
            <w:tcBorders>
              <w:top w:val="nil"/>
              <w:left w:val="nil"/>
              <w:bottom w:val="single" w:color="auto" w:sz="4" w:space="0"/>
              <w:right w:val="single" w:color="auto" w:sz="4" w:space="0"/>
            </w:tcBorders>
            <w:shd w:val="clear" w:color="000000" w:fill="FFFFFF"/>
            <w:noWrap/>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9.75</w:t>
            </w:r>
          </w:p>
        </w:tc>
      </w:tr>
      <w:tr>
        <w:tblPrEx>
          <w:tblCellMar>
            <w:top w:w="0" w:type="dxa"/>
            <w:left w:w="108" w:type="dxa"/>
            <w:bottom w:w="0" w:type="dxa"/>
            <w:right w:w="108" w:type="dxa"/>
          </w:tblCellMar>
        </w:tblPrEx>
        <w:trPr>
          <w:trHeight w:val="285" w:hRule="atLeast"/>
        </w:trPr>
        <w:tc>
          <w:tcPr>
            <w:tcW w:w="209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其中：财政资金：</w:t>
            </w:r>
          </w:p>
        </w:tc>
        <w:tc>
          <w:tcPr>
            <w:tcW w:w="185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216,000,000.00</w:t>
            </w:r>
          </w:p>
        </w:tc>
        <w:tc>
          <w:tcPr>
            <w:tcW w:w="2110"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154,904,062.00</w:t>
            </w:r>
          </w:p>
        </w:tc>
        <w:tc>
          <w:tcPr>
            <w:tcW w:w="3736"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151,020,000.00</w:t>
            </w:r>
          </w:p>
        </w:tc>
        <w:tc>
          <w:tcPr>
            <w:tcW w:w="87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c>
          <w:tcPr>
            <w:tcW w:w="86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97.49</w:t>
            </w:r>
          </w:p>
        </w:tc>
        <w:tc>
          <w:tcPr>
            <w:tcW w:w="126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285" w:hRule="atLeast"/>
        </w:trPr>
        <w:tc>
          <w:tcPr>
            <w:tcW w:w="209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单位资金：</w:t>
            </w:r>
          </w:p>
        </w:tc>
        <w:tc>
          <w:tcPr>
            <w:tcW w:w="185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2110"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3736"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87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c>
          <w:tcPr>
            <w:tcW w:w="86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w:t>
            </w:r>
          </w:p>
        </w:tc>
        <w:tc>
          <w:tcPr>
            <w:tcW w:w="126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285" w:hRule="atLeast"/>
        </w:trPr>
        <w:tc>
          <w:tcPr>
            <w:tcW w:w="209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财政专户管理资金：</w:t>
            </w:r>
          </w:p>
        </w:tc>
        <w:tc>
          <w:tcPr>
            <w:tcW w:w="185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2110"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3736"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87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c>
          <w:tcPr>
            <w:tcW w:w="86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w:t>
            </w:r>
          </w:p>
        </w:tc>
        <w:tc>
          <w:tcPr>
            <w:tcW w:w="126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285" w:hRule="atLeast"/>
        </w:trPr>
        <w:tc>
          <w:tcPr>
            <w:tcW w:w="6063"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年度目标</w:t>
            </w:r>
          </w:p>
        </w:tc>
        <w:tc>
          <w:tcPr>
            <w:tcW w:w="6737" w:type="dxa"/>
            <w:gridSpan w:val="7"/>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年度目标完成情况</w:t>
            </w:r>
          </w:p>
        </w:tc>
      </w:tr>
      <w:tr>
        <w:tblPrEx>
          <w:tblCellMar>
            <w:top w:w="0" w:type="dxa"/>
            <w:left w:w="108" w:type="dxa"/>
            <w:bottom w:w="0" w:type="dxa"/>
            <w:right w:w="108" w:type="dxa"/>
          </w:tblCellMar>
        </w:tblPrEx>
        <w:trPr>
          <w:trHeight w:val="2670" w:hRule="atLeast"/>
        </w:trPr>
        <w:tc>
          <w:tcPr>
            <w:tcW w:w="6063" w:type="dxa"/>
            <w:gridSpan w:val="5"/>
            <w:tcBorders>
              <w:top w:val="single" w:color="auto" w:sz="4" w:space="0"/>
              <w:left w:val="single" w:color="auto" w:sz="4" w:space="0"/>
              <w:bottom w:val="single" w:color="auto" w:sz="4" w:space="0"/>
              <w:right w:val="single" w:color="auto" w:sz="4" w:space="0"/>
            </w:tcBorders>
            <w:shd w:val="clear" w:color="000000" w:fill="FFFFFF"/>
          </w:tcPr>
          <w:p>
            <w:pPr>
              <w:spacing w:line="240" w:lineRule="auto"/>
              <w:rPr>
                <w:rFonts w:ascii="等线" w:eastAsia="等线" w:cs="宋体"/>
                <w:color w:val="000000"/>
                <w:sz w:val="22"/>
                <w:szCs w:val="22"/>
              </w:rPr>
            </w:pPr>
            <w:r>
              <w:rPr>
                <w:rFonts w:hint="eastAsia" w:ascii="等线" w:eastAsia="等线" w:cs="宋体"/>
                <w:color w:val="000000"/>
                <w:sz w:val="22"/>
                <w:szCs w:val="22"/>
              </w:rPr>
              <w:t>1.高校在琼分支机构顺利启动运行。</w:t>
            </w:r>
            <w:r>
              <w:rPr>
                <w:rFonts w:hint="eastAsia" w:ascii="等线" w:eastAsia="等线" w:cs="宋体"/>
                <w:color w:val="000000"/>
                <w:sz w:val="22"/>
                <w:szCs w:val="22"/>
              </w:rPr>
              <w:br w:type="textWrapping"/>
            </w:r>
            <w:r>
              <w:rPr>
                <w:rFonts w:hint="eastAsia" w:ascii="等线" w:eastAsia="等线" w:cs="宋体"/>
                <w:color w:val="000000"/>
                <w:sz w:val="22"/>
                <w:szCs w:val="22"/>
              </w:rPr>
              <w:t>2.高校入驻师生顺利开展教学和科研。</w:t>
            </w:r>
            <w:r>
              <w:rPr>
                <w:rFonts w:hint="eastAsia" w:ascii="等线" w:eastAsia="等线" w:cs="宋体"/>
                <w:color w:val="000000"/>
                <w:sz w:val="22"/>
                <w:szCs w:val="22"/>
              </w:rPr>
              <w:br w:type="textWrapping"/>
            </w:r>
            <w:r>
              <w:rPr>
                <w:rFonts w:hint="eastAsia" w:ascii="等线" w:eastAsia="等线" w:cs="宋体"/>
                <w:color w:val="000000"/>
                <w:sz w:val="22"/>
                <w:szCs w:val="22"/>
              </w:rPr>
              <w:t>3.引进5所以上知名高校（研究机构）。</w:t>
            </w:r>
          </w:p>
        </w:tc>
        <w:tc>
          <w:tcPr>
            <w:tcW w:w="6737" w:type="dxa"/>
            <w:gridSpan w:val="7"/>
            <w:tcBorders>
              <w:top w:val="single" w:color="auto" w:sz="4" w:space="0"/>
              <w:left w:val="nil"/>
              <w:bottom w:val="single" w:color="auto" w:sz="4" w:space="0"/>
              <w:right w:val="single" w:color="auto" w:sz="4" w:space="0"/>
            </w:tcBorders>
            <w:shd w:val="clear" w:color="000000" w:fill="FFFFFF"/>
          </w:tcPr>
          <w:p>
            <w:pPr>
              <w:spacing w:line="240" w:lineRule="auto"/>
              <w:rPr>
                <w:rFonts w:ascii="等线" w:eastAsia="等线" w:cs="宋体"/>
                <w:color w:val="000000"/>
                <w:sz w:val="22"/>
                <w:szCs w:val="22"/>
              </w:rPr>
            </w:pPr>
            <w:r>
              <w:rPr>
                <w:rFonts w:hint="eastAsia" w:ascii="等线" w:eastAsia="等线" w:cs="宋体"/>
                <w:color w:val="000000"/>
                <w:sz w:val="22"/>
                <w:szCs w:val="22"/>
              </w:rPr>
              <w:t>1.陵水黎安国际教育创新试验区已于2022年9月正式开园办学。</w:t>
            </w:r>
            <w:r>
              <w:rPr>
                <w:rFonts w:hint="eastAsia" w:ascii="等线" w:eastAsia="等线" w:cs="宋体"/>
                <w:color w:val="000000"/>
                <w:sz w:val="22"/>
                <w:szCs w:val="22"/>
              </w:rPr>
              <w:br w:type="textWrapping"/>
            </w:r>
            <w:r>
              <w:rPr>
                <w:rFonts w:hint="eastAsia" w:ascii="等线" w:eastAsia="等线" w:cs="宋体"/>
                <w:color w:val="000000"/>
                <w:sz w:val="22"/>
                <w:szCs w:val="22"/>
              </w:rPr>
              <w:t>2.三亚崖州湾科技城入住高校完成2022年海南专项研究生招录工作， 目前已有学生3000余名。</w:t>
            </w:r>
            <w:r>
              <w:rPr>
                <w:rFonts w:hint="eastAsia" w:ascii="等线" w:eastAsia="等线" w:cs="宋体"/>
                <w:color w:val="000000"/>
                <w:sz w:val="22"/>
                <w:szCs w:val="22"/>
              </w:rPr>
              <w:br w:type="textWrapping"/>
            </w:r>
            <w:r>
              <w:rPr>
                <w:rFonts w:hint="eastAsia" w:ascii="等线" w:eastAsia="等线" w:cs="宋体"/>
                <w:color w:val="000000"/>
                <w:sz w:val="22"/>
                <w:szCs w:val="22"/>
              </w:rPr>
              <w:t>3.新增签约引进莫斯科动力学院、同济大学、华东师范大学、澳门城市大学、英国西英格兰学院、英国北普安顿大学、英国阿伯泰大学，其中，海南医学院西英格兰学院、琼台师范学院北安普顿学院、中国传媒大学与英国阿伯泰大学合作举办数字媒体技术专业本科教育项目、中央民族大学与澳门城市大学合作举办数据科学与大数据技术专业本科教育项目已获批。</w:t>
            </w:r>
          </w:p>
        </w:tc>
      </w:tr>
      <w:tr>
        <w:tblPrEx>
          <w:tblCellMar>
            <w:top w:w="0" w:type="dxa"/>
            <w:left w:w="108" w:type="dxa"/>
            <w:bottom w:w="0" w:type="dxa"/>
            <w:right w:w="108" w:type="dxa"/>
          </w:tblCellMar>
        </w:tblPrEx>
        <w:trPr>
          <w:trHeight w:val="570" w:hRule="atLeast"/>
        </w:trPr>
        <w:tc>
          <w:tcPr>
            <w:tcW w:w="1053" w:type="dxa"/>
            <w:tcBorders>
              <w:top w:val="nil"/>
              <w:left w:val="single" w:color="auto" w:sz="4" w:space="0"/>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一级指标</w:t>
            </w:r>
          </w:p>
        </w:tc>
        <w:tc>
          <w:tcPr>
            <w:tcW w:w="1042"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二级指标</w:t>
            </w:r>
          </w:p>
        </w:tc>
        <w:tc>
          <w:tcPr>
            <w:tcW w:w="2866"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三级指标</w:t>
            </w:r>
          </w:p>
        </w:tc>
        <w:tc>
          <w:tcPr>
            <w:tcW w:w="1102"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指标性质</w:t>
            </w:r>
          </w:p>
        </w:tc>
        <w:tc>
          <w:tcPr>
            <w:tcW w:w="899"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年度指标值</w:t>
            </w:r>
          </w:p>
        </w:tc>
        <w:tc>
          <w:tcPr>
            <w:tcW w:w="988"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度量单位</w:t>
            </w:r>
          </w:p>
        </w:tc>
        <w:tc>
          <w:tcPr>
            <w:tcW w:w="863"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实际完成值</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完成率</w:t>
            </w:r>
          </w:p>
        </w:tc>
        <w:tc>
          <w:tcPr>
            <w:tcW w:w="876"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分值</w:t>
            </w:r>
          </w:p>
        </w:tc>
        <w:tc>
          <w:tcPr>
            <w:tcW w:w="865"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得分</w:t>
            </w:r>
          </w:p>
        </w:tc>
        <w:tc>
          <w:tcPr>
            <w:tcW w:w="1260"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未完成原因分析</w:t>
            </w:r>
          </w:p>
        </w:tc>
      </w:tr>
      <w:tr>
        <w:tblPrEx>
          <w:tblCellMar>
            <w:top w:w="0" w:type="dxa"/>
            <w:left w:w="108" w:type="dxa"/>
            <w:bottom w:w="0" w:type="dxa"/>
            <w:right w:w="108" w:type="dxa"/>
          </w:tblCellMar>
        </w:tblPrEx>
        <w:trPr>
          <w:trHeight w:val="623" w:hRule="atLeast"/>
        </w:trPr>
        <w:tc>
          <w:tcPr>
            <w:tcW w:w="1053"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产出指标</w:t>
            </w:r>
          </w:p>
        </w:tc>
        <w:tc>
          <w:tcPr>
            <w:tcW w:w="1042"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数量指标</w:t>
            </w:r>
          </w:p>
        </w:tc>
        <w:tc>
          <w:tcPr>
            <w:tcW w:w="2866"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当年新签约引进知名高校数</w:t>
            </w:r>
          </w:p>
        </w:tc>
        <w:tc>
          <w:tcPr>
            <w:tcW w:w="1102"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899"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5</w:t>
            </w:r>
          </w:p>
        </w:tc>
        <w:tc>
          <w:tcPr>
            <w:tcW w:w="988"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所</w:t>
            </w:r>
          </w:p>
        </w:tc>
        <w:tc>
          <w:tcPr>
            <w:tcW w:w="863"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7</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7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40.00</w:t>
            </w:r>
          </w:p>
        </w:tc>
        <w:tc>
          <w:tcPr>
            <w:tcW w:w="86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40</w:t>
            </w:r>
          </w:p>
        </w:tc>
        <w:tc>
          <w:tcPr>
            <w:tcW w:w="1260" w:type="dxa"/>
            <w:tcBorders>
              <w:top w:val="nil"/>
              <w:left w:val="nil"/>
              <w:bottom w:val="single" w:color="auto" w:sz="4" w:space="0"/>
              <w:right w:val="single" w:color="auto" w:sz="4" w:space="0"/>
            </w:tcBorders>
            <w:shd w:val="clear" w:color="000000" w:fill="FFFFFF"/>
            <w:noWrap/>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1053"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产出指标</w:t>
            </w:r>
          </w:p>
        </w:tc>
        <w:tc>
          <w:tcPr>
            <w:tcW w:w="1042"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数量指标</w:t>
            </w:r>
          </w:p>
        </w:tc>
        <w:tc>
          <w:tcPr>
            <w:tcW w:w="2866"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已入住各市县及园区开展教学科研活动高校数</w:t>
            </w:r>
          </w:p>
        </w:tc>
        <w:tc>
          <w:tcPr>
            <w:tcW w:w="1102"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899"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w:t>
            </w:r>
          </w:p>
        </w:tc>
        <w:tc>
          <w:tcPr>
            <w:tcW w:w="988"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所</w:t>
            </w:r>
          </w:p>
        </w:tc>
        <w:tc>
          <w:tcPr>
            <w:tcW w:w="863"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13</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7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30.00</w:t>
            </w:r>
          </w:p>
        </w:tc>
        <w:tc>
          <w:tcPr>
            <w:tcW w:w="86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30</w:t>
            </w:r>
          </w:p>
        </w:tc>
        <w:tc>
          <w:tcPr>
            <w:tcW w:w="1260" w:type="dxa"/>
            <w:tcBorders>
              <w:top w:val="nil"/>
              <w:left w:val="nil"/>
              <w:bottom w:val="single" w:color="auto" w:sz="4" w:space="0"/>
              <w:right w:val="single" w:color="auto" w:sz="4" w:space="0"/>
            </w:tcBorders>
            <w:shd w:val="clear" w:color="000000" w:fill="FFFFFF"/>
            <w:noWrap/>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1053"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效益指标</w:t>
            </w:r>
          </w:p>
        </w:tc>
        <w:tc>
          <w:tcPr>
            <w:tcW w:w="1042"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社会效益指标</w:t>
            </w:r>
          </w:p>
        </w:tc>
        <w:tc>
          <w:tcPr>
            <w:tcW w:w="2866"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引进高校数占全省高校总数占比</w:t>
            </w:r>
          </w:p>
        </w:tc>
        <w:tc>
          <w:tcPr>
            <w:tcW w:w="1102"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899"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30</w:t>
            </w:r>
          </w:p>
        </w:tc>
        <w:tc>
          <w:tcPr>
            <w:tcW w:w="988"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863"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38</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7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20.00</w:t>
            </w:r>
          </w:p>
        </w:tc>
        <w:tc>
          <w:tcPr>
            <w:tcW w:w="86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20</w:t>
            </w:r>
          </w:p>
        </w:tc>
        <w:tc>
          <w:tcPr>
            <w:tcW w:w="1260" w:type="dxa"/>
            <w:tcBorders>
              <w:top w:val="nil"/>
              <w:left w:val="nil"/>
              <w:bottom w:val="single" w:color="auto" w:sz="4" w:space="0"/>
              <w:right w:val="single" w:color="auto" w:sz="4" w:space="0"/>
            </w:tcBorders>
            <w:shd w:val="clear" w:color="000000" w:fill="FFFFFF"/>
            <w:noWrap/>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9799" w:type="dxa"/>
            <w:gridSpan w:val="9"/>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合计</w:t>
            </w:r>
          </w:p>
        </w:tc>
        <w:tc>
          <w:tcPr>
            <w:tcW w:w="87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6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99.75</w:t>
            </w:r>
          </w:p>
        </w:tc>
        <w:tc>
          <w:tcPr>
            <w:tcW w:w="1260" w:type="dxa"/>
            <w:tcBorders>
              <w:top w:val="nil"/>
              <w:left w:val="nil"/>
              <w:bottom w:val="single" w:color="auto" w:sz="4" w:space="0"/>
              <w:right w:val="single" w:color="auto" w:sz="4" w:space="0"/>
            </w:tcBorders>
            <w:shd w:val="clear" w:color="000000" w:fill="FFFFFF"/>
            <w:noWrap/>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bl>
    <w:p>
      <w:pPr>
        <w:widowControl w:val="0"/>
        <w:spacing w:line="600" w:lineRule="exact"/>
        <w:ind w:firstLine="640" w:firstLineChars="200"/>
        <w:rPr>
          <w:rFonts w:ascii="仿宋" w:hAnsi="仿宋" w:eastAsia="仿宋" w:cs="宋体"/>
          <w:color w:val="000000"/>
          <w:szCs w:val="32"/>
        </w:rPr>
      </w:pPr>
      <w:r>
        <w:rPr>
          <w:rFonts w:hint="eastAsia" w:ascii="仿宋" w:hAnsi="仿宋" w:eastAsia="仿宋"/>
          <w:color w:val="000000"/>
          <w:szCs w:val="32"/>
        </w:rPr>
        <w:t>引进国内外知名高校来海南办学补助项目绩效自评报告：根据年初设定的绩效目标，项目绩效自评得分为99.75分。全年预算数为15490.41万元，执行数为15102.00万元，完成预算的97.49%。项目绩效目标完成情况:</w:t>
      </w:r>
      <w:r>
        <w:rPr>
          <w:rFonts w:hint="eastAsia" w:ascii="仿宋" w:hAnsi="仿宋" w:eastAsia="仿宋" w:cs="宋体"/>
          <w:color w:val="000000"/>
          <w:szCs w:val="32"/>
        </w:rPr>
        <w:t>1.陵水黎安国际教育创新试验区已于2022年9月正式开园办学。2.三亚崖州湾科技城入住高校完成2022年海南专项研究生招录工作， 目前已有学生3000余名。3.新增签约引进莫斯科动力学院、同济大学、华东师范大学、澳门城市大学、英国西英格兰学院、英国北普安顿大学、英国阿伯泰大学，其中，海南医学院西英格兰学院、琼台师范学院北安普顿学院、中国传媒大学与英国阿伯泰大学合作举办数字媒体技术专业本科教育项目、中央民族大学与澳门城市大学合作举办数据科学与大数据技术专业本科教育项目已获批。</w:t>
      </w:r>
      <w:r>
        <w:rPr>
          <w:rFonts w:hint="eastAsia" w:ascii="仿宋" w:hAnsi="仿宋" w:eastAsia="仿宋"/>
          <w:color w:val="000000"/>
          <w:szCs w:val="32"/>
        </w:rPr>
        <w:t>发现的主要问题及原因：</w:t>
      </w:r>
      <w:r>
        <w:rPr>
          <w:rFonts w:hint="eastAsia" w:ascii="仿宋" w:hAnsi="仿宋" w:eastAsia="仿宋" w:cs="宋体"/>
          <w:color w:val="000000"/>
          <w:szCs w:val="32"/>
        </w:rPr>
        <w:t>引进高校在琼分支机构的运转很大程度上依赖于海南省各级财政支持，鉴于教育公益性的属性，引进高校自身造血功能不足</w:t>
      </w:r>
      <w:r>
        <w:rPr>
          <w:rFonts w:hint="eastAsia" w:ascii="仿宋" w:hAnsi="仿宋" w:eastAsia="仿宋" w:cs="仿宋_GB2312"/>
          <w:szCs w:val="32"/>
        </w:rPr>
        <w:t>。</w:t>
      </w:r>
      <w:r>
        <w:rPr>
          <w:rFonts w:hint="eastAsia" w:ascii="仿宋" w:hAnsi="仿宋" w:eastAsia="仿宋"/>
          <w:color w:val="000000"/>
          <w:szCs w:val="32"/>
        </w:rPr>
        <w:t>下一步改进措施：</w:t>
      </w:r>
      <w:r>
        <w:rPr>
          <w:rFonts w:hint="eastAsia" w:ascii="仿宋" w:hAnsi="仿宋" w:eastAsia="仿宋" w:cs="宋体"/>
          <w:color w:val="000000"/>
          <w:szCs w:val="32"/>
        </w:rPr>
        <w:t>为持续推动海南国际教育创新岛建设，吸引更多优质高校到海南办学，建议进一步加大对引进高校的资金奖补力度。</w:t>
      </w:r>
    </w:p>
    <w:p>
      <w:pPr>
        <w:spacing w:line="560" w:lineRule="exact"/>
        <w:ind w:firstLine="640" w:firstLineChars="200"/>
        <w:rPr>
          <w:rFonts w:hint="eastAsia" w:ascii="仿宋" w:hAnsi="仿宋" w:eastAsia="仿宋"/>
          <w:color w:val="000000"/>
          <w:szCs w:val="32"/>
        </w:rPr>
      </w:pPr>
    </w:p>
    <w:p>
      <w:pPr>
        <w:spacing w:line="560" w:lineRule="exact"/>
        <w:ind w:firstLine="640" w:firstLineChars="200"/>
        <w:rPr>
          <w:rFonts w:hint="eastAsia" w:ascii="仿宋" w:hAnsi="仿宋" w:eastAsia="仿宋"/>
          <w:color w:val="000000"/>
          <w:szCs w:val="32"/>
        </w:rPr>
      </w:pPr>
      <w:r>
        <w:rPr>
          <w:rFonts w:hint="eastAsia" w:ascii="仿宋" w:hAnsi="仿宋" w:eastAsia="仿宋"/>
          <w:color w:val="000000"/>
          <w:szCs w:val="32"/>
        </w:rPr>
        <w:t>教育合作与交流项目绩效自评表：</w:t>
      </w:r>
    </w:p>
    <w:tbl>
      <w:tblPr>
        <w:tblStyle w:val="13"/>
        <w:tblW w:w="13078" w:type="dxa"/>
        <w:tblInd w:w="89" w:type="dxa"/>
        <w:tblLayout w:type="autofit"/>
        <w:tblCellMar>
          <w:top w:w="0" w:type="dxa"/>
          <w:left w:w="108" w:type="dxa"/>
          <w:bottom w:w="0" w:type="dxa"/>
          <w:right w:w="108" w:type="dxa"/>
        </w:tblCellMar>
      </w:tblPr>
      <w:tblGrid>
        <w:gridCol w:w="1077"/>
        <w:gridCol w:w="1070"/>
        <w:gridCol w:w="1707"/>
        <w:gridCol w:w="1004"/>
        <w:gridCol w:w="1111"/>
        <w:gridCol w:w="924"/>
        <w:gridCol w:w="1017"/>
        <w:gridCol w:w="887"/>
        <w:gridCol w:w="986"/>
        <w:gridCol w:w="880"/>
        <w:gridCol w:w="876"/>
        <w:gridCol w:w="1299"/>
        <w:gridCol w:w="240"/>
      </w:tblGrid>
      <w:tr>
        <w:tblPrEx>
          <w:tblCellMar>
            <w:top w:w="0" w:type="dxa"/>
            <w:left w:w="108" w:type="dxa"/>
            <w:bottom w:w="0" w:type="dxa"/>
            <w:right w:w="108" w:type="dxa"/>
          </w:tblCellMar>
        </w:tblPrEx>
        <w:trPr>
          <w:trHeight w:val="510" w:hRule="atLeast"/>
        </w:trPr>
        <w:tc>
          <w:tcPr>
            <w:tcW w:w="12838" w:type="dxa"/>
            <w:gridSpan w:val="1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40"/>
                <w:szCs w:val="40"/>
              </w:rPr>
            </w:pPr>
            <w:r>
              <w:rPr>
                <w:rFonts w:hint="eastAsia" w:ascii="等线" w:eastAsia="等线" w:cs="宋体"/>
                <w:b/>
                <w:bCs/>
                <w:color w:val="000000"/>
                <w:sz w:val="40"/>
                <w:szCs w:val="40"/>
              </w:rPr>
              <w:t xml:space="preserve">项目支出绩效自评表 </w:t>
            </w:r>
          </w:p>
        </w:tc>
        <w:tc>
          <w:tcPr>
            <w:tcW w:w="240" w:type="dxa"/>
            <w:tcBorders>
              <w:top w:val="nil"/>
              <w:left w:val="nil"/>
              <w:bottom w:val="nil"/>
              <w:right w:val="nil"/>
            </w:tcBorders>
            <w:shd w:val="clear" w:color="000000" w:fill="FFFFFF"/>
            <w:noWrap/>
            <w:vAlign w:val="center"/>
          </w:tcPr>
          <w:p>
            <w:pPr>
              <w:spacing w:line="240" w:lineRule="auto"/>
              <w:rPr>
                <w:rFonts w:eastAsia="宋体" w:cs="宋体"/>
                <w:sz w:val="24"/>
              </w:rPr>
            </w:pPr>
            <w:r>
              <w:rPr>
                <w:rFonts w:hint="eastAsia" w:eastAsia="宋体" w:cs="宋体"/>
                <w:sz w:val="24"/>
              </w:rPr>
              <w:t>　</w:t>
            </w:r>
          </w:p>
        </w:tc>
      </w:tr>
      <w:tr>
        <w:tblPrEx>
          <w:tblCellMar>
            <w:top w:w="0" w:type="dxa"/>
            <w:left w:w="108" w:type="dxa"/>
            <w:bottom w:w="0" w:type="dxa"/>
            <w:right w:w="108" w:type="dxa"/>
          </w:tblCellMar>
        </w:tblPrEx>
        <w:trPr>
          <w:trHeight w:val="432" w:hRule="atLeast"/>
        </w:trPr>
        <w:tc>
          <w:tcPr>
            <w:tcW w:w="1077"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项目名称:</w:t>
            </w:r>
          </w:p>
        </w:tc>
        <w:tc>
          <w:tcPr>
            <w:tcW w:w="11761" w:type="dxa"/>
            <w:gridSpan w:val="11"/>
            <w:tcBorders>
              <w:top w:val="single" w:color="auto" w:sz="4" w:space="0"/>
              <w:left w:val="nil"/>
              <w:bottom w:val="single" w:color="auto" w:sz="4" w:space="0"/>
              <w:right w:val="single" w:color="000000" w:sz="4" w:space="0"/>
            </w:tcBorders>
            <w:shd w:val="clear" w:color="000000" w:fill="FFFFFF"/>
            <w:vAlign w:val="center"/>
          </w:tcPr>
          <w:p>
            <w:pPr>
              <w:spacing w:line="240" w:lineRule="auto"/>
              <w:jc w:val="center"/>
              <w:rPr>
                <w:rFonts w:ascii="等线" w:eastAsia="等线" w:cs="宋体"/>
                <w:color w:val="000000"/>
                <w:sz w:val="22"/>
                <w:szCs w:val="22"/>
              </w:rPr>
            </w:pPr>
            <w:r>
              <w:rPr>
                <w:rFonts w:hint="eastAsia" w:ascii="等线" w:eastAsia="等线" w:cs="宋体"/>
                <w:color w:val="000000"/>
                <w:sz w:val="22"/>
                <w:szCs w:val="22"/>
              </w:rPr>
              <w:t>教育合作与交流</w:t>
            </w:r>
          </w:p>
        </w:tc>
        <w:tc>
          <w:tcPr>
            <w:tcW w:w="240" w:type="dxa"/>
            <w:tcBorders>
              <w:top w:val="nil"/>
              <w:left w:val="nil"/>
              <w:bottom w:val="nil"/>
              <w:right w:val="nil"/>
            </w:tcBorders>
            <w:shd w:val="clear" w:color="000000" w:fill="FFFFFF"/>
            <w:noWrap/>
            <w:vAlign w:val="center"/>
          </w:tcPr>
          <w:p>
            <w:pPr>
              <w:spacing w:line="240" w:lineRule="auto"/>
              <w:rPr>
                <w:rFonts w:eastAsia="宋体" w:cs="宋体"/>
                <w:sz w:val="24"/>
              </w:rPr>
            </w:pPr>
            <w:r>
              <w:rPr>
                <w:rFonts w:hint="eastAsia" w:eastAsia="宋体" w:cs="宋体"/>
                <w:sz w:val="24"/>
              </w:rPr>
              <w:t>　</w:t>
            </w:r>
          </w:p>
        </w:tc>
      </w:tr>
      <w:tr>
        <w:tblPrEx>
          <w:tblCellMar>
            <w:top w:w="0" w:type="dxa"/>
            <w:left w:w="108" w:type="dxa"/>
            <w:bottom w:w="0" w:type="dxa"/>
            <w:right w:w="108" w:type="dxa"/>
          </w:tblCellMar>
        </w:tblPrEx>
        <w:trPr>
          <w:trHeight w:val="398" w:hRule="atLeast"/>
        </w:trPr>
        <w:tc>
          <w:tcPr>
            <w:tcW w:w="1077"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主管部门:</w:t>
            </w:r>
          </w:p>
        </w:tc>
        <w:tc>
          <w:tcPr>
            <w:tcW w:w="3781" w:type="dxa"/>
            <w:gridSpan w:val="3"/>
            <w:tcBorders>
              <w:top w:val="single" w:color="auto" w:sz="4" w:space="0"/>
              <w:left w:val="nil"/>
              <w:bottom w:val="single" w:color="auto" w:sz="4" w:space="0"/>
              <w:right w:val="single" w:color="000000"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203-省教育厅</w:t>
            </w:r>
          </w:p>
        </w:tc>
        <w:tc>
          <w:tcPr>
            <w:tcW w:w="1111"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实施单位:</w:t>
            </w:r>
          </w:p>
        </w:tc>
        <w:tc>
          <w:tcPr>
            <w:tcW w:w="6869" w:type="dxa"/>
            <w:gridSpan w:val="7"/>
            <w:tcBorders>
              <w:top w:val="single" w:color="auto" w:sz="4" w:space="0"/>
              <w:left w:val="nil"/>
              <w:bottom w:val="single" w:color="auto" w:sz="4" w:space="0"/>
              <w:right w:val="single" w:color="000000"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203001-省教育厅本级</w:t>
            </w:r>
          </w:p>
        </w:tc>
        <w:tc>
          <w:tcPr>
            <w:tcW w:w="240" w:type="dxa"/>
            <w:tcBorders>
              <w:top w:val="nil"/>
              <w:left w:val="nil"/>
              <w:bottom w:val="nil"/>
              <w:right w:val="nil"/>
            </w:tcBorders>
            <w:shd w:val="clear" w:color="000000" w:fill="FFFFFF"/>
            <w:noWrap/>
            <w:vAlign w:val="center"/>
          </w:tcPr>
          <w:p>
            <w:pPr>
              <w:spacing w:line="240" w:lineRule="auto"/>
              <w:rPr>
                <w:rFonts w:eastAsia="宋体" w:cs="宋体"/>
                <w:sz w:val="24"/>
              </w:rPr>
            </w:pPr>
            <w:r>
              <w:rPr>
                <w:rFonts w:hint="eastAsia" w:eastAsia="宋体" w:cs="宋体"/>
                <w:sz w:val="24"/>
              </w:rPr>
              <w:t>　</w:t>
            </w:r>
          </w:p>
        </w:tc>
      </w:tr>
      <w:tr>
        <w:tblPrEx>
          <w:tblCellMar>
            <w:top w:w="0" w:type="dxa"/>
            <w:left w:w="108" w:type="dxa"/>
            <w:bottom w:w="0" w:type="dxa"/>
            <w:right w:w="108" w:type="dxa"/>
          </w:tblCellMar>
        </w:tblPrEx>
        <w:trPr>
          <w:trHeight w:val="315" w:hRule="atLeast"/>
        </w:trPr>
        <w:tc>
          <w:tcPr>
            <w:tcW w:w="2147"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资金构成(元)</w:t>
            </w:r>
          </w:p>
        </w:tc>
        <w:tc>
          <w:tcPr>
            <w:tcW w:w="1707" w:type="dxa"/>
            <w:tcBorders>
              <w:top w:val="nil"/>
              <w:left w:val="nil"/>
              <w:bottom w:val="single" w:color="auto" w:sz="4" w:space="0"/>
              <w:right w:val="nil"/>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年初预算数</w:t>
            </w:r>
          </w:p>
        </w:tc>
        <w:tc>
          <w:tcPr>
            <w:tcW w:w="21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全年预算数</w:t>
            </w:r>
          </w:p>
        </w:tc>
        <w:tc>
          <w:tcPr>
            <w:tcW w:w="3814"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执行数</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分值</w:t>
            </w:r>
          </w:p>
        </w:tc>
        <w:tc>
          <w:tcPr>
            <w:tcW w:w="876" w:type="dxa"/>
            <w:tcBorders>
              <w:top w:val="nil"/>
              <w:left w:val="nil"/>
              <w:bottom w:val="single" w:color="auto" w:sz="4" w:space="0"/>
              <w:right w:val="nil"/>
            </w:tcBorders>
            <w:shd w:val="clear" w:color="000000" w:fill="FFFFFF"/>
            <w:vAlign w:val="center"/>
          </w:tcPr>
          <w:p>
            <w:pPr>
              <w:spacing w:line="240" w:lineRule="auto"/>
              <w:rPr>
                <w:rFonts w:ascii="等线" w:eastAsia="等线" w:cs="宋体"/>
                <w:b/>
                <w:bCs/>
                <w:color w:val="000000"/>
                <w:sz w:val="24"/>
              </w:rPr>
            </w:pPr>
            <w:r>
              <w:rPr>
                <w:rFonts w:hint="eastAsia" w:ascii="等线" w:eastAsia="等线" w:cs="宋体"/>
                <w:b/>
                <w:bCs/>
                <w:color w:val="000000"/>
                <w:sz w:val="24"/>
              </w:rPr>
              <w:t>执行率（%）</w:t>
            </w:r>
          </w:p>
        </w:tc>
        <w:tc>
          <w:tcPr>
            <w:tcW w:w="1299" w:type="dxa"/>
            <w:tcBorders>
              <w:top w:val="nil"/>
              <w:left w:val="single" w:color="auto" w:sz="4" w:space="0"/>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得分</w:t>
            </w:r>
          </w:p>
        </w:tc>
        <w:tc>
          <w:tcPr>
            <w:tcW w:w="240" w:type="dxa"/>
            <w:tcBorders>
              <w:top w:val="nil"/>
              <w:left w:val="nil"/>
              <w:bottom w:val="nil"/>
              <w:right w:val="nil"/>
            </w:tcBorders>
            <w:shd w:val="clear" w:color="000000" w:fill="FFFFFF"/>
            <w:noWrap/>
            <w:vAlign w:val="center"/>
          </w:tcPr>
          <w:p>
            <w:pPr>
              <w:spacing w:line="240" w:lineRule="auto"/>
              <w:rPr>
                <w:rFonts w:eastAsia="宋体" w:cs="宋体"/>
                <w:sz w:val="24"/>
              </w:rPr>
            </w:pPr>
            <w:r>
              <w:rPr>
                <w:rFonts w:hint="eastAsia" w:eastAsia="宋体" w:cs="宋体"/>
                <w:sz w:val="24"/>
              </w:rPr>
              <w:t>　</w:t>
            </w:r>
          </w:p>
        </w:tc>
      </w:tr>
      <w:tr>
        <w:tblPrEx>
          <w:tblCellMar>
            <w:top w:w="0" w:type="dxa"/>
            <w:left w:w="108" w:type="dxa"/>
            <w:bottom w:w="0" w:type="dxa"/>
            <w:right w:w="108" w:type="dxa"/>
          </w:tblCellMar>
        </w:tblPrEx>
        <w:trPr>
          <w:trHeight w:val="285" w:hRule="atLeast"/>
        </w:trPr>
        <w:tc>
          <w:tcPr>
            <w:tcW w:w="2147"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资金总额：</w:t>
            </w:r>
          </w:p>
        </w:tc>
        <w:tc>
          <w:tcPr>
            <w:tcW w:w="1707"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3,600,000.00</w:t>
            </w:r>
          </w:p>
        </w:tc>
        <w:tc>
          <w:tcPr>
            <w:tcW w:w="2115"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3,600,000.00</w:t>
            </w:r>
          </w:p>
        </w:tc>
        <w:tc>
          <w:tcPr>
            <w:tcW w:w="3814"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3,598,954.92</w:t>
            </w:r>
          </w:p>
        </w:tc>
        <w:tc>
          <w:tcPr>
            <w:tcW w:w="880" w:type="dxa"/>
            <w:tcBorders>
              <w:top w:val="nil"/>
              <w:left w:val="nil"/>
              <w:bottom w:val="single" w:color="auto" w:sz="4" w:space="0"/>
              <w:right w:val="single" w:color="auto" w:sz="4" w:space="0"/>
            </w:tcBorders>
            <w:shd w:val="clear" w:color="000000" w:fill="FFFFFF"/>
            <w:noWrap/>
            <w:vAlign w:val="center"/>
          </w:tcPr>
          <w:p>
            <w:pPr>
              <w:spacing w:line="240" w:lineRule="auto"/>
              <w:jc w:val="center"/>
              <w:rPr>
                <w:rFonts w:ascii="等线" w:eastAsia="等线" w:cs="宋体"/>
                <w:color w:val="000000"/>
                <w:sz w:val="22"/>
                <w:szCs w:val="22"/>
              </w:rPr>
            </w:pPr>
            <w:r>
              <w:rPr>
                <w:rFonts w:hint="eastAsia" w:ascii="等线" w:eastAsia="等线" w:cs="宋体"/>
                <w:color w:val="000000"/>
                <w:sz w:val="22"/>
                <w:szCs w:val="22"/>
              </w:rPr>
              <w:t xml:space="preserve">10.00 </w:t>
            </w:r>
          </w:p>
        </w:tc>
        <w:tc>
          <w:tcPr>
            <w:tcW w:w="87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99.97</w:t>
            </w:r>
          </w:p>
        </w:tc>
        <w:tc>
          <w:tcPr>
            <w:tcW w:w="1299" w:type="dxa"/>
            <w:tcBorders>
              <w:top w:val="nil"/>
              <w:left w:val="nil"/>
              <w:bottom w:val="single" w:color="auto" w:sz="4" w:space="0"/>
              <w:right w:val="single" w:color="auto" w:sz="4" w:space="0"/>
            </w:tcBorders>
            <w:shd w:val="clear" w:color="000000" w:fill="FFFFFF"/>
            <w:noWrap/>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w:t>
            </w:r>
          </w:p>
        </w:tc>
        <w:tc>
          <w:tcPr>
            <w:tcW w:w="240" w:type="dxa"/>
            <w:tcBorders>
              <w:top w:val="nil"/>
              <w:left w:val="nil"/>
              <w:bottom w:val="nil"/>
              <w:right w:val="nil"/>
            </w:tcBorders>
            <w:shd w:val="clear" w:color="000000" w:fill="FFFFFF"/>
            <w:noWrap/>
            <w:vAlign w:val="center"/>
          </w:tcPr>
          <w:p>
            <w:pPr>
              <w:spacing w:line="240" w:lineRule="auto"/>
              <w:rPr>
                <w:rFonts w:eastAsia="宋体" w:cs="宋体"/>
                <w:sz w:val="24"/>
              </w:rPr>
            </w:pPr>
            <w:r>
              <w:rPr>
                <w:rFonts w:hint="eastAsia" w:eastAsia="宋体" w:cs="宋体"/>
                <w:sz w:val="24"/>
              </w:rPr>
              <w:t>　</w:t>
            </w:r>
          </w:p>
        </w:tc>
      </w:tr>
      <w:tr>
        <w:tblPrEx>
          <w:tblCellMar>
            <w:top w:w="0" w:type="dxa"/>
            <w:left w:w="108" w:type="dxa"/>
            <w:bottom w:w="0" w:type="dxa"/>
            <w:right w:w="108" w:type="dxa"/>
          </w:tblCellMar>
        </w:tblPrEx>
        <w:trPr>
          <w:trHeight w:val="285" w:hRule="atLeast"/>
        </w:trPr>
        <w:tc>
          <w:tcPr>
            <w:tcW w:w="2147"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其中：财政资金：</w:t>
            </w:r>
          </w:p>
        </w:tc>
        <w:tc>
          <w:tcPr>
            <w:tcW w:w="1707"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3,600,000.00</w:t>
            </w:r>
          </w:p>
        </w:tc>
        <w:tc>
          <w:tcPr>
            <w:tcW w:w="2115"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3,600,000.00</w:t>
            </w:r>
          </w:p>
        </w:tc>
        <w:tc>
          <w:tcPr>
            <w:tcW w:w="3814"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3,598,954.92</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c>
          <w:tcPr>
            <w:tcW w:w="87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99.97</w:t>
            </w:r>
          </w:p>
        </w:tc>
        <w:tc>
          <w:tcPr>
            <w:tcW w:w="1299"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c>
          <w:tcPr>
            <w:tcW w:w="240" w:type="dxa"/>
            <w:tcBorders>
              <w:top w:val="nil"/>
              <w:left w:val="nil"/>
              <w:bottom w:val="nil"/>
              <w:right w:val="nil"/>
            </w:tcBorders>
            <w:shd w:val="clear" w:color="000000" w:fill="FFFFFF"/>
            <w:noWrap/>
            <w:vAlign w:val="center"/>
          </w:tcPr>
          <w:p>
            <w:pPr>
              <w:spacing w:line="240" w:lineRule="auto"/>
              <w:rPr>
                <w:rFonts w:eastAsia="宋体" w:cs="宋体"/>
                <w:sz w:val="24"/>
              </w:rPr>
            </w:pPr>
            <w:r>
              <w:rPr>
                <w:rFonts w:hint="eastAsia" w:eastAsia="宋体" w:cs="宋体"/>
                <w:sz w:val="24"/>
              </w:rPr>
              <w:t>　</w:t>
            </w:r>
          </w:p>
        </w:tc>
      </w:tr>
      <w:tr>
        <w:tblPrEx>
          <w:tblCellMar>
            <w:top w:w="0" w:type="dxa"/>
            <w:left w:w="108" w:type="dxa"/>
            <w:bottom w:w="0" w:type="dxa"/>
            <w:right w:w="108" w:type="dxa"/>
          </w:tblCellMar>
        </w:tblPrEx>
        <w:trPr>
          <w:trHeight w:val="285" w:hRule="atLeast"/>
        </w:trPr>
        <w:tc>
          <w:tcPr>
            <w:tcW w:w="2147"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单位资金：</w:t>
            </w:r>
          </w:p>
        </w:tc>
        <w:tc>
          <w:tcPr>
            <w:tcW w:w="1707"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2115"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3814" w:type="dxa"/>
            <w:gridSpan w:val="4"/>
            <w:tcBorders>
              <w:top w:val="nil"/>
              <w:left w:val="nil"/>
              <w:bottom w:val="nil"/>
              <w:right w:val="nil"/>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880" w:type="dxa"/>
            <w:tcBorders>
              <w:top w:val="nil"/>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c>
          <w:tcPr>
            <w:tcW w:w="87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w:t>
            </w:r>
          </w:p>
        </w:tc>
        <w:tc>
          <w:tcPr>
            <w:tcW w:w="1299"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c>
          <w:tcPr>
            <w:tcW w:w="240" w:type="dxa"/>
            <w:tcBorders>
              <w:top w:val="nil"/>
              <w:left w:val="nil"/>
              <w:bottom w:val="nil"/>
              <w:right w:val="nil"/>
            </w:tcBorders>
            <w:shd w:val="clear" w:color="000000" w:fill="FFFFFF"/>
            <w:noWrap/>
            <w:vAlign w:val="center"/>
          </w:tcPr>
          <w:p>
            <w:pPr>
              <w:spacing w:line="240" w:lineRule="auto"/>
              <w:rPr>
                <w:rFonts w:eastAsia="宋体" w:cs="宋体"/>
                <w:sz w:val="24"/>
              </w:rPr>
            </w:pPr>
            <w:r>
              <w:rPr>
                <w:rFonts w:hint="eastAsia" w:eastAsia="宋体" w:cs="宋体"/>
                <w:sz w:val="24"/>
              </w:rPr>
              <w:t>　</w:t>
            </w:r>
          </w:p>
        </w:tc>
      </w:tr>
      <w:tr>
        <w:tblPrEx>
          <w:tblCellMar>
            <w:top w:w="0" w:type="dxa"/>
            <w:left w:w="108" w:type="dxa"/>
            <w:bottom w:w="0" w:type="dxa"/>
            <w:right w:w="108" w:type="dxa"/>
          </w:tblCellMar>
        </w:tblPrEx>
        <w:trPr>
          <w:trHeight w:val="285" w:hRule="atLeast"/>
        </w:trPr>
        <w:tc>
          <w:tcPr>
            <w:tcW w:w="2147"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财政专户管理资金：</w:t>
            </w:r>
          </w:p>
        </w:tc>
        <w:tc>
          <w:tcPr>
            <w:tcW w:w="1707"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2115"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3814"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c>
          <w:tcPr>
            <w:tcW w:w="87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w:t>
            </w:r>
          </w:p>
        </w:tc>
        <w:tc>
          <w:tcPr>
            <w:tcW w:w="1299"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c>
          <w:tcPr>
            <w:tcW w:w="240" w:type="dxa"/>
            <w:tcBorders>
              <w:top w:val="nil"/>
              <w:left w:val="nil"/>
              <w:bottom w:val="nil"/>
              <w:right w:val="nil"/>
            </w:tcBorders>
            <w:shd w:val="clear" w:color="000000" w:fill="FFFFFF"/>
            <w:noWrap/>
            <w:vAlign w:val="center"/>
          </w:tcPr>
          <w:p>
            <w:pPr>
              <w:spacing w:line="240" w:lineRule="auto"/>
              <w:rPr>
                <w:rFonts w:eastAsia="宋体" w:cs="宋体"/>
                <w:sz w:val="24"/>
              </w:rPr>
            </w:pPr>
            <w:r>
              <w:rPr>
                <w:rFonts w:hint="eastAsia" w:eastAsia="宋体" w:cs="宋体"/>
                <w:sz w:val="24"/>
              </w:rPr>
              <w:t>　</w:t>
            </w:r>
          </w:p>
        </w:tc>
      </w:tr>
      <w:tr>
        <w:tblPrEx>
          <w:tblCellMar>
            <w:top w:w="0" w:type="dxa"/>
            <w:left w:w="108" w:type="dxa"/>
            <w:bottom w:w="0" w:type="dxa"/>
            <w:right w:w="108" w:type="dxa"/>
          </w:tblCellMar>
        </w:tblPrEx>
        <w:trPr>
          <w:trHeight w:val="285" w:hRule="atLeast"/>
        </w:trPr>
        <w:tc>
          <w:tcPr>
            <w:tcW w:w="5969"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年度目标</w:t>
            </w:r>
          </w:p>
        </w:tc>
        <w:tc>
          <w:tcPr>
            <w:tcW w:w="6869" w:type="dxa"/>
            <w:gridSpan w:val="7"/>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年度目标完成情况</w:t>
            </w:r>
          </w:p>
        </w:tc>
        <w:tc>
          <w:tcPr>
            <w:tcW w:w="240" w:type="dxa"/>
            <w:tcBorders>
              <w:top w:val="nil"/>
              <w:left w:val="nil"/>
              <w:bottom w:val="nil"/>
              <w:right w:val="nil"/>
            </w:tcBorders>
            <w:shd w:val="clear" w:color="000000" w:fill="FFFFFF"/>
            <w:noWrap/>
            <w:vAlign w:val="center"/>
          </w:tcPr>
          <w:p>
            <w:pPr>
              <w:spacing w:line="240" w:lineRule="auto"/>
              <w:rPr>
                <w:rFonts w:eastAsia="宋体" w:cs="宋体"/>
                <w:sz w:val="24"/>
              </w:rPr>
            </w:pPr>
            <w:r>
              <w:rPr>
                <w:rFonts w:hint="eastAsia" w:eastAsia="宋体" w:cs="宋体"/>
                <w:sz w:val="24"/>
              </w:rPr>
              <w:t>　</w:t>
            </w:r>
          </w:p>
        </w:tc>
      </w:tr>
      <w:tr>
        <w:tblPrEx>
          <w:tblCellMar>
            <w:top w:w="0" w:type="dxa"/>
            <w:left w:w="108" w:type="dxa"/>
            <w:bottom w:w="0" w:type="dxa"/>
            <w:right w:w="108" w:type="dxa"/>
          </w:tblCellMar>
        </w:tblPrEx>
        <w:trPr>
          <w:trHeight w:val="1778" w:hRule="atLeast"/>
        </w:trPr>
        <w:tc>
          <w:tcPr>
            <w:tcW w:w="5969" w:type="dxa"/>
            <w:gridSpan w:val="5"/>
            <w:tcBorders>
              <w:top w:val="single" w:color="auto" w:sz="4" w:space="0"/>
              <w:left w:val="single" w:color="auto" w:sz="4" w:space="0"/>
              <w:bottom w:val="single" w:color="auto" w:sz="4" w:space="0"/>
              <w:right w:val="single" w:color="000000" w:sz="4" w:space="0"/>
            </w:tcBorders>
            <w:shd w:val="clear" w:color="000000" w:fill="FFFFFF"/>
          </w:tcPr>
          <w:p>
            <w:pPr>
              <w:spacing w:line="240" w:lineRule="auto"/>
              <w:rPr>
                <w:rFonts w:ascii="等线" w:eastAsia="等线" w:cs="宋体"/>
                <w:color w:val="000000"/>
                <w:sz w:val="22"/>
                <w:szCs w:val="22"/>
              </w:rPr>
            </w:pPr>
            <w:r>
              <w:rPr>
                <w:rFonts w:hint="eastAsia" w:ascii="等线" w:eastAsia="等线" w:cs="宋体"/>
                <w:color w:val="000000"/>
                <w:sz w:val="22"/>
                <w:szCs w:val="22"/>
              </w:rPr>
              <w:t>加强教育合作与交流，培养海南少数民族优秀学生</w:t>
            </w:r>
          </w:p>
        </w:tc>
        <w:tc>
          <w:tcPr>
            <w:tcW w:w="6869" w:type="dxa"/>
            <w:gridSpan w:val="7"/>
            <w:tcBorders>
              <w:top w:val="single" w:color="auto" w:sz="4" w:space="0"/>
              <w:left w:val="nil"/>
              <w:bottom w:val="single" w:color="auto" w:sz="4" w:space="0"/>
              <w:right w:val="single" w:color="000000" w:sz="4" w:space="0"/>
            </w:tcBorders>
            <w:shd w:val="clear" w:color="000000" w:fill="FFFFFF"/>
          </w:tcPr>
          <w:p>
            <w:pPr>
              <w:spacing w:line="240" w:lineRule="auto"/>
              <w:rPr>
                <w:rFonts w:ascii="等线" w:eastAsia="等线" w:cs="宋体"/>
                <w:color w:val="000000"/>
                <w:sz w:val="22"/>
                <w:szCs w:val="22"/>
              </w:rPr>
            </w:pPr>
            <w:r>
              <w:rPr>
                <w:rFonts w:hint="eastAsia" w:ascii="等线" w:eastAsia="等线" w:cs="宋体"/>
                <w:color w:val="000000"/>
                <w:sz w:val="22"/>
                <w:szCs w:val="22"/>
              </w:rPr>
              <w:t>1.进一步加强教育合作与交流，中外学生及教师交流人数大于50人次</w:t>
            </w:r>
            <w:r>
              <w:rPr>
                <w:rFonts w:hint="eastAsia" w:ascii="等线" w:eastAsia="等线" w:cs="宋体"/>
                <w:color w:val="000000"/>
                <w:sz w:val="22"/>
                <w:szCs w:val="22"/>
              </w:rPr>
              <w:br w:type="textWrapping"/>
            </w:r>
            <w:r>
              <w:rPr>
                <w:rFonts w:hint="eastAsia" w:ascii="等线" w:eastAsia="等线" w:cs="宋体"/>
                <w:color w:val="000000"/>
                <w:sz w:val="22"/>
                <w:szCs w:val="22"/>
              </w:rPr>
              <w:t>2.培养海南少数民族优秀学生，毕业服务海南人数比率达到70%以上。</w:t>
            </w:r>
          </w:p>
        </w:tc>
        <w:tc>
          <w:tcPr>
            <w:tcW w:w="240" w:type="dxa"/>
            <w:tcBorders>
              <w:top w:val="nil"/>
              <w:left w:val="nil"/>
              <w:bottom w:val="nil"/>
              <w:right w:val="nil"/>
            </w:tcBorders>
            <w:shd w:val="clear" w:color="000000" w:fill="FFFFFF"/>
            <w:noWrap/>
            <w:vAlign w:val="center"/>
          </w:tcPr>
          <w:p>
            <w:pPr>
              <w:spacing w:line="240" w:lineRule="auto"/>
              <w:rPr>
                <w:rFonts w:eastAsia="宋体" w:cs="宋体"/>
                <w:sz w:val="24"/>
              </w:rPr>
            </w:pPr>
            <w:r>
              <w:rPr>
                <w:rFonts w:hint="eastAsia" w:eastAsia="宋体" w:cs="宋体"/>
                <w:sz w:val="24"/>
              </w:rPr>
              <w:t>　</w:t>
            </w:r>
          </w:p>
        </w:tc>
      </w:tr>
      <w:tr>
        <w:tblPrEx>
          <w:tblCellMar>
            <w:top w:w="0" w:type="dxa"/>
            <w:left w:w="108" w:type="dxa"/>
            <w:bottom w:w="0" w:type="dxa"/>
            <w:right w:w="108" w:type="dxa"/>
          </w:tblCellMar>
        </w:tblPrEx>
        <w:trPr>
          <w:trHeight w:val="570" w:hRule="atLeast"/>
        </w:trPr>
        <w:tc>
          <w:tcPr>
            <w:tcW w:w="1077" w:type="dxa"/>
            <w:tcBorders>
              <w:top w:val="nil"/>
              <w:left w:val="single" w:color="auto" w:sz="4" w:space="0"/>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一级指标</w:t>
            </w:r>
          </w:p>
        </w:tc>
        <w:tc>
          <w:tcPr>
            <w:tcW w:w="1070"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二级指标</w:t>
            </w:r>
          </w:p>
        </w:tc>
        <w:tc>
          <w:tcPr>
            <w:tcW w:w="2711" w:type="dxa"/>
            <w:gridSpan w:val="2"/>
            <w:tcBorders>
              <w:top w:val="single" w:color="auto" w:sz="4" w:space="0"/>
              <w:left w:val="nil"/>
              <w:bottom w:val="single" w:color="auto" w:sz="4" w:space="0"/>
              <w:right w:val="single" w:color="000000"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三级指标</w:t>
            </w:r>
          </w:p>
        </w:tc>
        <w:tc>
          <w:tcPr>
            <w:tcW w:w="1111"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指标性质</w:t>
            </w:r>
          </w:p>
        </w:tc>
        <w:tc>
          <w:tcPr>
            <w:tcW w:w="924"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年度指标值</w:t>
            </w:r>
          </w:p>
        </w:tc>
        <w:tc>
          <w:tcPr>
            <w:tcW w:w="1017"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度量单位</w:t>
            </w:r>
          </w:p>
        </w:tc>
        <w:tc>
          <w:tcPr>
            <w:tcW w:w="887"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实际完成值</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完成率</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分值</w:t>
            </w:r>
          </w:p>
        </w:tc>
        <w:tc>
          <w:tcPr>
            <w:tcW w:w="876"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得分</w:t>
            </w:r>
          </w:p>
        </w:tc>
        <w:tc>
          <w:tcPr>
            <w:tcW w:w="1539" w:type="dxa"/>
            <w:gridSpan w:val="2"/>
            <w:tcBorders>
              <w:top w:val="single" w:color="auto" w:sz="4" w:space="0"/>
              <w:left w:val="nil"/>
              <w:bottom w:val="single" w:color="auto" w:sz="4" w:space="0"/>
              <w:right w:val="nil"/>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未完成原因分析</w:t>
            </w:r>
          </w:p>
        </w:tc>
      </w:tr>
      <w:tr>
        <w:tblPrEx>
          <w:tblCellMar>
            <w:top w:w="0" w:type="dxa"/>
            <w:left w:w="108" w:type="dxa"/>
            <w:bottom w:w="0" w:type="dxa"/>
            <w:right w:w="108" w:type="dxa"/>
          </w:tblCellMar>
        </w:tblPrEx>
        <w:trPr>
          <w:trHeight w:val="623" w:hRule="atLeast"/>
        </w:trPr>
        <w:tc>
          <w:tcPr>
            <w:tcW w:w="1077"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产出指标</w:t>
            </w:r>
          </w:p>
        </w:tc>
        <w:tc>
          <w:tcPr>
            <w:tcW w:w="1070"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数量指标</w:t>
            </w:r>
          </w:p>
        </w:tc>
        <w:tc>
          <w:tcPr>
            <w:tcW w:w="2711"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xml:space="preserve">  中外学生及教师交流人数</w:t>
            </w:r>
          </w:p>
        </w:tc>
        <w:tc>
          <w:tcPr>
            <w:tcW w:w="1111"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24"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50</w:t>
            </w:r>
          </w:p>
        </w:tc>
        <w:tc>
          <w:tcPr>
            <w:tcW w:w="101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人/次</w:t>
            </w:r>
          </w:p>
        </w:tc>
        <w:tc>
          <w:tcPr>
            <w:tcW w:w="887"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51</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5.00</w:t>
            </w:r>
          </w:p>
        </w:tc>
        <w:tc>
          <w:tcPr>
            <w:tcW w:w="87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5</w:t>
            </w:r>
          </w:p>
        </w:tc>
        <w:tc>
          <w:tcPr>
            <w:tcW w:w="1539" w:type="dxa"/>
            <w:gridSpan w:val="2"/>
            <w:tcBorders>
              <w:top w:val="single" w:color="auto" w:sz="4" w:space="0"/>
              <w:left w:val="nil"/>
              <w:bottom w:val="single" w:color="auto" w:sz="4" w:space="0"/>
              <w:right w:val="single" w:color="auto" w:sz="4" w:space="0"/>
            </w:tcBorders>
            <w:shd w:val="clear" w:color="000000" w:fill="FFFFFF"/>
            <w:noWrap/>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1077"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产出指标</w:t>
            </w:r>
          </w:p>
        </w:tc>
        <w:tc>
          <w:tcPr>
            <w:tcW w:w="1070"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数量指标</w:t>
            </w:r>
          </w:p>
        </w:tc>
        <w:tc>
          <w:tcPr>
            <w:tcW w:w="2711"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海南少数民族特招班学生毕业率</w:t>
            </w:r>
          </w:p>
        </w:tc>
        <w:tc>
          <w:tcPr>
            <w:tcW w:w="1111"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24"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95</w:t>
            </w:r>
          </w:p>
        </w:tc>
        <w:tc>
          <w:tcPr>
            <w:tcW w:w="101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887"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98</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60.00</w:t>
            </w:r>
          </w:p>
        </w:tc>
        <w:tc>
          <w:tcPr>
            <w:tcW w:w="87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60</w:t>
            </w:r>
          </w:p>
        </w:tc>
        <w:tc>
          <w:tcPr>
            <w:tcW w:w="1539" w:type="dxa"/>
            <w:gridSpan w:val="2"/>
            <w:tcBorders>
              <w:top w:val="single" w:color="auto" w:sz="4" w:space="0"/>
              <w:left w:val="nil"/>
              <w:bottom w:val="single" w:color="auto" w:sz="4" w:space="0"/>
              <w:right w:val="single" w:color="auto" w:sz="4" w:space="0"/>
            </w:tcBorders>
            <w:shd w:val="clear" w:color="000000" w:fill="FFFFFF"/>
            <w:noWrap/>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1077"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效益指标</w:t>
            </w:r>
          </w:p>
        </w:tc>
        <w:tc>
          <w:tcPr>
            <w:tcW w:w="1070"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社会效益指标</w:t>
            </w:r>
          </w:p>
        </w:tc>
        <w:tc>
          <w:tcPr>
            <w:tcW w:w="2711"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培养学生服务海南人数比率</w:t>
            </w:r>
          </w:p>
        </w:tc>
        <w:tc>
          <w:tcPr>
            <w:tcW w:w="1111"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24"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70</w:t>
            </w:r>
          </w:p>
        </w:tc>
        <w:tc>
          <w:tcPr>
            <w:tcW w:w="101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887"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80</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15.00</w:t>
            </w:r>
          </w:p>
        </w:tc>
        <w:tc>
          <w:tcPr>
            <w:tcW w:w="87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15</w:t>
            </w:r>
          </w:p>
        </w:tc>
        <w:tc>
          <w:tcPr>
            <w:tcW w:w="1539" w:type="dxa"/>
            <w:gridSpan w:val="2"/>
            <w:tcBorders>
              <w:top w:val="single" w:color="auto" w:sz="4" w:space="0"/>
              <w:left w:val="nil"/>
              <w:bottom w:val="single" w:color="auto" w:sz="4" w:space="0"/>
              <w:right w:val="single" w:color="auto" w:sz="4" w:space="0"/>
            </w:tcBorders>
            <w:shd w:val="clear" w:color="000000" w:fill="FFFFFF"/>
            <w:noWrap/>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1077"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满意度指标</w:t>
            </w:r>
          </w:p>
        </w:tc>
        <w:tc>
          <w:tcPr>
            <w:tcW w:w="1070"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服务对象满意度</w:t>
            </w:r>
          </w:p>
        </w:tc>
        <w:tc>
          <w:tcPr>
            <w:tcW w:w="2711"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学生满意率</w:t>
            </w:r>
          </w:p>
        </w:tc>
        <w:tc>
          <w:tcPr>
            <w:tcW w:w="1111"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24"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80</w:t>
            </w:r>
          </w:p>
        </w:tc>
        <w:tc>
          <w:tcPr>
            <w:tcW w:w="101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887"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95</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w:t>
            </w:r>
          </w:p>
        </w:tc>
        <w:tc>
          <w:tcPr>
            <w:tcW w:w="87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w:t>
            </w:r>
          </w:p>
        </w:tc>
        <w:tc>
          <w:tcPr>
            <w:tcW w:w="1539" w:type="dxa"/>
            <w:gridSpan w:val="2"/>
            <w:tcBorders>
              <w:top w:val="single" w:color="auto" w:sz="4" w:space="0"/>
              <w:left w:val="nil"/>
              <w:bottom w:val="single" w:color="auto" w:sz="4" w:space="0"/>
              <w:right w:val="single" w:color="auto" w:sz="4" w:space="0"/>
            </w:tcBorders>
            <w:shd w:val="clear" w:color="000000" w:fill="FFFFFF"/>
            <w:noWrap/>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9783" w:type="dxa"/>
            <w:gridSpan w:val="9"/>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合计</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7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w:t>
            </w:r>
          </w:p>
        </w:tc>
        <w:tc>
          <w:tcPr>
            <w:tcW w:w="1539" w:type="dxa"/>
            <w:gridSpan w:val="2"/>
            <w:tcBorders>
              <w:top w:val="single" w:color="auto" w:sz="4" w:space="0"/>
              <w:left w:val="nil"/>
              <w:bottom w:val="single" w:color="auto" w:sz="4" w:space="0"/>
              <w:right w:val="single" w:color="auto" w:sz="4" w:space="0"/>
            </w:tcBorders>
            <w:shd w:val="clear" w:color="000000" w:fill="FFFFFF"/>
            <w:noWrap/>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bl>
    <w:p>
      <w:pPr>
        <w:spacing w:line="560" w:lineRule="exact"/>
        <w:ind w:firstLine="640" w:firstLineChars="200"/>
        <w:rPr>
          <w:rFonts w:hint="eastAsia" w:ascii="仿宋" w:hAnsi="仿宋" w:eastAsia="仿宋"/>
          <w:color w:val="000000"/>
          <w:szCs w:val="32"/>
        </w:rPr>
      </w:pPr>
      <w:r>
        <w:rPr>
          <w:rFonts w:hint="eastAsia" w:ascii="仿宋" w:hAnsi="仿宋" w:eastAsia="仿宋"/>
          <w:color w:val="000000"/>
          <w:szCs w:val="32"/>
        </w:rPr>
        <w:t>教育合作与交流项目绩效自评报告：根据年初设定的绩效目标，项目绩效自评得分为100分。全年预算数为360.00万元，执行数为359.90万元，完成预算的99.97%。项目绩效目标完成情况:</w:t>
      </w:r>
      <w:r>
        <w:rPr>
          <w:rFonts w:ascii="仿宋" w:hAnsi="仿宋" w:eastAsia="仿宋"/>
          <w:color w:val="000000"/>
          <w:szCs w:val="32"/>
        </w:rPr>
        <w:t>1.进一步加强教育合作与交流，中外学生及教师交流人数大于50人次</w:t>
      </w:r>
      <w:r>
        <w:rPr>
          <w:rFonts w:hint="eastAsia" w:ascii="仿宋" w:hAnsi="仿宋" w:eastAsia="仿宋"/>
          <w:color w:val="000000"/>
          <w:szCs w:val="32"/>
        </w:rPr>
        <w:t>;</w:t>
      </w:r>
      <w:r>
        <w:rPr>
          <w:rFonts w:ascii="仿宋" w:hAnsi="仿宋" w:eastAsia="仿宋"/>
          <w:color w:val="000000"/>
          <w:szCs w:val="32"/>
        </w:rPr>
        <w:t>2.培养海南少数民族优秀学生，毕业服务海南人数比率达到70%以上。</w:t>
      </w:r>
      <w:r>
        <w:rPr>
          <w:rFonts w:hint="eastAsia" w:ascii="仿宋" w:hAnsi="仿宋" w:eastAsia="仿宋"/>
          <w:color w:val="000000"/>
          <w:szCs w:val="32"/>
        </w:rPr>
        <w:t>发现的主要问题及原因：由于每年申报的人数及申报人的实力存在不确定性，导致预算的执行存在不同程度的偏差，如实际录取人数超出基金委下达的名额，需额外追加相应配套费用；如实际录取人数未定到下达的名额，则可能导致预算计划完不成的情况。建议。下一步改进措施：考虑到每年申报该项目的人数及申报人的资质存在诸多不确定性，为妥善解决好预算经费和当年实施情况的偏差，提高预算执行的灵活性，下一年度的预算按当年录取人数计，如下一年度实际录取人数少于计划人数，资金未能足额使用，可将剩余部分顺延至下一年度。</w:t>
      </w:r>
    </w:p>
    <w:p>
      <w:pPr>
        <w:spacing w:line="560" w:lineRule="exact"/>
        <w:jc w:val="both"/>
        <w:rPr>
          <w:rFonts w:hint="eastAsia" w:ascii="楷体" w:hAnsi="楷体" w:eastAsia="楷体" w:cs="楷体"/>
          <w:bCs/>
          <w:color w:val="000000"/>
          <w:szCs w:val="32"/>
        </w:rPr>
      </w:pPr>
      <w:r>
        <w:rPr>
          <w:rFonts w:hint="eastAsia" w:ascii="楷体" w:hAnsi="楷体" w:eastAsia="楷体" w:cs="楷体"/>
          <w:bCs/>
          <w:color w:val="000000"/>
          <w:szCs w:val="32"/>
        </w:rPr>
        <w:t xml:space="preserve">   </w:t>
      </w:r>
    </w:p>
    <w:p>
      <w:pPr>
        <w:spacing w:line="560" w:lineRule="exact"/>
        <w:jc w:val="both"/>
        <w:rPr>
          <w:rFonts w:hint="eastAsia" w:ascii="仿宋" w:hAnsi="仿宋" w:eastAsia="仿宋"/>
          <w:color w:val="000000"/>
          <w:szCs w:val="32"/>
        </w:rPr>
      </w:pPr>
      <w:r>
        <w:rPr>
          <w:rFonts w:hint="eastAsia" w:ascii="楷体" w:hAnsi="楷体" w:eastAsia="楷体" w:cs="楷体"/>
          <w:bCs/>
          <w:color w:val="000000"/>
          <w:szCs w:val="32"/>
        </w:rPr>
        <w:t xml:space="preserve">   </w:t>
      </w:r>
      <w:r>
        <w:rPr>
          <w:rFonts w:hint="eastAsia" w:ascii="仿宋" w:hAnsi="仿宋" w:eastAsia="仿宋" w:cs="楷体"/>
          <w:bCs/>
          <w:color w:val="000000"/>
          <w:szCs w:val="32"/>
        </w:rPr>
        <w:t xml:space="preserve"> </w:t>
      </w:r>
      <w:r>
        <w:rPr>
          <w:rFonts w:hint="eastAsia" w:ascii="仿宋" w:hAnsi="仿宋" w:eastAsia="仿宋"/>
          <w:color w:val="000000"/>
          <w:szCs w:val="32"/>
        </w:rPr>
        <w:t>海南省特色印记工程项目绩效自评表：</w:t>
      </w:r>
    </w:p>
    <w:tbl>
      <w:tblPr>
        <w:tblStyle w:val="13"/>
        <w:tblW w:w="13020" w:type="dxa"/>
        <w:tblInd w:w="474" w:type="dxa"/>
        <w:tblLayout w:type="autofit"/>
        <w:tblCellMar>
          <w:top w:w="0" w:type="dxa"/>
          <w:left w:w="108" w:type="dxa"/>
          <w:bottom w:w="0" w:type="dxa"/>
          <w:right w:w="108" w:type="dxa"/>
        </w:tblCellMar>
      </w:tblPr>
      <w:tblGrid>
        <w:gridCol w:w="1107"/>
        <w:gridCol w:w="1104"/>
        <w:gridCol w:w="1716"/>
        <w:gridCol w:w="1028"/>
        <w:gridCol w:w="1117"/>
        <w:gridCol w:w="948"/>
        <w:gridCol w:w="1046"/>
        <w:gridCol w:w="909"/>
        <w:gridCol w:w="986"/>
        <w:gridCol w:w="880"/>
        <w:gridCol w:w="879"/>
        <w:gridCol w:w="1300"/>
      </w:tblGrid>
      <w:tr>
        <w:tblPrEx>
          <w:tblCellMar>
            <w:top w:w="0" w:type="dxa"/>
            <w:left w:w="108" w:type="dxa"/>
            <w:bottom w:w="0" w:type="dxa"/>
            <w:right w:w="108" w:type="dxa"/>
          </w:tblCellMar>
        </w:tblPrEx>
        <w:trPr>
          <w:trHeight w:val="510" w:hRule="atLeast"/>
        </w:trPr>
        <w:tc>
          <w:tcPr>
            <w:tcW w:w="13020" w:type="dxa"/>
            <w:gridSpan w:val="1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40"/>
                <w:szCs w:val="40"/>
              </w:rPr>
            </w:pPr>
            <w:r>
              <w:rPr>
                <w:rFonts w:hint="eastAsia" w:ascii="等线" w:eastAsia="等线" w:cs="宋体"/>
                <w:b/>
                <w:bCs/>
                <w:color w:val="000000"/>
                <w:sz w:val="40"/>
                <w:szCs w:val="40"/>
              </w:rPr>
              <w:t xml:space="preserve">项目支出绩效自评表 </w:t>
            </w:r>
          </w:p>
        </w:tc>
      </w:tr>
      <w:tr>
        <w:tblPrEx>
          <w:tblCellMar>
            <w:top w:w="0" w:type="dxa"/>
            <w:left w:w="108" w:type="dxa"/>
            <w:bottom w:w="0" w:type="dxa"/>
            <w:right w:w="108" w:type="dxa"/>
          </w:tblCellMar>
        </w:tblPrEx>
        <w:trPr>
          <w:trHeight w:val="432" w:hRule="atLeast"/>
        </w:trPr>
        <w:tc>
          <w:tcPr>
            <w:tcW w:w="1107"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项目名称:</w:t>
            </w:r>
          </w:p>
        </w:tc>
        <w:tc>
          <w:tcPr>
            <w:tcW w:w="11913" w:type="dxa"/>
            <w:gridSpan w:val="11"/>
            <w:tcBorders>
              <w:top w:val="single" w:color="auto" w:sz="4" w:space="0"/>
              <w:left w:val="nil"/>
              <w:bottom w:val="single" w:color="auto" w:sz="4" w:space="0"/>
              <w:right w:val="single" w:color="000000" w:sz="4" w:space="0"/>
            </w:tcBorders>
            <w:shd w:val="clear" w:color="000000" w:fill="FFFFFF"/>
            <w:vAlign w:val="center"/>
          </w:tcPr>
          <w:p>
            <w:pPr>
              <w:spacing w:line="240" w:lineRule="auto"/>
              <w:jc w:val="center"/>
              <w:rPr>
                <w:rFonts w:ascii="等线" w:eastAsia="等线" w:cs="宋体"/>
                <w:color w:val="000000"/>
                <w:sz w:val="22"/>
                <w:szCs w:val="22"/>
              </w:rPr>
            </w:pPr>
            <w:r>
              <w:rPr>
                <w:rFonts w:hint="eastAsia" w:ascii="等线" w:eastAsia="等线" w:cs="宋体"/>
                <w:color w:val="000000"/>
                <w:sz w:val="22"/>
                <w:szCs w:val="22"/>
              </w:rPr>
              <w:t>海南省特色印记工程</w:t>
            </w:r>
          </w:p>
        </w:tc>
      </w:tr>
      <w:tr>
        <w:tblPrEx>
          <w:tblCellMar>
            <w:top w:w="0" w:type="dxa"/>
            <w:left w:w="108" w:type="dxa"/>
            <w:bottom w:w="0" w:type="dxa"/>
            <w:right w:w="108" w:type="dxa"/>
          </w:tblCellMar>
        </w:tblPrEx>
        <w:trPr>
          <w:trHeight w:val="398" w:hRule="atLeast"/>
        </w:trPr>
        <w:tc>
          <w:tcPr>
            <w:tcW w:w="1107"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主管部门:</w:t>
            </w:r>
          </w:p>
        </w:tc>
        <w:tc>
          <w:tcPr>
            <w:tcW w:w="3848" w:type="dxa"/>
            <w:gridSpan w:val="3"/>
            <w:tcBorders>
              <w:top w:val="single" w:color="auto" w:sz="4" w:space="0"/>
              <w:left w:val="nil"/>
              <w:bottom w:val="single" w:color="auto" w:sz="4" w:space="0"/>
              <w:right w:val="single" w:color="000000"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203-省教育厅</w:t>
            </w:r>
          </w:p>
        </w:tc>
        <w:tc>
          <w:tcPr>
            <w:tcW w:w="111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实施单位:</w:t>
            </w:r>
          </w:p>
        </w:tc>
        <w:tc>
          <w:tcPr>
            <w:tcW w:w="6948" w:type="dxa"/>
            <w:gridSpan w:val="7"/>
            <w:tcBorders>
              <w:top w:val="single" w:color="auto" w:sz="4" w:space="0"/>
              <w:left w:val="nil"/>
              <w:bottom w:val="single" w:color="auto" w:sz="4" w:space="0"/>
              <w:right w:val="single" w:color="000000"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203001-省教育厅本级</w:t>
            </w:r>
          </w:p>
        </w:tc>
      </w:tr>
      <w:tr>
        <w:tblPrEx>
          <w:tblCellMar>
            <w:top w:w="0" w:type="dxa"/>
            <w:left w:w="108" w:type="dxa"/>
            <w:bottom w:w="0" w:type="dxa"/>
            <w:right w:w="108" w:type="dxa"/>
          </w:tblCellMar>
        </w:tblPrEx>
        <w:trPr>
          <w:trHeight w:val="315" w:hRule="atLeast"/>
        </w:trPr>
        <w:tc>
          <w:tcPr>
            <w:tcW w:w="2211"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资金构成(元)</w:t>
            </w:r>
          </w:p>
        </w:tc>
        <w:tc>
          <w:tcPr>
            <w:tcW w:w="1716" w:type="dxa"/>
            <w:tcBorders>
              <w:top w:val="nil"/>
              <w:left w:val="nil"/>
              <w:bottom w:val="single" w:color="auto" w:sz="4" w:space="0"/>
              <w:right w:val="nil"/>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年初预算数</w:t>
            </w:r>
          </w:p>
        </w:tc>
        <w:tc>
          <w:tcPr>
            <w:tcW w:w="214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全年预算数</w:t>
            </w:r>
          </w:p>
        </w:tc>
        <w:tc>
          <w:tcPr>
            <w:tcW w:w="3889"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执行数</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分值</w:t>
            </w:r>
          </w:p>
        </w:tc>
        <w:tc>
          <w:tcPr>
            <w:tcW w:w="879" w:type="dxa"/>
            <w:tcBorders>
              <w:top w:val="nil"/>
              <w:left w:val="nil"/>
              <w:bottom w:val="single" w:color="auto" w:sz="4" w:space="0"/>
              <w:right w:val="nil"/>
            </w:tcBorders>
            <w:shd w:val="clear" w:color="000000" w:fill="FFFFFF"/>
            <w:vAlign w:val="center"/>
          </w:tcPr>
          <w:p>
            <w:pPr>
              <w:spacing w:line="240" w:lineRule="auto"/>
              <w:rPr>
                <w:rFonts w:ascii="等线" w:eastAsia="等线" w:cs="宋体"/>
                <w:b/>
                <w:bCs/>
                <w:color w:val="000000"/>
                <w:sz w:val="24"/>
              </w:rPr>
            </w:pPr>
            <w:r>
              <w:rPr>
                <w:rFonts w:hint="eastAsia" w:ascii="等线" w:eastAsia="等线" w:cs="宋体"/>
                <w:b/>
                <w:bCs/>
                <w:color w:val="000000"/>
                <w:sz w:val="24"/>
              </w:rPr>
              <w:t>执行率（%）</w:t>
            </w:r>
          </w:p>
        </w:tc>
        <w:tc>
          <w:tcPr>
            <w:tcW w:w="1300" w:type="dxa"/>
            <w:tcBorders>
              <w:top w:val="nil"/>
              <w:left w:val="single" w:color="auto" w:sz="4" w:space="0"/>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得分</w:t>
            </w:r>
          </w:p>
        </w:tc>
      </w:tr>
      <w:tr>
        <w:tblPrEx>
          <w:tblCellMar>
            <w:top w:w="0" w:type="dxa"/>
            <w:left w:w="108" w:type="dxa"/>
            <w:bottom w:w="0" w:type="dxa"/>
            <w:right w:w="108" w:type="dxa"/>
          </w:tblCellMar>
        </w:tblPrEx>
        <w:trPr>
          <w:trHeight w:val="285" w:hRule="atLeast"/>
        </w:trPr>
        <w:tc>
          <w:tcPr>
            <w:tcW w:w="22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资金总额：</w:t>
            </w:r>
          </w:p>
        </w:tc>
        <w:tc>
          <w:tcPr>
            <w:tcW w:w="171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2,430,000.00</w:t>
            </w:r>
          </w:p>
        </w:tc>
        <w:tc>
          <w:tcPr>
            <w:tcW w:w="2145"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2,430,000.00</w:t>
            </w:r>
          </w:p>
        </w:tc>
        <w:tc>
          <w:tcPr>
            <w:tcW w:w="3889"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2,327,109.42</w:t>
            </w:r>
          </w:p>
        </w:tc>
        <w:tc>
          <w:tcPr>
            <w:tcW w:w="880" w:type="dxa"/>
            <w:tcBorders>
              <w:top w:val="nil"/>
              <w:left w:val="nil"/>
              <w:bottom w:val="single" w:color="auto" w:sz="4" w:space="0"/>
              <w:right w:val="single" w:color="auto" w:sz="4" w:space="0"/>
            </w:tcBorders>
            <w:shd w:val="clear" w:color="000000" w:fill="FFFFFF"/>
            <w:noWrap/>
            <w:vAlign w:val="center"/>
          </w:tcPr>
          <w:p>
            <w:pPr>
              <w:spacing w:line="240" w:lineRule="auto"/>
              <w:jc w:val="center"/>
              <w:rPr>
                <w:rFonts w:ascii="等线" w:eastAsia="等线" w:cs="宋体"/>
                <w:color w:val="000000"/>
                <w:sz w:val="22"/>
                <w:szCs w:val="22"/>
              </w:rPr>
            </w:pPr>
            <w:r>
              <w:rPr>
                <w:rFonts w:hint="eastAsia" w:ascii="等线" w:eastAsia="等线" w:cs="宋体"/>
                <w:color w:val="000000"/>
                <w:sz w:val="22"/>
                <w:szCs w:val="22"/>
              </w:rPr>
              <w:t xml:space="preserve">10.00 </w:t>
            </w:r>
          </w:p>
        </w:tc>
        <w:tc>
          <w:tcPr>
            <w:tcW w:w="879"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95.77</w:t>
            </w:r>
          </w:p>
        </w:tc>
        <w:tc>
          <w:tcPr>
            <w:tcW w:w="1300" w:type="dxa"/>
            <w:tcBorders>
              <w:top w:val="nil"/>
              <w:left w:val="nil"/>
              <w:bottom w:val="single" w:color="auto" w:sz="4" w:space="0"/>
              <w:right w:val="single" w:color="auto" w:sz="4" w:space="0"/>
            </w:tcBorders>
            <w:shd w:val="clear" w:color="000000" w:fill="FFFFFF"/>
            <w:noWrap/>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9.58</w:t>
            </w:r>
          </w:p>
        </w:tc>
      </w:tr>
      <w:tr>
        <w:tblPrEx>
          <w:tblCellMar>
            <w:top w:w="0" w:type="dxa"/>
            <w:left w:w="108" w:type="dxa"/>
            <w:bottom w:w="0" w:type="dxa"/>
            <w:right w:w="108" w:type="dxa"/>
          </w:tblCellMar>
        </w:tblPrEx>
        <w:trPr>
          <w:trHeight w:val="285" w:hRule="atLeast"/>
        </w:trPr>
        <w:tc>
          <w:tcPr>
            <w:tcW w:w="22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其中：财政资金：</w:t>
            </w:r>
          </w:p>
        </w:tc>
        <w:tc>
          <w:tcPr>
            <w:tcW w:w="171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2,430,000.00</w:t>
            </w:r>
          </w:p>
        </w:tc>
        <w:tc>
          <w:tcPr>
            <w:tcW w:w="2145"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2,430,000.00</w:t>
            </w:r>
          </w:p>
        </w:tc>
        <w:tc>
          <w:tcPr>
            <w:tcW w:w="3889"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2,327,109.42</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c>
          <w:tcPr>
            <w:tcW w:w="879"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95.77</w:t>
            </w:r>
          </w:p>
        </w:tc>
        <w:tc>
          <w:tcPr>
            <w:tcW w:w="130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285" w:hRule="atLeast"/>
        </w:trPr>
        <w:tc>
          <w:tcPr>
            <w:tcW w:w="22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单位资金：</w:t>
            </w:r>
          </w:p>
        </w:tc>
        <w:tc>
          <w:tcPr>
            <w:tcW w:w="171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2145"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3889" w:type="dxa"/>
            <w:gridSpan w:val="4"/>
            <w:tcBorders>
              <w:top w:val="nil"/>
              <w:left w:val="nil"/>
              <w:bottom w:val="nil"/>
              <w:right w:val="nil"/>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880" w:type="dxa"/>
            <w:tcBorders>
              <w:top w:val="nil"/>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c>
          <w:tcPr>
            <w:tcW w:w="879"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w:t>
            </w:r>
          </w:p>
        </w:tc>
        <w:tc>
          <w:tcPr>
            <w:tcW w:w="130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285" w:hRule="atLeast"/>
        </w:trPr>
        <w:tc>
          <w:tcPr>
            <w:tcW w:w="22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财政专户管理资金：</w:t>
            </w:r>
          </w:p>
        </w:tc>
        <w:tc>
          <w:tcPr>
            <w:tcW w:w="171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2145"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3889"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c>
          <w:tcPr>
            <w:tcW w:w="879"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w:t>
            </w:r>
          </w:p>
        </w:tc>
        <w:tc>
          <w:tcPr>
            <w:tcW w:w="130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285" w:hRule="atLeast"/>
        </w:trPr>
        <w:tc>
          <w:tcPr>
            <w:tcW w:w="6072"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年度目标</w:t>
            </w:r>
          </w:p>
        </w:tc>
        <w:tc>
          <w:tcPr>
            <w:tcW w:w="6948" w:type="dxa"/>
            <w:gridSpan w:val="7"/>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年度目标完成情况</w:t>
            </w:r>
          </w:p>
        </w:tc>
      </w:tr>
      <w:tr>
        <w:tblPrEx>
          <w:tblCellMar>
            <w:top w:w="0" w:type="dxa"/>
            <w:left w:w="108" w:type="dxa"/>
            <w:bottom w:w="0" w:type="dxa"/>
            <w:right w:w="108" w:type="dxa"/>
          </w:tblCellMar>
        </w:tblPrEx>
        <w:trPr>
          <w:trHeight w:val="1890" w:hRule="atLeast"/>
        </w:trPr>
        <w:tc>
          <w:tcPr>
            <w:tcW w:w="6072" w:type="dxa"/>
            <w:gridSpan w:val="5"/>
            <w:tcBorders>
              <w:top w:val="single" w:color="auto" w:sz="4" w:space="0"/>
              <w:left w:val="single" w:color="auto" w:sz="4" w:space="0"/>
              <w:bottom w:val="single" w:color="auto" w:sz="4" w:space="0"/>
              <w:right w:val="single" w:color="000000" w:sz="4" w:space="0"/>
            </w:tcBorders>
            <w:shd w:val="clear" w:color="000000" w:fill="FFFFFF"/>
          </w:tcPr>
          <w:p>
            <w:pPr>
              <w:spacing w:line="240" w:lineRule="auto"/>
              <w:rPr>
                <w:rFonts w:ascii="等线" w:eastAsia="等线" w:cs="宋体"/>
                <w:color w:val="000000"/>
                <w:sz w:val="22"/>
                <w:szCs w:val="22"/>
              </w:rPr>
            </w:pPr>
            <w:r>
              <w:rPr>
                <w:rFonts w:hint="eastAsia" w:ascii="等线" w:eastAsia="等线" w:cs="宋体"/>
                <w:color w:val="000000"/>
                <w:sz w:val="22"/>
                <w:szCs w:val="22"/>
              </w:rPr>
              <w:t>目标1：通过项目实施，支持教育部美育浸润行动计划学校1所，海南省椰苗美育行动计划项目6个。</w:t>
            </w:r>
            <w:r>
              <w:rPr>
                <w:rFonts w:hint="eastAsia" w:ascii="等线" w:eastAsia="等线" w:cs="宋体"/>
                <w:color w:val="000000"/>
                <w:sz w:val="22"/>
                <w:szCs w:val="22"/>
              </w:rPr>
              <w:br w:type="textWrapping"/>
            </w:r>
            <w:r>
              <w:rPr>
                <w:rFonts w:hint="eastAsia" w:ascii="等线" w:eastAsia="等线" w:cs="宋体"/>
                <w:color w:val="000000"/>
                <w:sz w:val="22"/>
                <w:szCs w:val="22"/>
              </w:rPr>
              <w:t>目标2：为学生搭建美育实践活动平台，举办省级学生艺术专项展示活动，开展海南省高雅艺术进校园演出20场。目标3：开展50人以上中小学美育教师专业技能培训，中小学艺术教师专业能力得到提高。</w:t>
            </w:r>
          </w:p>
        </w:tc>
        <w:tc>
          <w:tcPr>
            <w:tcW w:w="6948" w:type="dxa"/>
            <w:gridSpan w:val="7"/>
            <w:tcBorders>
              <w:top w:val="single" w:color="auto" w:sz="4" w:space="0"/>
              <w:left w:val="nil"/>
              <w:bottom w:val="single" w:color="auto" w:sz="4" w:space="0"/>
              <w:right w:val="single" w:color="000000" w:sz="4" w:space="0"/>
            </w:tcBorders>
            <w:shd w:val="clear" w:color="000000" w:fill="FFFFFF"/>
          </w:tcPr>
          <w:p>
            <w:pPr>
              <w:spacing w:line="240" w:lineRule="auto"/>
              <w:rPr>
                <w:rFonts w:ascii="等线" w:eastAsia="等线" w:cs="宋体"/>
                <w:color w:val="000000"/>
                <w:sz w:val="22"/>
                <w:szCs w:val="22"/>
              </w:rPr>
            </w:pPr>
            <w:r>
              <w:rPr>
                <w:rFonts w:hint="eastAsia" w:ascii="等线" w:eastAsia="等线" w:cs="宋体"/>
                <w:color w:val="000000"/>
                <w:sz w:val="22"/>
                <w:szCs w:val="22"/>
              </w:rPr>
              <w:t>1、海南省椰苗美育行动计划在6个市县全面实施；2、举办2022年海南省中小学生美育赛事活动，全省共853个节目进入复赛，306个节目进入决赛现场；4、开展海南省高雅艺术进校园演出20场；5、举办海南省中小学音乐教师合唱指挥和钢琴即兴伴奏两期培训班，全省共134名中小学音乐教师参加培训；6、委托开展特色印记工程课题5项；7、认定海南省第三批中小学美育示范学校20所。</w:t>
            </w:r>
          </w:p>
        </w:tc>
      </w:tr>
      <w:tr>
        <w:tblPrEx>
          <w:tblCellMar>
            <w:top w:w="0" w:type="dxa"/>
            <w:left w:w="108" w:type="dxa"/>
            <w:bottom w:w="0" w:type="dxa"/>
            <w:right w:w="108" w:type="dxa"/>
          </w:tblCellMar>
        </w:tblPrEx>
        <w:trPr>
          <w:trHeight w:val="570" w:hRule="atLeast"/>
        </w:trPr>
        <w:tc>
          <w:tcPr>
            <w:tcW w:w="1107" w:type="dxa"/>
            <w:tcBorders>
              <w:top w:val="nil"/>
              <w:left w:val="single" w:color="auto" w:sz="4" w:space="0"/>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一级指标</w:t>
            </w:r>
          </w:p>
        </w:tc>
        <w:tc>
          <w:tcPr>
            <w:tcW w:w="1104"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二级指标</w:t>
            </w:r>
          </w:p>
        </w:tc>
        <w:tc>
          <w:tcPr>
            <w:tcW w:w="2744" w:type="dxa"/>
            <w:gridSpan w:val="2"/>
            <w:tcBorders>
              <w:top w:val="single" w:color="auto" w:sz="4" w:space="0"/>
              <w:left w:val="nil"/>
              <w:bottom w:val="single" w:color="auto" w:sz="4" w:space="0"/>
              <w:right w:val="single" w:color="000000"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三级指标</w:t>
            </w:r>
          </w:p>
        </w:tc>
        <w:tc>
          <w:tcPr>
            <w:tcW w:w="1117"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指标性质</w:t>
            </w:r>
          </w:p>
        </w:tc>
        <w:tc>
          <w:tcPr>
            <w:tcW w:w="948"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年度指标值</w:t>
            </w:r>
          </w:p>
        </w:tc>
        <w:tc>
          <w:tcPr>
            <w:tcW w:w="1046"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度量单位</w:t>
            </w:r>
          </w:p>
        </w:tc>
        <w:tc>
          <w:tcPr>
            <w:tcW w:w="909"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实际完成值</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完成率</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分值</w:t>
            </w:r>
          </w:p>
        </w:tc>
        <w:tc>
          <w:tcPr>
            <w:tcW w:w="879"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得分</w:t>
            </w:r>
          </w:p>
        </w:tc>
        <w:tc>
          <w:tcPr>
            <w:tcW w:w="1300" w:type="dxa"/>
            <w:tcBorders>
              <w:top w:val="nil"/>
              <w:left w:val="nil"/>
              <w:bottom w:val="single" w:color="auto" w:sz="4" w:space="0"/>
              <w:right w:val="nil"/>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未完成原因分析</w:t>
            </w:r>
          </w:p>
        </w:tc>
      </w:tr>
      <w:tr>
        <w:tblPrEx>
          <w:tblCellMar>
            <w:top w:w="0" w:type="dxa"/>
            <w:left w:w="108" w:type="dxa"/>
            <w:bottom w:w="0" w:type="dxa"/>
            <w:right w:w="108" w:type="dxa"/>
          </w:tblCellMar>
        </w:tblPrEx>
        <w:trPr>
          <w:trHeight w:val="623" w:hRule="atLeast"/>
        </w:trPr>
        <w:tc>
          <w:tcPr>
            <w:tcW w:w="1107"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产出指标</w:t>
            </w:r>
          </w:p>
        </w:tc>
        <w:tc>
          <w:tcPr>
            <w:tcW w:w="1104"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数量指标</w:t>
            </w:r>
          </w:p>
        </w:tc>
        <w:tc>
          <w:tcPr>
            <w:tcW w:w="2744"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海南省椰苗行动计划学校6所</w:t>
            </w:r>
          </w:p>
        </w:tc>
        <w:tc>
          <w:tcPr>
            <w:tcW w:w="111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4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6</w:t>
            </w:r>
          </w:p>
        </w:tc>
        <w:tc>
          <w:tcPr>
            <w:tcW w:w="1046"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所</w:t>
            </w:r>
          </w:p>
        </w:tc>
        <w:tc>
          <w:tcPr>
            <w:tcW w:w="909"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6</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30.00</w:t>
            </w:r>
          </w:p>
        </w:tc>
        <w:tc>
          <w:tcPr>
            <w:tcW w:w="879"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30</w:t>
            </w:r>
          </w:p>
        </w:tc>
        <w:tc>
          <w:tcPr>
            <w:tcW w:w="1300" w:type="dxa"/>
            <w:tcBorders>
              <w:top w:val="nil"/>
              <w:left w:val="nil"/>
              <w:bottom w:val="single" w:color="auto" w:sz="4" w:space="0"/>
              <w:right w:val="single" w:color="auto" w:sz="4" w:space="0"/>
            </w:tcBorders>
            <w:shd w:val="clear" w:color="000000" w:fill="FFFFFF"/>
            <w:noWrap/>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1107"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产出指标</w:t>
            </w:r>
          </w:p>
        </w:tc>
        <w:tc>
          <w:tcPr>
            <w:tcW w:w="1104"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数量指标</w:t>
            </w:r>
          </w:p>
        </w:tc>
        <w:tc>
          <w:tcPr>
            <w:tcW w:w="2744"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开展海南省高雅艺术进校园演出20场</w:t>
            </w:r>
          </w:p>
        </w:tc>
        <w:tc>
          <w:tcPr>
            <w:tcW w:w="111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4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20</w:t>
            </w:r>
          </w:p>
        </w:tc>
        <w:tc>
          <w:tcPr>
            <w:tcW w:w="1046"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个</w:t>
            </w:r>
          </w:p>
        </w:tc>
        <w:tc>
          <w:tcPr>
            <w:tcW w:w="909"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20</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20.00</w:t>
            </w:r>
          </w:p>
        </w:tc>
        <w:tc>
          <w:tcPr>
            <w:tcW w:w="879"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20</w:t>
            </w:r>
          </w:p>
        </w:tc>
        <w:tc>
          <w:tcPr>
            <w:tcW w:w="1300" w:type="dxa"/>
            <w:tcBorders>
              <w:top w:val="nil"/>
              <w:left w:val="nil"/>
              <w:bottom w:val="single" w:color="auto" w:sz="4" w:space="0"/>
              <w:right w:val="single" w:color="auto" w:sz="4" w:space="0"/>
            </w:tcBorders>
            <w:shd w:val="clear" w:color="000000" w:fill="FFFFFF"/>
            <w:noWrap/>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1107"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效益指标</w:t>
            </w:r>
          </w:p>
        </w:tc>
        <w:tc>
          <w:tcPr>
            <w:tcW w:w="1104"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社会效益指标</w:t>
            </w:r>
          </w:p>
        </w:tc>
        <w:tc>
          <w:tcPr>
            <w:tcW w:w="2744"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师生艺术展演活动参与率</w:t>
            </w:r>
          </w:p>
        </w:tc>
        <w:tc>
          <w:tcPr>
            <w:tcW w:w="111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4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30</w:t>
            </w:r>
          </w:p>
        </w:tc>
        <w:tc>
          <w:tcPr>
            <w:tcW w:w="1046"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09"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30</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20.00</w:t>
            </w:r>
          </w:p>
        </w:tc>
        <w:tc>
          <w:tcPr>
            <w:tcW w:w="879"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20</w:t>
            </w:r>
          </w:p>
        </w:tc>
        <w:tc>
          <w:tcPr>
            <w:tcW w:w="1300" w:type="dxa"/>
            <w:tcBorders>
              <w:top w:val="nil"/>
              <w:left w:val="nil"/>
              <w:bottom w:val="single" w:color="auto" w:sz="4" w:space="0"/>
              <w:right w:val="single" w:color="auto" w:sz="4" w:space="0"/>
            </w:tcBorders>
            <w:shd w:val="clear" w:color="000000" w:fill="FFFFFF"/>
            <w:noWrap/>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1107"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满意度指标</w:t>
            </w:r>
          </w:p>
        </w:tc>
        <w:tc>
          <w:tcPr>
            <w:tcW w:w="1104"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服务对象满意度</w:t>
            </w:r>
          </w:p>
        </w:tc>
        <w:tc>
          <w:tcPr>
            <w:tcW w:w="2744"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学校、师生、家长满意率</w:t>
            </w:r>
          </w:p>
        </w:tc>
        <w:tc>
          <w:tcPr>
            <w:tcW w:w="111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4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85</w:t>
            </w:r>
          </w:p>
        </w:tc>
        <w:tc>
          <w:tcPr>
            <w:tcW w:w="1046"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09"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85</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20.00</w:t>
            </w:r>
          </w:p>
        </w:tc>
        <w:tc>
          <w:tcPr>
            <w:tcW w:w="879"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20</w:t>
            </w:r>
          </w:p>
        </w:tc>
        <w:tc>
          <w:tcPr>
            <w:tcW w:w="1300" w:type="dxa"/>
            <w:tcBorders>
              <w:top w:val="nil"/>
              <w:left w:val="nil"/>
              <w:bottom w:val="single" w:color="auto" w:sz="4" w:space="0"/>
              <w:right w:val="single" w:color="auto" w:sz="4" w:space="0"/>
            </w:tcBorders>
            <w:shd w:val="clear" w:color="000000" w:fill="FFFFFF"/>
            <w:noWrap/>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9961" w:type="dxa"/>
            <w:gridSpan w:val="9"/>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合计</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79"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99.58</w:t>
            </w:r>
          </w:p>
        </w:tc>
        <w:tc>
          <w:tcPr>
            <w:tcW w:w="1300" w:type="dxa"/>
            <w:tcBorders>
              <w:top w:val="nil"/>
              <w:left w:val="nil"/>
              <w:bottom w:val="single" w:color="auto" w:sz="4" w:space="0"/>
              <w:right w:val="single" w:color="auto" w:sz="4" w:space="0"/>
            </w:tcBorders>
            <w:shd w:val="clear" w:color="000000" w:fill="FFFFFF"/>
            <w:noWrap/>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bl>
    <w:p>
      <w:pPr>
        <w:spacing w:line="560" w:lineRule="exact"/>
        <w:ind w:firstLine="640" w:firstLineChars="200"/>
        <w:rPr>
          <w:rFonts w:ascii="仿宋" w:hAnsi="仿宋" w:eastAsia="仿宋"/>
          <w:color w:val="000000"/>
          <w:szCs w:val="32"/>
        </w:rPr>
      </w:pPr>
      <w:r>
        <w:rPr>
          <w:rFonts w:hint="eastAsia" w:ascii="仿宋" w:hAnsi="仿宋" w:eastAsia="仿宋"/>
          <w:color w:val="000000"/>
          <w:szCs w:val="32"/>
        </w:rPr>
        <w:t>海南省特色印记工程项目绩效自评报告：根据年初设定的绩效目标，项目绩效自评得分为99.58分。全年预算数为243.00万元，执行数为232.71万元，完成预算的99.58%。项目绩效目标完成情况: 1、海南省椰苗美育行动在6个市县全面实施；2、举办2022年海南省中小学生美育赛事活动，全省共853个节目进入复赛，306个节目进入决赛现场；4、开展海南省高雅艺术进校园演出20场；5、举办海南省中小学音乐教师合唱指挥和钢琴即兴伴奏两期培训班，全省共134名中小学音乐教师参加培训；6、委托开展特色印记工程课题5项；7、认定海南省第三批中小学美育示范学校20所。发现的主要问题及原因：无。下一步改进措施：无。</w:t>
      </w:r>
    </w:p>
    <w:p>
      <w:pPr>
        <w:spacing w:line="560" w:lineRule="exact"/>
        <w:jc w:val="both"/>
        <w:rPr>
          <w:rFonts w:hint="eastAsia" w:ascii="仿宋" w:hAnsi="仿宋" w:eastAsia="仿宋"/>
          <w:color w:val="000000"/>
          <w:szCs w:val="32"/>
        </w:rPr>
      </w:pPr>
    </w:p>
    <w:p>
      <w:pPr>
        <w:spacing w:line="560" w:lineRule="exact"/>
        <w:jc w:val="both"/>
        <w:rPr>
          <w:rFonts w:hint="eastAsia" w:ascii="仿宋_GB2312"/>
          <w:color w:val="000000"/>
          <w:szCs w:val="32"/>
        </w:rPr>
      </w:pPr>
      <w:r>
        <w:rPr>
          <w:rFonts w:hint="eastAsia" w:ascii="楷体" w:hAnsi="楷体" w:eastAsia="楷体" w:cs="楷体"/>
          <w:bCs/>
          <w:color w:val="000000"/>
          <w:szCs w:val="32"/>
        </w:rPr>
        <w:t xml:space="preserve">   </w:t>
      </w:r>
      <w:r>
        <w:rPr>
          <w:rFonts w:hint="eastAsia" w:ascii="仿宋" w:hAnsi="仿宋" w:eastAsia="仿宋" w:cs="楷体"/>
          <w:bCs/>
          <w:color w:val="000000"/>
          <w:szCs w:val="32"/>
        </w:rPr>
        <w:t xml:space="preserve"> </w:t>
      </w:r>
      <w:r>
        <w:rPr>
          <w:rFonts w:hint="eastAsia" w:ascii="仿宋" w:hAnsi="仿宋" w:eastAsia="仿宋"/>
          <w:color w:val="000000"/>
          <w:szCs w:val="32"/>
        </w:rPr>
        <w:t>中小学幼儿园教师国家级培训计划项目绩效自评表</w:t>
      </w:r>
      <w:r>
        <w:rPr>
          <w:rFonts w:hint="eastAsia" w:ascii="仿宋_GB2312"/>
          <w:color w:val="000000"/>
          <w:szCs w:val="32"/>
        </w:rPr>
        <w:t>：</w:t>
      </w:r>
    </w:p>
    <w:tbl>
      <w:tblPr>
        <w:tblStyle w:val="13"/>
        <w:tblW w:w="13060" w:type="dxa"/>
        <w:tblInd w:w="103" w:type="dxa"/>
        <w:tblLayout w:type="autofit"/>
        <w:tblCellMar>
          <w:top w:w="0" w:type="dxa"/>
          <w:left w:w="108" w:type="dxa"/>
          <w:bottom w:w="0" w:type="dxa"/>
          <w:right w:w="108" w:type="dxa"/>
        </w:tblCellMar>
      </w:tblPr>
      <w:tblGrid>
        <w:gridCol w:w="1067"/>
        <w:gridCol w:w="1057"/>
        <w:gridCol w:w="1713"/>
        <w:gridCol w:w="1004"/>
        <w:gridCol w:w="1107"/>
        <w:gridCol w:w="942"/>
        <w:gridCol w:w="1003"/>
        <w:gridCol w:w="905"/>
        <w:gridCol w:w="986"/>
        <w:gridCol w:w="880"/>
        <w:gridCol w:w="874"/>
        <w:gridCol w:w="1300"/>
        <w:gridCol w:w="222"/>
      </w:tblGrid>
      <w:tr>
        <w:tblPrEx>
          <w:tblCellMar>
            <w:top w:w="0" w:type="dxa"/>
            <w:left w:w="108" w:type="dxa"/>
            <w:bottom w:w="0" w:type="dxa"/>
            <w:right w:w="108" w:type="dxa"/>
          </w:tblCellMar>
        </w:tblPrEx>
        <w:trPr>
          <w:trHeight w:val="510" w:hRule="atLeast"/>
        </w:trPr>
        <w:tc>
          <w:tcPr>
            <w:tcW w:w="12838" w:type="dxa"/>
            <w:gridSpan w:val="1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40"/>
                <w:szCs w:val="40"/>
              </w:rPr>
            </w:pPr>
            <w:r>
              <w:rPr>
                <w:rFonts w:hint="eastAsia" w:ascii="等线" w:eastAsia="等线" w:cs="宋体"/>
                <w:b/>
                <w:bCs/>
                <w:color w:val="000000"/>
                <w:sz w:val="40"/>
                <w:szCs w:val="40"/>
              </w:rPr>
              <w:t xml:space="preserve">项目支出绩效自评表 </w:t>
            </w:r>
          </w:p>
        </w:tc>
        <w:tc>
          <w:tcPr>
            <w:tcW w:w="222" w:type="dxa"/>
            <w:tcBorders>
              <w:top w:val="nil"/>
              <w:left w:val="nil"/>
              <w:bottom w:val="nil"/>
              <w:right w:val="nil"/>
            </w:tcBorders>
            <w:shd w:val="clear" w:color="000000" w:fill="FFFFFF"/>
            <w:noWrap/>
            <w:vAlign w:val="center"/>
          </w:tcPr>
          <w:p>
            <w:pPr>
              <w:spacing w:line="240" w:lineRule="auto"/>
              <w:rPr>
                <w:rFonts w:eastAsia="宋体" w:cs="宋体"/>
                <w:sz w:val="24"/>
              </w:rPr>
            </w:pPr>
            <w:r>
              <w:rPr>
                <w:rFonts w:hint="eastAsia" w:eastAsia="宋体" w:cs="宋体"/>
                <w:sz w:val="24"/>
              </w:rPr>
              <w:t>　</w:t>
            </w:r>
          </w:p>
        </w:tc>
      </w:tr>
      <w:tr>
        <w:tblPrEx>
          <w:tblCellMar>
            <w:top w:w="0" w:type="dxa"/>
            <w:left w:w="108" w:type="dxa"/>
            <w:bottom w:w="0" w:type="dxa"/>
            <w:right w:w="108" w:type="dxa"/>
          </w:tblCellMar>
        </w:tblPrEx>
        <w:trPr>
          <w:trHeight w:val="432" w:hRule="atLeast"/>
        </w:trPr>
        <w:tc>
          <w:tcPr>
            <w:tcW w:w="1067"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项目名称:</w:t>
            </w:r>
          </w:p>
        </w:tc>
        <w:tc>
          <w:tcPr>
            <w:tcW w:w="11771" w:type="dxa"/>
            <w:gridSpan w:val="11"/>
            <w:tcBorders>
              <w:top w:val="single" w:color="auto" w:sz="4" w:space="0"/>
              <w:left w:val="nil"/>
              <w:bottom w:val="single" w:color="auto" w:sz="4" w:space="0"/>
              <w:right w:val="single" w:color="000000" w:sz="4" w:space="0"/>
            </w:tcBorders>
            <w:shd w:val="clear" w:color="000000" w:fill="FFFFFF"/>
            <w:vAlign w:val="center"/>
          </w:tcPr>
          <w:p>
            <w:pPr>
              <w:spacing w:line="240" w:lineRule="auto"/>
              <w:jc w:val="center"/>
              <w:rPr>
                <w:rFonts w:ascii="等线" w:eastAsia="等线" w:cs="宋体"/>
                <w:color w:val="000000"/>
                <w:sz w:val="22"/>
                <w:szCs w:val="22"/>
              </w:rPr>
            </w:pPr>
            <w:r>
              <w:rPr>
                <w:rFonts w:hint="eastAsia" w:ascii="等线" w:eastAsia="等线" w:cs="宋体"/>
                <w:color w:val="000000"/>
                <w:sz w:val="22"/>
                <w:szCs w:val="22"/>
              </w:rPr>
              <w:t>中小学幼儿园教师国家级培训计划</w:t>
            </w:r>
          </w:p>
        </w:tc>
        <w:tc>
          <w:tcPr>
            <w:tcW w:w="222" w:type="dxa"/>
            <w:tcBorders>
              <w:top w:val="nil"/>
              <w:left w:val="nil"/>
              <w:bottom w:val="nil"/>
              <w:right w:val="nil"/>
            </w:tcBorders>
            <w:shd w:val="clear" w:color="000000" w:fill="FFFFFF"/>
            <w:noWrap/>
            <w:vAlign w:val="center"/>
          </w:tcPr>
          <w:p>
            <w:pPr>
              <w:spacing w:line="240" w:lineRule="auto"/>
              <w:rPr>
                <w:rFonts w:eastAsia="宋体" w:cs="宋体"/>
                <w:sz w:val="24"/>
              </w:rPr>
            </w:pPr>
            <w:r>
              <w:rPr>
                <w:rFonts w:hint="eastAsia" w:eastAsia="宋体" w:cs="宋体"/>
                <w:sz w:val="24"/>
              </w:rPr>
              <w:t>　</w:t>
            </w:r>
          </w:p>
        </w:tc>
      </w:tr>
      <w:tr>
        <w:tblPrEx>
          <w:tblCellMar>
            <w:top w:w="0" w:type="dxa"/>
            <w:left w:w="108" w:type="dxa"/>
            <w:bottom w:w="0" w:type="dxa"/>
            <w:right w:w="108" w:type="dxa"/>
          </w:tblCellMar>
        </w:tblPrEx>
        <w:trPr>
          <w:trHeight w:val="398" w:hRule="atLeast"/>
        </w:trPr>
        <w:tc>
          <w:tcPr>
            <w:tcW w:w="1067"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主管部门:</w:t>
            </w:r>
          </w:p>
        </w:tc>
        <w:tc>
          <w:tcPr>
            <w:tcW w:w="3774" w:type="dxa"/>
            <w:gridSpan w:val="3"/>
            <w:tcBorders>
              <w:top w:val="single" w:color="auto" w:sz="4" w:space="0"/>
              <w:left w:val="nil"/>
              <w:bottom w:val="single" w:color="auto" w:sz="4" w:space="0"/>
              <w:right w:val="single" w:color="000000"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203-省教育厅</w:t>
            </w:r>
          </w:p>
        </w:tc>
        <w:tc>
          <w:tcPr>
            <w:tcW w:w="110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实施单位:</w:t>
            </w:r>
          </w:p>
        </w:tc>
        <w:tc>
          <w:tcPr>
            <w:tcW w:w="6890" w:type="dxa"/>
            <w:gridSpan w:val="7"/>
            <w:tcBorders>
              <w:top w:val="single" w:color="auto" w:sz="4" w:space="0"/>
              <w:left w:val="nil"/>
              <w:bottom w:val="single" w:color="auto" w:sz="4" w:space="0"/>
              <w:right w:val="single" w:color="000000"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203002-省教育研究培训院</w:t>
            </w:r>
          </w:p>
        </w:tc>
        <w:tc>
          <w:tcPr>
            <w:tcW w:w="222" w:type="dxa"/>
            <w:tcBorders>
              <w:top w:val="nil"/>
              <w:left w:val="nil"/>
              <w:bottom w:val="nil"/>
              <w:right w:val="nil"/>
            </w:tcBorders>
            <w:shd w:val="clear" w:color="000000" w:fill="FFFFFF"/>
            <w:noWrap/>
            <w:vAlign w:val="center"/>
          </w:tcPr>
          <w:p>
            <w:pPr>
              <w:spacing w:line="240" w:lineRule="auto"/>
              <w:rPr>
                <w:rFonts w:eastAsia="宋体" w:cs="宋体"/>
                <w:sz w:val="24"/>
              </w:rPr>
            </w:pPr>
            <w:r>
              <w:rPr>
                <w:rFonts w:hint="eastAsia" w:eastAsia="宋体" w:cs="宋体"/>
                <w:sz w:val="24"/>
              </w:rPr>
              <w:t>　</w:t>
            </w:r>
          </w:p>
        </w:tc>
      </w:tr>
      <w:tr>
        <w:tblPrEx>
          <w:tblCellMar>
            <w:top w:w="0" w:type="dxa"/>
            <w:left w:w="108" w:type="dxa"/>
            <w:bottom w:w="0" w:type="dxa"/>
            <w:right w:w="108" w:type="dxa"/>
          </w:tblCellMar>
        </w:tblPrEx>
        <w:trPr>
          <w:trHeight w:val="315" w:hRule="atLeast"/>
        </w:trPr>
        <w:tc>
          <w:tcPr>
            <w:tcW w:w="2124"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资金构成(元)</w:t>
            </w:r>
          </w:p>
        </w:tc>
        <w:tc>
          <w:tcPr>
            <w:tcW w:w="1713" w:type="dxa"/>
            <w:tcBorders>
              <w:top w:val="nil"/>
              <w:left w:val="nil"/>
              <w:bottom w:val="single" w:color="auto" w:sz="4" w:space="0"/>
              <w:right w:val="nil"/>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年初预算数</w:t>
            </w:r>
          </w:p>
        </w:tc>
        <w:tc>
          <w:tcPr>
            <w:tcW w:w="2111"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全年预算数</w:t>
            </w:r>
          </w:p>
        </w:tc>
        <w:tc>
          <w:tcPr>
            <w:tcW w:w="3836"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执行数</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分值</w:t>
            </w:r>
          </w:p>
        </w:tc>
        <w:tc>
          <w:tcPr>
            <w:tcW w:w="874" w:type="dxa"/>
            <w:tcBorders>
              <w:top w:val="nil"/>
              <w:left w:val="nil"/>
              <w:bottom w:val="single" w:color="auto" w:sz="4" w:space="0"/>
              <w:right w:val="nil"/>
            </w:tcBorders>
            <w:shd w:val="clear" w:color="000000" w:fill="FFFFFF"/>
            <w:vAlign w:val="center"/>
          </w:tcPr>
          <w:p>
            <w:pPr>
              <w:spacing w:line="240" w:lineRule="auto"/>
              <w:rPr>
                <w:rFonts w:ascii="等线" w:eastAsia="等线" w:cs="宋体"/>
                <w:b/>
                <w:bCs/>
                <w:color w:val="000000"/>
                <w:sz w:val="24"/>
              </w:rPr>
            </w:pPr>
            <w:r>
              <w:rPr>
                <w:rFonts w:hint="eastAsia" w:ascii="等线" w:eastAsia="等线" w:cs="宋体"/>
                <w:b/>
                <w:bCs/>
                <w:color w:val="000000"/>
                <w:sz w:val="24"/>
              </w:rPr>
              <w:t>执行率（%）</w:t>
            </w:r>
          </w:p>
        </w:tc>
        <w:tc>
          <w:tcPr>
            <w:tcW w:w="1300" w:type="dxa"/>
            <w:tcBorders>
              <w:top w:val="nil"/>
              <w:left w:val="single" w:color="auto" w:sz="4" w:space="0"/>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得分</w:t>
            </w:r>
          </w:p>
        </w:tc>
        <w:tc>
          <w:tcPr>
            <w:tcW w:w="222" w:type="dxa"/>
            <w:tcBorders>
              <w:top w:val="nil"/>
              <w:left w:val="nil"/>
              <w:bottom w:val="nil"/>
              <w:right w:val="nil"/>
            </w:tcBorders>
            <w:shd w:val="clear" w:color="000000" w:fill="FFFFFF"/>
            <w:noWrap/>
            <w:vAlign w:val="center"/>
          </w:tcPr>
          <w:p>
            <w:pPr>
              <w:spacing w:line="240" w:lineRule="auto"/>
              <w:rPr>
                <w:rFonts w:eastAsia="宋体" w:cs="宋体"/>
                <w:sz w:val="24"/>
              </w:rPr>
            </w:pPr>
            <w:r>
              <w:rPr>
                <w:rFonts w:hint="eastAsia" w:eastAsia="宋体" w:cs="宋体"/>
                <w:sz w:val="24"/>
              </w:rPr>
              <w:t>　</w:t>
            </w:r>
          </w:p>
        </w:tc>
      </w:tr>
      <w:tr>
        <w:tblPrEx>
          <w:tblCellMar>
            <w:top w:w="0" w:type="dxa"/>
            <w:left w:w="108" w:type="dxa"/>
            <w:bottom w:w="0" w:type="dxa"/>
            <w:right w:w="108" w:type="dxa"/>
          </w:tblCellMar>
        </w:tblPrEx>
        <w:trPr>
          <w:trHeight w:val="285" w:hRule="atLeast"/>
        </w:trPr>
        <w:tc>
          <w:tcPr>
            <w:tcW w:w="212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资金总额：</w:t>
            </w:r>
          </w:p>
        </w:tc>
        <w:tc>
          <w:tcPr>
            <w:tcW w:w="1713"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42,030,000.00</w:t>
            </w:r>
          </w:p>
        </w:tc>
        <w:tc>
          <w:tcPr>
            <w:tcW w:w="2111"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44,800,000.00</w:t>
            </w:r>
          </w:p>
        </w:tc>
        <w:tc>
          <w:tcPr>
            <w:tcW w:w="3836"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26,101,027.95</w:t>
            </w:r>
          </w:p>
        </w:tc>
        <w:tc>
          <w:tcPr>
            <w:tcW w:w="880" w:type="dxa"/>
            <w:tcBorders>
              <w:top w:val="nil"/>
              <w:left w:val="nil"/>
              <w:bottom w:val="single" w:color="auto" w:sz="4" w:space="0"/>
              <w:right w:val="single" w:color="auto" w:sz="4" w:space="0"/>
            </w:tcBorders>
            <w:shd w:val="clear" w:color="000000" w:fill="FFFFFF"/>
            <w:noWrap/>
            <w:vAlign w:val="center"/>
          </w:tcPr>
          <w:p>
            <w:pPr>
              <w:spacing w:line="240" w:lineRule="auto"/>
              <w:jc w:val="center"/>
              <w:rPr>
                <w:rFonts w:ascii="等线" w:eastAsia="等线" w:cs="宋体"/>
                <w:color w:val="000000"/>
                <w:sz w:val="22"/>
                <w:szCs w:val="22"/>
              </w:rPr>
            </w:pPr>
            <w:r>
              <w:rPr>
                <w:rFonts w:hint="eastAsia" w:ascii="等线" w:eastAsia="等线" w:cs="宋体"/>
                <w:color w:val="000000"/>
                <w:sz w:val="22"/>
                <w:szCs w:val="22"/>
              </w:rPr>
              <w:t xml:space="preserve">10.00 </w:t>
            </w:r>
          </w:p>
        </w:tc>
        <w:tc>
          <w:tcPr>
            <w:tcW w:w="874"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58.26</w:t>
            </w:r>
          </w:p>
        </w:tc>
        <w:tc>
          <w:tcPr>
            <w:tcW w:w="1300" w:type="dxa"/>
            <w:tcBorders>
              <w:top w:val="nil"/>
              <w:left w:val="nil"/>
              <w:bottom w:val="single" w:color="auto" w:sz="4" w:space="0"/>
              <w:right w:val="single" w:color="auto" w:sz="4" w:space="0"/>
            </w:tcBorders>
            <w:shd w:val="clear" w:color="000000" w:fill="FFFFFF"/>
            <w:noWrap/>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5.83</w:t>
            </w:r>
          </w:p>
        </w:tc>
        <w:tc>
          <w:tcPr>
            <w:tcW w:w="222" w:type="dxa"/>
            <w:tcBorders>
              <w:top w:val="nil"/>
              <w:left w:val="nil"/>
              <w:bottom w:val="nil"/>
              <w:right w:val="nil"/>
            </w:tcBorders>
            <w:shd w:val="clear" w:color="000000" w:fill="FFFFFF"/>
            <w:noWrap/>
            <w:vAlign w:val="center"/>
          </w:tcPr>
          <w:p>
            <w:pPr>
              <w:spacing w:line="240" w:lineRule="auto"/>
              <w:rPr>
                <w:rFonts w:eastAsia="宋体" w:cs="宋体"/>
                <w:sz w:val="24"/>
              </w:rPr>
            </w:pPr>
            <w:r>
              <w:rPr>
                <w:rFonts w:hint="eastAsia" w:eastAsia="宋体" w:cs="宋体"/>
                <w:sz w:val="24"/>
              </w:rPr>
              <w:t>　</w:t>
            </w:r>
          </w:p>
        </w:tc>
      </w:tr>
      <w:tr>
        <w:tblPrEx>
          <w:tblCellMar>
            <w:top w:w="0" w:type="dxa"/>
            <w:left w:w="108" w:type="dxa"/>
            <w:bottom w:w="0" w:type="dxa"/>
            <w:right w:w="108" w:type="dxa"/>
          </w:tblCellMar>
        </w:tblPrEx>
        <w:trPr>
          <w:trHeight w:val="285" w:hRule="atLeast"/>
        </w:trPr>
        <w:tc>
          <w:tcPr>
            <w:tcW w:w="212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其中：财政资金：</w:t>
            </w:r>
          </w:p>
        </w:tc>
        <w:tc>
          <w:tcPr>
            <w:tcW w:w="1713"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42,030,000.00</w:t>
            </w:r>
          </w:p>
        </w:tc>
        <w:tc>
          <w:tcPr>
            <w:tcW w:w="2111"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44,800,000.00</w:t>
            </w:r>
          </w:p>
        </w:tc>
        <w:tc>
          <w:tcPr>
            <w:tcW w:w="3836"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26,101,027.95</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c>
          <w:tcPr>
            <w:tcW w:w="874"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58.26</w:t>
            </w:r>
          </w:p>
        </w:tc>
        <w:tc>
          <w:tcPr>
            <w:tcW w:w="130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c>
          <w:tcPr>
            <w:tcW w:w="222" w:type="dxa"/>
            <w:tcBorders>
              <w:top w:val="nil"/>
              <w:left w:val="nil"/>
              <w:bottom w:val="nil"/>
              <w:right w:val="nil"/>
            </w:tcBorders>
            <w:shd w:val="clear" w:color="000000" w:fill="FFFFFF"/>
            <w:noWrap/>
            <w:vAlign w:val="center"/>
          </w:tcPr>
          <w:p>
            <w:pPr>
              <w:spacing w:line="240" w:lineRule="auto"/>
              <w:rPr>
                <w:rFonts w:eastAsia="宋体" w:cs="宋体"/>
                <w:sz w:val="24"/>
              </w:rPr>
            </w:pPr>
            <w:r>
              <w:rPr>
                <w:rFonts w:hint="eastAsia" w:eastAsia="宋体" w:cs="宋体"/>
                <w:sz w:val="24"/>
              </w:rPr>
              <w:t>　</w:t>
            </w:r>
          </w:p>
        </w:tc>
      </w:tr>
      <w:tr>
        <w:tblPrEx>
          <w:tblCellMar>
            <w:top w:w="0" w:type="dxa"/>
            <w:left w:w="108" w:type="dxa"/>
            <w:bottom w:w="0" w:type="dxa"/>
            <w:right w:w="108" w:type="dxa"/>
          </w:tblCellMar>
        </w:tblPrEx>
        <w:trPr>
          <w:trHeight w:val="285" w:hRule="atLeast"/>
        </w:trPr>
        <w:tc>
          <w:tcPr>
            <w:tcW w:w="212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单位资金：</w:t>
            </w:r>
          </w:p>
        </w:tc>
        <w:tc>
          <w:tcPr>
            <w:tcW w:w="1713"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2111"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3836" w:type="dxa"/>
            <w:gridSpan w:val="4"/>
            <w:tcBorders>
              <w:top w:val="nil"/>
              <w:left w:val="nil"/>
              <w:bottom w:val="nil"/>
              <w:right w:val="nil"/>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880" w:type="dxa"/>
            <w:tcBorders>
              <w:top w:val="nil"/>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c>
          <w:tcPr>
            <w:tcW w:w="874"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w:t>
            </w:r>
          </w:p>
        </w:tc>
        <w:tc>
          <w:tcPr>
            <w:tcW w:w="130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c>
          <w:tcPr>
            <w:tcW w:w="222" w:type="dxa"/>
            <w:tcBorders>
              <w:top w:val="nil"/>
              <w:left w:val="nil"/>
              <w:bottom w:val="nil"/>
              <w:right w:val="nil"/>
            </w:tcBorders>
            <w:shd w:val="clear" w:color="000000" w:fill="FFFFFF"/>
            <w:noWrap/>
            <w:vAlign w:val="center"/>
          </w:tcPr>
          <w:p>
            <w:pPr>
              <w:spacing w:line="240" w:lineRule="auto"/>
              <w:rPr>
                <w:rFonts w:eastAsia="宋体" w:cs="宋体"/>
                <w:sz w:val="24"/>
              </w:rPr>
            </w:pPr>
            <w:r>
              <w:rPr>
                <w:rFonts w:hint="eastAsia" w:eastAsia="宋体" w:cs="宋体"/>
                <w:sz w:val="24"/>
              </w:rPr>
              <w:t>　</w:t>
            </w:r>
          </w:p>
        </w:tc>
      </w:tr>
      <w:tr>
        <w:tblPrEx>
          <w:tblCellMar>
            <w:top w:w="0" w:type="dxa"/>
            <w:left w:w="108" w:type="dxa"/>
            <w:bottom w:w="0" w:type="dxa"/>
            <w:right w:w="108" w:type="dxa"/>
          </w:tblCellMar>
        </w:tblPrEx>
        <w:trPr>
          <w:trHeight w:val="285" w:hRule="atLeast"/>
        </w:trPr>
        <w:tc>
          <w:tcPr>
            <w:tcW w:w="212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财政专户管理资金：</w:t>
            </w:r>
          </w:p>
        </w:tc>
        <w:tc>
          <w:tcPr>
            <w:tcW w:w="1713"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2111"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3836"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c>
          <w:tcPr>
            <w:tcW w:w="874"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w:t>
            </w:r>
          </w:p>
        </w:tc>
        <w:tc>
          <w:tcPr>
            <w:tcW w:w="130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c>
          <w:tcPr>
            <w:tcW w:w="222" w:type="dxa"/>
            <w:tcBorders>
              <w:top w:val="nil"/>
              <w:left w:val="nil"/>
              <w:bottom w:val="nil"/>
              <w:right w:val="nil"/>
            </w:tcBorders>
            <w:shd w:val="clear" w:color="000000" w:fill="FFFFFF"/>
            <w:noWrap/>
            <w:vAlign w:val="center"/>
          </w:tcPr>
          <w:p>
            <w:pPr>
              <w:spacing w:line="240" w:lineRule="auto"/>
              <w:rPr>
                <w:rFonts w:eastAsia="宋体" w:cs="宋体"/>
                <w:sz w:val="24"/>
              </w:rPr>
            </w:pPr>
            <w:r>
              <w:rPr>
                <w:rFonts w:hint="eastAsia" w:eastAsia="宋体" w:cs="宋体"/>
                <w:sz w:val="24"/>
              </w:rPr>
              <w:t>　</w:t>
            </w:r>
          </w:p>
        </w:tc>
      </w:tr>
      <w:tr>
        <w:tblPrEx>
          <w:tblCellMar>
            <w:top w:w="0" w:type="dxa"/>
            <w:left w:w="108" w:type="dxa"/>
            <w:bottom w:w="0" w:type="dxa"/>
            <w:right w:w="108" w:type="dxa"/>
          </w:tblCellMar>
        </w:tblPrEx>
        <w:trPr>
          <w:trHeight w:val="285" w:hRule="atLeast"/>
        </w:trPr>
        <w:tc>
          <w:tcPr>
            <w:tcW w:w="5948"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年度目标</w:t>
            </w:r>
          </w:p>
        </w:tc>
        <w:tc>
          <w:tcPr>
            <w:tcW w:w="6890" w:type="dxa"/>
            <w:gridSpan w:val="7"/>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年度目标完成情况</w:t>
            </w:r>
          </w:p>
        </w:tc>
        <w:tc>
          <w:tcPr>
            <w:tcW w:w="222" w:type="dxa"/>
            <w:tcBorders>
              <w:top w:val="nil"/>
              <w:left w:val="nil"/>
              <w:bottom w:val="nil"/>
              <w:right w:val="nil"/>
            </w:tcBorders>
            <w:shd w:val="clear" w:color="000000" w:fill="FFFFFF"/>
            <w:noWrap/>
            <w:vAlign w:val="center"/>
          </w:tcPr>
          <w:p>
            <w:pPr>
              <w:spacing w:line="240" w:lineRule="auto"/>
              <w:rPr>
                <w:rFonts w:eastAsia="宋体" w:cs="宋体"/>
                <w:sz w:val="24"/>
              </w:rPr>
            </w:pPr>
            <w:r>
              <w:rPr>
                <w:rFonts w:hint="eastAsia" w:eastAsia="宋体" w:cs="宋体"/>
                <w:sz w:val="24"/>
              </w:rPr>
              <w:t>　</w:t>
            </w:r>
          </w:p>
        </w:tc>
      </w:tr>
      <w:tr>
        <w:tblPrEx>
          <w:tblCellMar>
            <w:top w:w="0" w:type="dxa"/>
            <w:left w:w="108" w:type="dxa"/>
            <w:bottom w:w="0" w:type="dxa"/>
            <w:right w:w="108" w:type="dxa"/>
          </w:tblCellMar>
        </w:tblPrEx>
        <w:trPr>
          <w:trHeight w:val="2325" w:hRule="atLeast"/>
        </w:trPr>
        <w:tc>
          <w:tcPr>
            <w:tcW w:w="5948" w:type="dxa"/>
            <w:gridSpan w:val="5"/>
            <w:tcBorders>
              <w:top w:val="single" w:color="auto" w:sz="4" w:space="0"/>
              <w:left w:val="single" w:color="auto" w:sz="4" w:space="0"/>
              <w:bottom w:val="single" w:color="auto" w:sz="4" w:space="0"/>
              <w:right w:val="single" w:color="000000" w:sz="4" w:space="0"/>
            </w:tcBorders>
            <w:shd w:val="clear" w:color="000000" w:fill="FFFFFF"/>
          </w:tcPr>
          <w:p>
            <w:pPr>
              <w:spacing w:line="240" w:lineRule="auto"/>
              <w:rPr>
                <w:rFonts w:ascii="等线" w:eastAsia="等线" w:cs="宋体"/>
                <w:color w:val="000000"/>
                <w:sz w:val="22"/>
                <w:szCs w:val="22"/>
              </w:rPr>
            </w:pPr>
            <w:r>
              <w:rPr>
                <w:rFonts w:hint="eastAsia" w:ascii="等线" w:eastAsia="等线" w:cs="宋体"/>
                <w:color w:val="000000"/>
                <w:sz w:val="22"/>
                <w:szCs w:val="22"/>
              </w:rPr>
              <w:t>目标1：对我省农村特别是乡村中小学教师、幼儿园教师进行有针对性的专业培训，计划培训12100人次以上。</w:t>
            </w:r>
            <w:r>
              <w:rPr>
                <w:rFonts w:hint="eastAsia" w:ascii="等线" w:eastAsia="等线" w:cs="宋体"/>
                <w:color w:val="000000"/>
                <w:sz w:val="22"/>
                <w:szCs w:val="22"/>
              </w:rPr>
              <w:br w:type="textWrapping"/>
            </w:r>
            <w:r>
              <w:rPr>
                <w:rFonts w:hint="eastAsia" w:ascii="等线" w:eastAsia="等线" w:cs="宋体"/>
                <w:color w:val="000000"/>
                <w:sz w:val="22"/>
                <w:szCs w:val="22"/>
              </w:rPr>
              <w:t>目标2：通过项目实施，推进“国培计划”改革创新。推行集中面授、网络跟进研修与课程现场实践相结合的混合式培训。</w:t>
            </w:r>
            <w:r>
              <w:rPr>
                <w:rFonts w:hint="eastAsia" w:ascii="等线" w:eastAsia="等线" w:cs="宋体"/>
                <w:color w:val="000000"/>
                <w:sz w:val="22"/>
                <w:szCs w:val="22"/>
              </w:rPr>
              <w:br w:type="textWrapping"/>
            </w:r>
            <w:r>
              <w:rPr>
                <w:rFonts w:hint="eastAsia" w:ascii="等线" w:eastAsia="等线" w:cs="宋体"/>
                <w:color w:val="000000"/>
                <w:sz w:val="22"/>
                <w:szCs w:val="22"/>
              </w:rPr>
              <w:t xml:space="preserve">目标3：改进培训内容，有效满足一线乡村教师实际需求。   </w:t>
            </w:r>
            <w:r>
              <w:rPr>
                <w:rFonts w:hint="eastAsia" w:ascii="等线" w:eastAsia="等线" w:cs="宋体"/>
                <w:color w:val="000000"/>
                <w:sz w:val="22"/>
                <w:szCs w:val="22"/>
              </w:rPr>
              <w:br w:type="textWrapping"/>
            </w:r>
            <w:r>
              <w:rPr>
                <w:rFonts w:hint="eastAsia" w:ascii="等线" w:eastAsia="等线" w:cs="宋体"/>
                <w:color w:val="000000"/>
                <w:sz w:val="22"/>
                <w:szCs w:val="22"/>
              </w:rPr>
              <w:t xml:space="preserve">目标4：加强培训者队伍建设，打造“干得好、用得上”的乡村教师培训团队。 </w:t>
            </w:r>
          </w:p>
        </w:tc>
        <w:tc>
          <w:tcPr>
            <w:tcW w:w="6890" w:type="dxa"/>
            <w:gridSpan w:val="7"/>
            <w:tcBorders>
              <w:top w:val="single" w:color="auto" w:sz="4" w:space="0"/>
              <w:left w:val="nil"/>
              <w:bottom w:val="single" w:color="auto" w:sz="4" w:space="0"/>
              <w:right w:val="single" w:color="000000" w:sz="4" w:space="0"/>
            </w:tcBorders>
            <w:shd w:val="clear" w:color="000000" w:fill="FFFFFF"/>
          </w:tcPr>
          <w:p>
            <w:pPr>
              <w:spacing w:line="240" w:lineRule="auto"/>
              <w:rPr>
                <w:rFonts w:ascii="等线" w:eastAsia="等线" w:cs="宋体"/>
                <w:color w:val="000000"/>
                <w:sz w:val="22"/>
                <w:szCs w:val="22"/>
              </w:rPr>
            </w:pPr>
            <w:r>
              <w:rPr>
                <w:rFonts w:hint="eastAsia" w:ascii="等线" w:eastAsia="等线" w:cs="宋体"/>
                <w:color w:val="000000"/>
                <w:sz w:val="22"/>
                <w:szCs w:val="22"/>
              </w:rPr>
              <w:t>"目标1：对我省农村特别是乡村中小学教师、幼儿园教师进行有针对性的专业培训，完成培训9282人。</w:t>
            </w:r>
            <w:r>
              <w:rPr>
                <w:rFonts w:hint="eastAsia" w:ascii="等线" w:eastAsia="等线" w:cs="宋体"/>
                <w:color w:val="000000"/>
                <w:sz w:val="22"/>
                <w:szCs w:val="22"/>
              </w:rPr>
              <w:br w:type="textWrapping"/>
            </w:r>
            <w:r>
              <w:rPr>
                <w:rFonts w:hint="eastAsia" w:ascii="等线" w:eastAsia="等线" w:cs="宋体"/>
                <w:color w:val="000000"/>
                <w:sz w:val="22"/>
                <w:szCs w:val="22"/>
              </w:rPr>
              <w:t>目标2：通过项目实施，推进了“国培计划”改革创新。推行集中面授、网络跟进研修与课程现场实践相结合的混合式培训。</w:t>
            </w:r>
            <w:r>
              <w:rPr>
                <w:rFonts w:hint="eastAsia" w:ascii="等线" w:eastAsia="等线" w:cs="宋体"/>
                <w:color w:val="000000"/>
                <w:sz w:val="22"/>
                <w:szCs w:val="22"/>
              </w:rPr>
              <w:br w:type="textWrapping"/>
            </w:r>
            <w:r>
              <w:rPr>
                <w:rFonts w:hint="eastAsia" w:ascii="等线" w:eastAsia="等线" w:cs="宋体"/>
                <w:color w:val="000000"/>
                <w:sz w:val="22"/>
                <w:szCs w:val="22"/>
              </w:rPr>
              <w:t xml:space="preserve">目标3：改进培训内容，有效满足一线乡村教师实际需求。   </w:t>
            </w:r>
            <w:r>
              <w:rPr>
                <w:rFonts w:hint="eastAsia" w:ascii="等线" w:eastAsia="等线" w:cs="宋体"/>
                <w:color w:val="000000"/>
                <w:sz w:val="22"/>
                <w:szCs w:val="22"/>
              </w:rPr>
              <w:br w:type="textWrapping"/>
            </w:r>
            <w:r>
              <w:rPr>
                <w:rFonts w:hint="eastAsia" w:ascii="等线" w:eastAsia="等线" w:cs="宋体"/>
                <w:color w:val="000000"/>
                <w:sz w:val="22"/>
                <w:szCs w:val="22"/>
              </w:rPr>
              <w:t xml:space="preserve">目标4：进一步加强培训者队伍建设，打造“干得好、用得上”的乡村教师培训团队。 </w:t>
            </w:r>
            <w:r>
              <w:rPr>
                <w:rFonts w:hint="eastAsia" w:ascii="等线" w:eastAsia="等线" w:cs="宋体"/>
                <w:color w:val="000000"/>
                <w:sz w:val="22"/>
                <w:szCs w:val="22"/>
              </w:rPr>
              <w:br w:type="textWrapping"/>
            </w:r>
            <w:r>
              <w:rPr>
                <w:rFonts w:hint="eastAsia" w:ascii="等线" w:eastAsia="等线" w:cs="宋体"/>
                <w:color w:val="000000"/>
                <w:sz w:val="22"/>
                <w:szCs w:val="22"/>
              </w:rPr>
              <w:t xml:space="preserve">" </w:t>
            </w:r>
          </w:p>
        </w:tc>
        <w:tc>
          <w:tcPr>
            <w:tcW w:w="222" w:type="dxa"/>
            <w:tcBorders>
              <w:top w:val="nil"/>
              <w:left w:val="nil"/>
              <w:bottom w:val="nil"/>
              <w:right w:val="nil"/>
            </w:tcBorders>
            <w:shd w:val="clear" w:color="000000" w:fill="FFFFFF"/>
            <w:noWrap/>
            <w:vAlign w:val="center"/>
          </w:tcPr>
          <w:p>
            <w:pPr>
              <w:spacing w:line="240" w:lineRule="auto"/>
              <w:rPr>
                <w:rFonts w:eastAsia="宋体" w:cs="宋体"/>
                <w:sz w:val="24"/>
              </w:rPr>
            </w:pPr>
            <w:r>
              <w:rPr>
                <w:rFonts w:hint="eastAsia" w:eastAsia="宋体" w:cs="宋体"/>
                <w:sz w:val="24"/>
              </w:rPr>
              <w:t>　</w:t>
            </w:r>
          </w:p>
        </w:tc>
      </w:tr>
      <w:tr>
        <w:tblPrEx>
          <w:tblCellMar>
            <w:top w:w="0" w:type="dxa"/>
            <w:left w:w="108" w:type="dxa"/>
            <w:bottom w:w="0" w:type="dxa"/>
            <w:right w:w="108" w:type="dxa"/>
          </w:tblCellMar>
        </w:tblPrEx>
        <w:trPr>
          <w:trHeight w:val="570" w:hRule="atLeast"/>
        </w:trPr>
        <w:tc>
          <w:tcPr>
            <w:tcW w:w="1067" w:type="dxa"/>
            <w:tcBorders>
              <w:top w:val="nil"/>
              <w:left w:val="single" w:color="auto" w:sz="4" w:space="0"/>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一级指标</w:t>
            </w:r>
          </w:p>
        </w:tc>
        <w:tc>
          <w:tcPr>
            <w:tcW w:w="1057"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二级指标</w:t>
            </w:r>
          </w:p>
        </w:tc>
        <w:tc>
          <w:tcPr>
            <w:tcW w:w="2717"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三级指标</w:t>
            </w:r>
          </w:p>
        </w:tc>
        <w:tc>
          <w:tcPr>
            <w:tcW w:w="1107"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指标性质</w:t>
            </w:r>
          </w:p>
        </w:tc>
        <w:tc>
          <w:tcPr>
            <w:tcW w:w="942"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年度指标值</w:t>
            </w:r>
          </w:p>
        </w:tc>
        <w:tc>
          <w:tcPr>
            <w:tcW w:w="1003"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度量单位</w:t>
            </w:r>
          </w:p>
        </w:tc>
        <w:tc>
          <w:tcPr>
            <w:tcW w:w="905"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实际完成值</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完成率</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分值</w:t>
            </w:r>
          </w:p>
        </w:tc>
        <w:tc>
          <w:tcPr>
            <w:tcW w:w="874"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得分</w:t>
            </w:r>
          </w:p>
        </w:tc>
        <w:tc>
          <w:tcPr>
            <w:tcW w:w="1522"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未完成原因分析</w:t>
            </w:r>
          </w:p>
        </w:tc>
      </w:tr>
      <w:tr>
        <w:tblPrEx>
          <w:tblCellMar>
            <w:top w:w="0" w:type="dxa"/>
            <w:left w:w="108" w:type="dxa"/>
            <w:bottom w:w="0" w:type="dxa"/>
            <w:right w:w="108" w:type="dxa"/>
          </w:tblCellMar>
        </w:tblPrEx>
        <w:trPr>
          <w:trHeight w:val="795" w:hRule="atLeast"/>
        </w:trPr>
        <w:tc>
          <w:tcPr>
            <w:tcW w:w="1067"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产出指标</w:t>
            </w:r>
          </w:p>
        </w:tc>
        <w:tc>
          <w:tcPr>
            <w:tcW w:w="105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数量指标</w:t>
            </w:r>
          </w:p>
        </w:tc>
        <w:tc>
          <w:tcPr>
            <w:tcW w:w="2717"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“一对一”精准帮扶培训</w:t>
            </w:r>
          </w:p>
        </w:tc>
        <w:tc>
          <w:tcPr>
            <w:tcW w:w="110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42"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720</w:t>
            </w:r>
          </w:p>
        </w:tc>
        <w:tc>
          <w:tcPr>
            <w:tcW w:w="1003"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人次</w:t>
            </w:r>
          </w:p>
        </w:tc>
        <w:tc>
          <w:tcPr>
            <w:tcW w:w="90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480</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66.67%</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5.00</w:t>
            </w:r>
          </w:p>
        </w:tc>
        <w:tc>
          <w:tcPr>
            <w:tcW w:w="874"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3.33</w:t>
            </w:r>
          </w:p>
        </w:tc>
        <w:tc>
          <w:tcPr>
            <w:tcW w:w="1522"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xml:space="preserve">受疫情的影响 </w:t>
            </w:r>
          </w:p>
        </w:tc>
      </w:tr>
      <w:tr>
        <w:tblPrEx>
          <w:tblCellMar>
            <w:top w:w="0" w:type="dxa"/>
            <w:left w:w="108" w:type="dxa"/>
            <w:bottom w:w="0" w:type="dxa"/>
            <w:right w:w="108" w:type="dxa"/>
          </w:tblCellMar>
        </w:tblPrEx>
        <w:trPr>
          <w:trHeight w:val="623" w:hRule="atLeast"/>
        </w:trPr>
        <w:tc>
          <w:tcPr>
            <w:tcW w:w="1067"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产出指标</w:t>
            </w:r>
          </w:p>
        </w:tc>
        <w:tc>
          <w:tcPr>
            <w:tcW w:w="105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数量指标</w:t>
            </w:r>
          </w:p>
        </w:tc>
        <w:tc>
          <w:tcPr>
            <w:tcW w:w="2717"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培训乡村教师人次</w:t>
            </w:r>
          </w:p>
        </w:tc>
        <w:tc>
          <w:tcPr>
            <w:tcW w:w="110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42"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12100</w:t>
            </w:r>
          </w:p>
        </w:tc>
        <w:tc>
          <w:tcPr>
            <w:tcW w:w="1003"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人次</w:t>
            </w:r>
          </w:p>
        </w:tc>
        <w:tc>
          <w:tcPr>
            <w:tcW w:w="90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9282</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76.71%</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55.00</w:t>
            </w:r>
          </w:p>
        </w:tc>
        <w:tc>
          <w:tcPr>
            <w:tcW w:w="874"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42.19</w:t>
            </w:r>
          </w:p>
        </w:tc>
        <w:tc>
          <w:tcPr>
            <w:tcW w:w="1522"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xml:space="preserve">受疫情的影响 </w:t>
            </w:r>
          </w:p>
        </w:tc>
      </w:tr>
      <w:tr>
        <w:tblPrEx>
          <w:tblCellMar>
            <w:top w:w="0" w:type="dxa"/>
            <w:left w:w="108" w:type="dxa"/>
            <w:bottom w:w="0" w:type="dxa"/>
            <w:right w:w="108" w:type="dxa"/>
          </w:tblCellMar>
        </w:tblPrEx>
        <w:trPr>
          <w:trHeight w:val="623" w:hRule="atLeast"/>
        </w:trPr>
        <w:tc>
          <w:tcPr>
            <w:tcW w:w="1067"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产出指标</w:t>
            </w:r>
          </w:p>
        </w:tc>
        <w:tc>
          <w:tcPr>
            <w:tcW w:w="105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时效指标</w:t>
            </w:r>
          </w:p>
        </w:tc>
        <w:tc>
          <w:tcPr>
            <w:tcW w:w="2717"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边远艰苦民族地区幼儿园顶岗支教培训</w:t>
            </w:r>
          </w:p>
        </w:tc>
        <w:tc>
          <w:tcPr>
            <w:tcW w:w="110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42"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30</w:t>
            </w:r>
          </w:p>
        </w:tc>
        <w:tc>
          <w:tcPr>
            <w:tcW w:w="1003"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天</w:t>
            </w:r>
          </w:p>
        </w:tc>
        <w:tc>
          <w:tcPr>
            <w:tcW w:w="90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5.00</w:t>
            </w:r>
          </w:p>
        </w:tc>
        <w:tc>
          <w:tcPr>
            <w:tcW w:w="874"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w:t>
            </w:r>
          </w:p>
        </w:tc>
        <w:tc>
          <w:tcPr>
            <w:tcW w:w="1522"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xml:space="preserve">受疫情的影响 </w:t>
            </w:r>
          </w:p>
        </w:tc>
      </w:tr>
      <w:tr>
        <w:tblPrEx>
          <w:tblCellMar>
            <w:top w:w="0" w:type="dxa"/>
            <w:left w:w="108" w:type="dxa"/>
            <w:bottom w:w="0" w:type="dxa"/>
            <w:right w:w="108" w:type="dxa"/>
          </w:tblCellMar>
        </w:tblPrEx>
        <w:trPr>
          <w:trHeight w:val="623" w:hRule="atLeast"/>
        </w:trPr>
        <w:tc>
          <w:tcPr>
            <w:tcW w:w="1067"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产出指标</w:t>
            </w:r>
          </w:p>
        </w:tc>
        <w:tc>
          <w:tcPr>
            <w:tcW w:w="105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时效指标</w:t>
            </w:r>
          </w:p>
        </w:tc>
        <w:tc>
          <w:tcPr>
            <w:tcW w:w="2717"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乡村骨干教师分层分类培训</w:t>
            </w:r>
          </w:p>
        </w:tc>
        <w:tc>
          <w:tcPr>
            <w:tcW w:w="110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42"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w:t>
            </w:r>
          </w:p>
        </w:tc>
        <w:tc>
          <w:tcPr>
            <w:tcW w:w="1003"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天</w:t>
            </w:r>
          </w:p>
        </w:tc>
        <w:tc>
          <w:tcPr>
            <w:tcW w:w="90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5.00</w:t>
            </w:r>
          </w:p>
        </w:tc>
        <w:tc>
          <w:tcPr>
            <w:tcW w:w="874"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5</w:t>
            </w:r>
          </w:p>
        </w:tc>
        <w:tc>
          <w:tcPr>
            <w:tcW w:w="1522" w:type="dxa"/>
            <w:gridSpan w:val="2"/>
            <w:tcBorders>
              <w:top w:val="single" w:color="auto" w:sz="4" w:space="0"/>
              <w:left w:val="nil"/>
              <w:bottom w:val="single" w:color="auto" w:sz="4" w:space="0"/>
              <w:right w:val="single" w:color="auto" w:sz="4" w:space="0"/>
            </w:tcBorders>
            <w:shd w:val="clear" w:color="000000" w:fill="FFFFFF"/>
            <w:noWrap/>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1067"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产出指标</w:t>
            </w:r>
          </w:p>
        </w:tc>
        <w:tc>
          <w:tcPr>
            <w:tcW w:w="105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时效指标</w:t>
            </w:r>
          </w:p>
        </w:tc>
        <w:tc>
          <w:tcPr>
            <w:tcW w:w="2717"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乡村校园长培训</w:t>
            </w:r>
          </w:p>
        </w:tc>
        <w:tc>
          <w:tcPr>
            <w:tcW w:w="110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42"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15</w:t>
            </w:r>
          </w:p>
        </w:tc>
        <w:tc>
          <w:tcPr>
            <w:tcW w:w="1003"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天</w:t>
            </w:r>
          </w:p>
        </w:tc>
        <w:tc>
          <w:tcPr>
            <w:tcW w:w="90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15</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5.00</w:t>
            </w:r>
          </w:p>
        </w:tc>
        <w:tc>
          <w:tcPr>
            <w:tcW w:w="874"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5</w:t>
            </w:r>
          </w:p>
        </w:tc>
        <w:tc>
          <w:tcPr>
            <w:tcW w:w="1522" w:type="dxa"/>
            <w:gridSpan w:val="2"/>
            <w:tcBorders>
              <w:top w:val="single" w:color="auto" w:sz="4" w:space="0"/>
              <w:left w:val="nil"/>
              <w:bottom w:val="single" w:color="auto" w:sz="4" w:space="0"/>
              <w:right w:val="single" w:color="auto" w:sz="4" w:space="0"/>
            </w:tcBorders>
            <w:shd w:val="clear" w:color="000000" w:fill="FFFFFF"/>
            <w:noWrap/>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1067"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产出指标</w:t>
            </w:r>
          </w:p>
        </w:tc>
        <w:tc>
          <w:tcPr>
            <w:tcW w:w="105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时效指标</w:t>
            </w:r>
          </w:p>
        </w:tc>
        <w:tc>
          <w:tcPr>
            <w:tcW w:w="2717"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自主学习模式试点研修</w:t>
            </w:r>
          </w:p>
        </w:tc>
        <w:tc>
          <w:tcPr>
            <w:tcW w:w="110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42"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8</w:t>
            </w:r>
          </w:p>
        </w:tc>
        <w:tc>
          <w:tcPr>
            <w:tcW w:w="1003"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天</w:t>
            </w:r>
          </w:p>
        </w:tc>
        <w:tc>
          <w:tcPr>
            <w:tcW w:w="90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8</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5.00</w:t>
            </w:r>
          </w:p>
        </w:tc>
        <w:tc>
          <w:tcPr>
            <w:tcW w:w="874"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5</w:t>
            </w:r>
          </w:p>
        </w:tc>
        <w:tc>
          <w:tcPr>
            <w:tcW w:w="1522" w:type="dxa"/>
            <w:gridSpan w:val="2"/>
            <w:tcBorders>
              <w:top w:val="single" w:color="auto" w:sz="4" w:space="0"/>
              <w:left w:val="nil"/>
              <w:bottom w:val="single" w:color="auto" w:sz="4" w:space="0"/>
              <w:right w:val="single" w:color="auto" w:sz="4" w:space="0"/>
            </w:tcBorders>
            <w:shd w:val="clear" w:color="000000" w:fill="FFFFFF"/>
            <w:noWrap/>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1067"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效益指标</w:t>
            </w:r>
          </w:p>
        </w:tc>
        <w:tc>
          <w:tcPr>
            <w:tcW w:w="105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社会效益指标</w:t>
            </w:r>
          </w:p>
        </w:tc>
        <w:tc>
          <w:tcPr>
            <w:tcW w:w="2717"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参训教师培训合格率</w:t>
            </w:r>
          </w:p>
        </w:tc>
        <w:tc>
          <w:tcPr>
            <w:tcW w:w="110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42"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95</w:t>
            </w:r>
          </w:p>
        </w:tc>
        <w:tc>
          <w:tcPr>
            <w:tcW w:w="1003"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0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98</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5.00</w:t>
            </w:r>
          </w:p>
        </w:tc>
        <w:tc>
          <w:tcPr>
            <w:tcW w:w="874"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5</w:t>
            </w:r>
          </w:p>
        </w:tc>
        <w:tc>
          <w:tcPr>
            <w:tcW w:w="1522" w:type="dxa"/>
            <w:gridSpan w:val="2"/>
            <w:tcBorders>
              <w:top w:val="single" w:color="auto" w:sz="4" w:space="0"/>
              <w:left w:val="nil"/>
              <w:bottom w:val="single" w:color="auto" w:sz="4" w:space="0"/>
              <w:right w:val="single" w:color="auto" w:sz="4" w:space="0"/>
            </w:tcBorders>
            <w:shd w:val="clear" w:color="000000" w:fill="FFFFFF"/>
            <w:noWrap/>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1067"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满意度指标</w:t>
            </w:r>
          </w:p>
        </w:tc>
        <w:tc>
          <w:tcPr>
            <w:tcW w:w="105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服务对象满意度</w:t>
            </w:r>
          </w:p>
        </w:tc>
        <w:tc>
          <w:tcPr>
            <w:tcW w:w="2717"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参训教师项目评估满意度</w:t>
            </w:r>
          </w:p>
        </w:tc>
        <w:tc>
          <w:tcPr>
            <w:tcW w:w="110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42"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88</w:t>
            </w:r>
          </w:p>
        </w:tc>
        <w:tc>
          <w:tcPr>
            <w:tcW w:w="1003"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0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96.54</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5.00</w:t>
            </w:r>
          </w:p>
        </w:tc>
        <w:tc>
          <w:tcPr>
            <w:tcW w:w="874"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5</w:t>
            </w:r>
          </w:p>
        </w:tc>
        <w:tc>
          <w:tcPr>
            <w:tcW w:w="1522" w:type="dxa"/>
            <w:gridSpan w:val="2"/>
            <w:tcBorders>
              <w:top w:val="single" w:color="auto" w:sz="4" w:space="0"/>
              <w:left w:val="nil"/>
              <w:bottom w:val="single" w:color="auto" w:sz="4" w:space="0"/>
              <w:right w:val="single" w:color="auto" w:sz="4" w:space="0"/>
            </w:tcBorders>
            <w:shd w:val="clear" w:color="000000" w:fill="FFFFFF"/>
            <w:noWrap/>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9784" w:type="dxa"/>
            <w:gridSpan w:val="9"/>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合计</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74"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76.35</w:t>
            </w:r>
          </w:p>
        </w:tc>
        <w:tc>
          <w:tcPr>
            <w:tcW w:w="1522" w:type="dxa"/>
            <w:gridSpan w:val="2"/>
            <w:tcBorders>
              <w:top w:val="single" w:color="auto" w:sz="4" w:space="0"/>
              <w:left w:val="nil"/>
              <w:bottom w:val="single" w:color="auto" w:sz="4" w:space="0"/>
              <w:right w:val="single" w:color="auto" w:sz="4" w:space="0"/>
            </w:tcBorders>
            <w:shd w:val="clear" w:color="000000" w:fill="FFFFFF"/>
            <w:noWrap/>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bl>
    <w:p>
      <w:pPr>
        <w:pStyle w:val="12"/>
        <w:spacing w:before="0" w:beforeAutospacing="0" w:after="0" w:afterAutospacing="0" w:line="525" w:lineRule="atLeast"/>
        <w:ind w:left="-9" w:leftChars="-4" w:hanging="3" w:hangingChars="1"/>
        <w:rPr>
          <w:rFonts w:ascii="仿宋" w:hAnsi="仿宋" w:eastAsia="仿宋"/>
          <w:color w:val="000000"/>
          <w:szCs w:val="32"/>
        </w:rPr>
      </w:pPr>
      <w:r>
        <w:rPr>
          <w:rFonts w:hint="eastAsia" w:ascii="仿宋" w:hAnsi="仿宋" w:eastAsia="仿宋"/>
          <w:color w:val="000000"/>
          <w:szCs w:val="32"/>
        </w:rPr>
        <w:t xml:space="preserve">    中小学幼儿园教师国家级培训计划项目绩效自评报告：根据年初设定的绩效目标，项目绩效自评得分为76.35分。全年预算数为4480万元，执行数为2610.10万元，完成预算的58.26%。项目绩效目标完成情况: 1：对我省农村特别是乡村中小学教师、幼儿园教师进行有针对性的专业培训，完成培训9282人。2：通过项目实施，推进了“国培计划”改革创新。推行集中面授、网络跟进研修与课程现场实践相结合的混合式培训。3：改进培训内容，有效满足一线乡村教师实际需求。4：进一步加强培训者队伍建设，打造“干得好、用得上”的乡村教师培训团队。发现的主要问题及原因：一是</w:t>
      </w:r>
      <w:r>
        <w:rPr>
          <w:rFonts w:ascii="仿宋" w:hAnsi="仿宋" w:eastAsia="仿宋"/>
          <w:color w:val="000000"/>
          <w:szCs w:val="32"/>
        </w:rPr>
        <w:t>因招标制度的要求，年度的国培项目规划设计不能在年初及时发布，相关项目信息要在招标工作完成后才能发布，这对市县进行项目规划设计带来很大的影响，表现在国培项目与市县项目设计上出现重复，进而导致项目的工学矛盾；</w:t>
      </w:r>
      <w:r>
        <w:rPr>
          <w:rFonts w:hint="eastAsia" w:ascii="仿宋" w:hAnsi="仿宋" w:eastAsia="仿宋"/>
          <w:color w:val="000000"/>
          <w:szCs w:val="32"/>
        </w:rPr>
        <w:t>二是</w:t>
      </w:r>
      <w:r>
        <w:rPr>
          <w:rFonts w:ascii="仿宋" w:hAnsi="仿宋" w:eastAsia="仿宋"/>
          <w:color w:val="000000"/>
          <w:szCs w:val="32"/>
        </w:rPr>
        <w:t>我院负责国培计划项目的部门人员人力不足，开展项目的管理，尤其是在在项目集中实施阶段，难以对项目实施过程开展现场的督导评估；</w:t>
      </w:r>
      <w:r>
        <w:rPr>
          <w:rFonts w:hint="eastAsia" w:ascii="仿宋" w:hAnsi="仿宋" w:eastAsia="仿宋"/>
          <w:color w:val="000000"/>
          <w:szCs w:val="32"/>
        </w:rPr>
        <w:t>三是</w:t>
      </w:r>
      <w:r>
        <w:rPr>
          <w:rFonts w:ascii="仿宋" w:hAnsi="仿宋" w:eastAsia="仿宋"/>
          <w:color w:val="000000"/>
          <w:szCs w:val="32"/>
        </w:rPr>
        <w:t>项目管理经费不足，难以设计更多的项目监管工作。</w:t>
      </w:r>
      <w:r>
        <w:rPr>
          <w:rFonts w:hint="eastAsia" w:ascii="仿宋" w:hAnsi="仿宋" w:eastAsia="仿宋"/>
          <w:color w:val="000000"/>
          <w:szCs w:val="32"/>
        </w:rPr>
        <w:t>下一步改进措施：</w:t>
      </w:r>
      <w:r>
        <w:rPr>
          <w:rFonts w:ascii="仿宋" w:hAnsi="仿宋" w:eastAsia="仿宋"/>
          <w:color w:val="000000"/>
          <w:szCs w:val="32"/>
        </w:rPr>
        <w:t>①简化项目设计、审核、招标的流程；②增加国培计划项目的部门人员的配置，尤其是补充有培训工作经历的专业人员，以更好的服务我省的国培计划项目管理工作估；③增加项目管理经费预算，以便设计并开展更多的项目监管工作。</w:t>
      </w:r>
    </w:p>
    <w:p>
      <w:pPr>
        <w:spacing w:line="560" w:lineRule="exact"/>
        <w:ind w:firstLine="640" w:firstLineChars="200"/>
        <w:rPr>
          <w:rFonts w:hint="eastAsia" w:ascii="仿宋_GB2312"/>
          <w:color w:val="000000"/>
          <w:szCs w:val="32"/>
        </w:rPr>
      </w:pPr>
    </w:p>
    <w:p>
      <w:pPr>
        <w:spacing w:line="560" w:lineRule="exact"/>
        <w:ind w:firstLine="640" w:firstLineChars="200"/>
        <w:rPr>
          <w:rFonts w:hint="eastAsia" w:ascii="仿宋" w:hAnsi="仿宋" w:eastAsia="仿宋"/>
          <w:color w:val="000000"/>
          <w:szCs w:val="32"/>
        </w:rPr>
      </w:pPr>
      <w:r>
        <w:rPr>
          <w:rFonts w:hint="eastAsia" w:ascii="仿宋" w:hAnsi="仿宋" w:eastAsia="仿宋"/>
          <w:color w:val="000000"/>
          <w:szCs w:val="32"/>
        </w:rPr>
        <w:t>教师队伍建设资金项目绩效自评表：</w:t>
      </w:r>
    </w:p>
    <w:tbl>
      <w:tblPr>
        <w:tblStyle w:val="13"/>
        <w:tblW w:w="13074" w:type="dxa"/>
        <w:tblInd w:w="103" w:type="dxa"/>
        <w:tblLayout w:type="autofit"/>
        <w:tblCellMar>
          <w:top w:w="0" w:type="dxa"/>
          <w:left w:w="108" w:type="dxa"/>
          <w:bottom w:w="0" w:type="dxa"/>
          <w:right w:w="108" w:type="dxa"/>
        </w:tblCellMar>
      </w:tblPr>
      <w:tblGrid>
        <w:gridCol w:w="1069"/>
        <w:gridCol w:w="1062"/>
        <w:gridCol w:w="1713"/>
        <w:gridCol w:w="1007"/>
        <w:gridCol w:w="1108"/>
        <w:gridCol w:w="924"/>
        <w:gridCol w:w="1007"/>
        <w:gridCol w:w="887"/>
        <w:gridCol w:w="986"/>
        <w:gridCol w:w="880"/>
        <w:gridCol w:w="875"/>
        <w:gridCol w:w="1245"/>
        <w:gridCol w:w="75"/>
        <w:gridCol w:w="236"/>
      </w:tblGrid>
      <w:tr>
        <w:tblPrEx>
          <w:tblCellMar>
            <w:top w:w="0" w:type="dxa"/>
            <w:left w:w="108" w:type="dxa"/>
            <w:bottom w:w="0" w:type="dxa"/>
            <w:right w:w="108" w:type="dxa"/>
          </w:tblCellMar>
        </w:tblPrEx>
        <w:trPr>
          <w:trHeight w:val="510" w:hRule="atLeast"/>
        </w:trPr>
        <w:tc>
          <w:tcPr>
            <w:tcW w:w="12838" w:type="dxa"/>
            <w:gridSpan w:val="13"/>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40"/>
                <w:szCs w:val="40"/>
              </w:rPr>
            </w:pPr>
            <w:r>
              <w:rPr>
                <w:rFonts w:hint="eastAsia" w:ascii="等线" w:eastAsia="等线" w:cs="宋体"/>
                <w:b/>
                <w:bCs/>
                <w:color w:val="000000"/>
                <w:sz w:val="40"/>
                <w:szCs w:val="40"/>
              </w:rPr>
              <w:t xml:space="preserve">项目支出绩效自评表 </w:t>
            </w:r>
          </w:p>
        </w:tc>
        <w:tc>
          <w:tcPr>
            <w:tcW w:w="236" w:type="dxa"/>
            <w:tcBorders>
              <w:top w:val="nil"/>
              <w:left w:val="nil"/>
              <w:bottom w:val="nil"/>
              <w:right w:val="nil"/>
            </w:tcBorders>
            <w:shd w:val="clear" w:color="000000" w:fill="FFFFFF"/>
            <w:noWrap/>
            <w:vAlign w:val="center"/>
          </w:tcPr>
          <w:p>
            <w:pPr>
              <w:spacing w:line="240" w:lineRule="auto"/>
              <w:rPr>
                <w:rFonts w:eastAsia="宋体" w:cs="宋体"/>
                <w:sz w:val="24"/>
              </w:rPr>
            </w:pPr>
            <w:r>
              <w:rPr>
                <w:rFonts w:hint="eastAsia" w:eastAsia="宋体" w:cs="宋体"/>
                <w:sz w:val="24"/>
              </w:rPr>
              <w:t>　</w:t>
            </w:r>
          </w:p>
        </w:tc>
      </w:tr>
      <w:tr>
        <w:tblPrEx>
          <w:tblCellMar>
            <w:top w:w="0" w:type="dxa"/>
            <w:left w:w="108" w:type="dxa"/>
            <w:bottom w:w="0" w:type="dxa"/>
            <w:right w:w="108" w:type="dxa"/>
          </w:tblCellMar>
        </w:tblPrEx>
        <w:trPr>
          <w:trHeight w:val="432" w:hRule="atLeast"/>
        </w:trPr>
        <w:tc>
          <w:tcPr>
            <w:tcW w:w="1069"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项目名称:</w:t>
            </w:r>
          </w:p>
        </w:tc>
        <w:tc>
          <w:tcPr>
            <w:tcW w:w="11769" w:type="dxa"/>
            <w:gridSpan w:val="12"/>
            <w:tcBorders>
              <w:top w:val="single" w:color="auto" w:sz="4" w:space="0"/>
              <w:left w:val="nil"/>
              <w:bottom w:val="single" w:color="auto" w:sz="4" w:space="0"/>
              <w:right w:val="single" w:color="000000" w:sz="4" w:space="0"/>
            </w:tcBorders>
            <w:shd w:val="clear" w:color="000000" w:fill="FFFFFF"/>
            <w:vAlign w:val="center"/>
          </w:tcPr>
          <w:p>
            <w:pPr>
              <w:spacing w:line="240" w:lineRule="auto"/>
              <w:jc w:val="center"/>
              <w:rPr>
                <w:rFonts w:ascii="等线" w:eastAsia="等线" w:cs="宋体"/>
                <w:color w:val="000000"/>
                <w:sz w:val="22"/>
                <w:szCs w:val="22"/>
              </w:rPr>
            </w:pPr>
            <w:r>
              <w:rPr>
                <w:rFonts w:hint="eastAsia" w:ascii="等线" w:eastAsia="等线" w:cs="宋体"/>
                <w:color w:val="000000"/>
                <w:sz w:val="22"/>
                <w:szCs w:val="22"/>
              </w:rPr>
              <w:t>教师队伍建设资金项目</w:t>
            </w:r>
          </w:p>
        </w:tc>
        <w:tc>
          <w:tcPr>
            <w:tcW w:w="236" w:type="dxa"/>
            <w:tcBorders>
              <w:top w:val="nil"/>
              <w:left w:val="nil"/>
              <w:bottom w:val="nil"/>
              <w:right w:val="nil"/>
            </w:tcBorders>
            <w:shd w:val="clear" w:color="000000" w:fill="FFFFFF"/>
            <w:noWrap/>
            <w:vAlign w:val="center"/>
          </w:tcPr>
          <w:p>
            <w:pPr>
              <w:spacing w:line="240" w:lineRule="auto"/>
              <w:rPr>
                <w:rFonts w:eastAsia="宋体" w:cs="宋体"/>
                <w:sz w:val="24"/>
              </w:rPr>
            </w:pPr>
            <w:r>
              <w:rPr>
                <w:rFonts w:hint="eastAsia" w:eastAsia="宋体" w:cs="宋体"/>
                <w:sz w:val="24"/>
              </w:rPr>
              <w:t>　</w:t>
            </w:r>
          </w:p>
        </w:tc>
      </w:tr>
      <w:tr>
        <w:tblPrEx>
          <w:tblCellMar>
            <w:top w:w="0" w:type="dxa"/>
            <w:left w:w="108" w:type="dxa"/>
            <w:bottom w:w="0" w:type="dxa"/>
            <w:right w:w="108" w:type="dxa"/>
          </w:tblCellMar>
        </w:tblPrEx>
        <w:trPr>
          <w:trHeight w:val="398" w:hRule="atLeast"/>
        </w:trPr>
        <w:tc>
          <w:tcPr>
            <w:tcW w:w="1069"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主管部门:</w:t>
            </w:r>
          </w:p>
        </w:tc>
        <w:tc>
          <w:tcPr>
            <w:tcW w:w="3782" w:type="dxa"/>
            <w:gridSpan w:val="3"/>
            <w:tcBorders>
              <w:top w:val="single" w:color="auto" w:sz="4" w:space="0"/>
              <w:left w:val="nil"/>
              <w:bottom w:val="single" w:color="auto" w:sz="4" w:space="0"/>
              <w:right w:val="single" w:color="000000"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203-省教育厅</w:t>
            </w:r>
          </w:p>
        </w:tc>
        <w:tc>
          <w:tcPr>
            <w:tcW w:w="1108"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实施单位:</w:t>
            </w:r>
          </w:p>
        </w:tc>
        <w:tc>
          <w:tcPr>
            <w:tcW w:w="6879" w:type="dxa"/>
            <w:gridSpan w:val="8"/>
            <w:tcBorders>
              <w:top w:val="single" w:color="auto" w:sz="4" w:space="0"/>
              <w:left w:val="nil"/>
              <w:bottom w:val="single" w:color="auto" w:sz="4" w:space="0"/>
              <w:right w:val="single" w:color="000000"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203009001-海南师范大学本级</w:t>
            </w:r>
          </w:p>
        </w:tc>
        <w:tc>
          <w:tcPr>
            <w:tcW w:w="236" w:type="dxa"/>
            <w:tcBorders>
              <w:top w:val="nil"/>
              <w:left w:val="nil"/>
              <w:bottom w:val="nil"/>
              <w:right w:val="nil"/>
            </w:tcBorders>
            <w:shd w:val="clear" w:color="000000" w:fill="FFFFFF"/>
            <w:noWrap/>
            <w:vAlign w:val="center"/>
          </w:tcPr>
          <w:p>
            <w:pPr>
              <w:spacing w:line="240" w:lineRule="auto"/>
              <w:rPr>
                <w:rFonts w:eastAsia="宋体" w:cs="宋体"/>
                <w:sz w:val="24"/>
              </w:rPr>
            </w:pPr>
            <w:r>
              <w:rPr>
                <w:rFonts w:hint="eastAsia" w:eastAsia="宋体" w:cs="宋体"/>
                <w:sz w:val="24"/>
              </w:rPr>
              <w:t>　</w:t>
            </w:r>
          </w:p>
        </w:tc>
      </w:tr>
      <w:tr>
        <w:tblPrEx>
          <w:tblCellMar>
            <w:top w:w="0" w:type="dxa"/>
            <w:left w:w="108" w:type="dxa"/>
            <w:bottom w:w="0" w:type="dxa"/>
            <w:right w:w="108" w:type="dxa"/>
          </w:tblCellMar>
        </w:tblPrEx>
        <w:trPr>
          <w:trHeight w:val="315" w:hRule="atLeast"/>
        </w:trPr>
        <w:tc>
          <w:tcPr>
            <w:tcW w:w="2131"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资金构成(元)</w:t>
            </w:r>
          </w:p>
        </w:tc>
        <w:tc>
          <w:tcPr>
            <w:tcW w:w="1713" w:type="dxa"/>
            <w:tcBorders>
              <w:top w:val="nil"/>
              <w:left w:val="nil"/>
              <w:bottom w:val="single" w:color="auto" w:sz="4" w:space="0"/>
              <w:right w:val="nil"/>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年初预算数</w:t>
            </w:r>
          </w:p>
        </w:tc>
        <w:tc>
          <w:tcPr>
            <w:tcW w:w="21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全年预算数</w:t>
            </w:r>
          </w:p>
        </w:tc>
        <w:tc>
          <w:tcPr>
            <w:tcW w:w="3804"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执行数</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分值</w:t>
            </w:r>
          </w:p>
        </w:tc>
        <w:tc>
          <w:tcPr>
            <w:tcW w:w="875" w:type="dxa"/>
            <w:tcBorders>
              <w:top w:val="nil"/>
              <w:left w:val="nil"/>
              <w:bottom w:val="single" w:color="auto" w:sz="4" w:space="0"/>
              <w:right w:val="nil"/>
            </w:tcBorders>
            <w:shd w:val="clear" w:color="000000" w:fill="FFFFFF"/>
            <w:vAlign w:val="center"/>
          </w:tcPr>
          <w:p>
            <w:pPr>
              <w:spacing w:line="240" w:lineRule="auto"/>
              <w:rPr>
                <w:rFonts w:ascii="等线" w:eastAsia="等线" w:cs="宋体"/>
                <w:b/>
                <w:bCs/>
                <w:color w:val="000000"/>
                <w:sz w:val="24"/>
              </w:rPr>
            </w:pPr>
            <w:r>
              <w:rPr>
                <w:rFonts w:hint="eastAsia" w:ascii="等线" w:eastAsia="等线" w:cs="宋体"/>
                <w:b/>
                <w:bCs/>
                <w:color w:val="000000"/>
                <w:sz w:val="24"/>
              </w:rPr>
              <w:t>执行率（%）</w:t>
            </w:r>
          </w:p>
        </w:tc>
        <w:tc>
          <w:tcPr>
            <w:tcW w:w="1320" w:type="dxa"/>
            <w:gridSpan w:val="2"/>
            <w:tcBorders>
              <w:top w:val="nil"/>
              <w:left w:val="single" w:color="auto" w:sz="4" w:space="0"/>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得分</w:t>
            </w:r>
          </w:p>
        </w:tc>
        <w:tc>
          <w:tcPr>
            <w:tcW w:w="236" w:type="dxa"/>
            <w:tcBorders>
              <w:top w:val="nil"/>
              <w:left w:val="nil"/>
              <w:bottom w:val="nil"/>
              <w:right w:val="nil"/>
            </w:tcBorders>
            <w:shd w:val="clear" w:color="000000" w:fill="FFFFFF"/>
            <w:noWrap/>
            <w:vAlign w:val="center"/>
          </w:tcPr>
          <w:p>
            <w:pPr>
              <w:spacing w:line="240" w:lineRule="auto"/>
              <w:rPr>
                <w:rFonts w:eastAsia="宋体" w:cs="宋体"/>
                <w:sz w:val="24"/>
              </w:rPr>
            </w:pPr>
            <w:r>
              <w:rPr>
                <w:rFonts w:hint="eastAsia" w:eastAsia="宋体" w:cs="宋体"/>
                <w:sz w:val="24"/>
              </w:rPr>
              <w:t>　</w:t>
            </w:r>
          </w:p>
        </w:tc>
      </w:tr>
      <w:tr>
        <w:tblPrEx>
          <w:tblCellMar>
            <w:top w:w="0" w:type="dxa"/>
            <w:left w:w="108" w:type="dxa"/>
            <w:bottom w:w="0" w:type="dxa"/>
            <w:right w:w="108" w:type="dxa"/>
          </w:tblCellMar>
        </w:tblPrEx>
        <w:trPr>
          <w:trHeight w:val="285" w:hRule="atLeast"/>
        </w:trPr>
        <w:tc>
          <w:tcPr>
            <w:tcW w:w="213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资金总额：</w:t>
            </w:r>
          </w:p>
        </w:tc>
        <w:tc>
          <w:tcPr>
            <w:tcW w:w="1713"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16,431,700.00</w:t>
            </w:r>
          </w:p>
        </w:tc>
        <w:tc>
          <w:tcPr>
            <w:tcW w:w="2115"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16,431,700.00</w:t>
            </w:r>
          </w:p>
        </w:tc>
        <w:tc>
          <w:tcPr>
            <w:tcW w:w="3804"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16,416,914.00</w:t>
            </w:r>
          </w:p>
        </w:tc>
        <w:tc>
          <w:tcPr>
            <w:tcW w:w="880" w:type="dxa"/>
            <w:tcBorders>
              <w:top w:val="nil"/>
              <w:left w:val="nil"/>
              <w:bottom w:val="single" w:color="auto" w:sz="4" w:space="0"/>
              <w:right w:val="single" w:color="auto" w:sz="4" w:space="0"/>
            </w:tcBorders>
            <w:shd w:val="clear" w:color="000000" w:fill="FFFFFF"/>
            <w:noWrap/>
            <w:vAlign w:val="center"/>
          </w:tcPr>
          <w:p>
            <w:pPr>
              <w:spacing w:line="240" w:lineRule="auto"/>
              <w:jc w:val="center"/>
              <w:rPr>
                <w:rFonts w:ascii="等线" w:eastAsia="等线" w:cs="宋体"/>
                <w:color w:val="000000"/>
                <w:sz w:val="22"/>
                <w:szCs w:val="22"/>
              </w:rPr>
            </w:pPr>
            <w:r>
              <w:rPr>
                <w:rFonts w:hint="eastAsia" w:ascii="等线" w:eastAsia="等线" w:cs="宋体"/>
                <w:color w:val="000000"/>
                <w:sz w:val="22"/>
                <w:szCs w:val="22"/>
              </w:rPr>
              <w:t xml:space="preserve">10.00 </w:t>
            </w:r>
          </w:p>
        </w:tc>
        <w:tc>
          <w:tcPr>
            <w:tcW w:w="87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99.91</w:t>
            </w:r>
          </w:p>
        </w:tc>
        <w:tc>
          <w:tcPr>
            <w:tcW w:w="1320" w:type="dxa"/>
            <w:gridSpan w:val="2"/>
            <w:tcBorders>
              <w:top w:val="nil"/>
              <w:left w:val="nil"/>
              <w:bottom w:val="single" w:color="auto" w:sz="4" w:space="0"/>
              <w:right w:val="single" w:color="auto" w:sz="4" w:space="0"/>
            </w:tcBorders>
            <w:shd w:val="clear" w:color="000000" w:fill="FFFFFF"/>
            <w:noWrap/>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9.99</w:t>
            </w:r>
          </w:p>
        </w:tc>
        <w:tc>
          <w:tcPr>
            <w:tcW w:w="236" w:type="dxa"/>
            <w:tcBorders>
              <w:top w:val="nil"/>
              <w:left w:val="nil"/>
              <w:bottom w:val="nil"/>
              <w:right w:val="nil"/>
            </w:tcBorders>
            <w:shd w:val="clear" w:color="000000" w:fill="FFFFFF"/>
            <w:noWrap/>
            <w:vAlign w:val="center"/>
          </w:tcPr>
          <w:p>
            <w:pPr>
              <w:spacing w:line="240" w:lineRule="auto"/>
              <w:rPr>
                <w:rFonts w:eastAsia="宋体" w:cs="宋体"/>
                <w:sz w:val="24"/>
              </w:rPr>
            </w:pPr>
            <w:r>
              <w:rPr>
                <w:rFonts w:hint="eastAsia" w:eastAsia="宋体" w:cs="宋体"/>
                <w:sz w:val="24"/>
              </w:rPr>
              <w:t>　</w:t>
            </w:r>
          </w:p>
        </w:tc>
      </w:tr>
      <w:tr>
        <w:tblPrEx>
          <w:tblCellMar>
            <w:top w:w="0" w:type="dxa"/>
            <w:left w:w="108" w:type="dxa"/>
            <w:bottom w:w="0" w:type="dxa"/>
            <w:right w:w="108" w:type="dxa"/>
          </w:tblCellMar>
        </w:tblPrEx>
        <w:trPr>
          <w:trHeight w:val="285" w:hRule="atLeast"/>
        </w:trPr>
        <w:tc>
          <w:tcPr>
            <w:tcW w:w="213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其中：财政资金：</w:t>
            </w:r>
          </w:p>
        </w:tc>
        <w:tc>
          <w:tcPr>
            <w:tcW w:w="1713"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16,431,700.00</w:t>
            </w:r>
          </w:p>
        </w:tc>
        <w:tc>
          <w:tcPr>
            <w:tcW w:w="2115"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16,431,700.00</w:t>
            </w:r>
          </w:p>
        </w:tc>
        <w:tc>
          <w:tcPr>
            <w:tcW w:w="3804"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16,416,914.00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c>
          <w:tcPr>
            <w:tcW w:w="87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99.91</w:t>
            </w:r>
          </w:p>
        </w:tc>
        <w:tc>
          <w:tcPr>
            <w:tcW w:w="1320" w:type="dxa"/>
            <w:gridSpan w:val="2"/>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c>
          <w:tcPr>
            <w:tcW w:w="236" w:type="dxa"/>
            <w:tcBorders>
              <w:top w:val="nil"/>
              <w:left w:val="nil"/>
              <w:bottom w:val="nil"/>
              <w:right w:val="nil"/>
            </w:tcBorders>
            <w:shd w:val="clear" w:color="000000" w:fill="FFFFFF"/>
            <w:noWrap/>
            <w:vAlign w:val="center"/>
          </w:tcPr>
          <w:p>
            <w:pPr>
              <w:spacing w:line="240" w:lineRule="auto"/>
              <w:rPr>
                <w:rFonts w:eastAsia="宋体" w:cs="宋体"/>
                <w:sz w:val="24"/>
              </w:rPr>
            </w:pPr>
            <w:r>
              <w:rPr>
                <w:rFonts w:hint="eastAsia" w:eastAsia="宋体" w:cs="宋体"/>
                <w:sz w:val="24"/>
              </w:rPr>
              <w:t>　</w:t>
            </w:r>
          </w:p>
        </w:tc>
      </w:tr>
      <w:tr>
        <w:tblPrEx>
          <w:tblCellMar>
            <w:top w:w="0" w:type="dxa"/>
            <w:left w:w="108" w:type="dxa"/>
            <w:bottom w:w="0" w:type="dxa"/>
            <w:right w:w="108" w:type="dxa"/>
          </w:tblCellMar>
        </w:tblPrEx>
        <w:trPr>
          <w:trHeight w:val="285" w:hRule="atLeast"/>
        </w:trPr>
        <w:tc>
          <w:tcPr>
            <w:tcW w:w="213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单位资金：</w:t>
            </w:r>
          </w:p>
        </w:tc>
        <w:tc>
          <w:tcPr>
            <w:tcW w:w="1713"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2115"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3804" w:type="dxa"/>
            <w:gridSpan w:val="4"/>
            <w:tcBorders>
              <w:top w:val="nil"/>
              <w:left w:val="nil"/>
              <w:bottom w:val="nil"/>
              <w:right w:val="nil"/>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880" w:type="dxa"/>
            <w:tcBorders>
              <w:top w:val="nil"/>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c>
          <w:tcPr>
            <w:tcW w:w="87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w:t>
            </w:r>
          </w:p>
        </w:tc>
        <w:tc>
          <w:tcPr>
            <w:tcW w:w="1320" w:type="dxa"/>
            <w:gridSpan w:val="2"/>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c>
          <w:tcPr>
            <w:tcW w:w="236" w:type="dxa"/>
            <w:tcBorders>
              <w:top w:val="nil"/>
              <w:left w:val="nil"/>
              <w:bottom w:val="nil"/>
              <w:right w:val="nil"/>
            </w:tcBorders>
            <w:shd w:val="clear" w:color="000000" w:fill="FFFFFF"/>
            <w:noWrap/>
            <w:vAlign w:val="center"/>
          </w:tcPr>
          <w:p>
            <w:pPr>
              <w:spacing w:line="240" w:lineRule="auto"/>
              <w:rPr>
                <w:rFonts w:eastAsia="宋体" w:cs="宋体"/>
                <w:sz w:val="24"/>
              </w:rPr>
            </w:pPr>
            <w:r>
              <w:rPr>
                <w:rFonts w:hint="eastAsia" w:eastAsia="宋体" w:cs="宋体"/>
                <w:sz w:val="24"/>
              </w:rPr>
              <w:t>　</w:t>
            </w:r>
          </w:p>
        </w:tc>
      </w:tr>
      <w:tr>
        <w:tblPrEx>
          <w:tblCellMar>
            <w:top w:w="0" w:type="dxa"/>
            <w:left w:w="108" w:type="dxa"/>
            <w:bottom w:w="0" w:type="dxa"/>
            <w:right w:w="108" w:type="dxa"/>
          </w:tblCellMar>
        </w:tblPrEx>
        <w:trPr>
          <w:trHeight w:val="285" w:hRule="atLeast"/>
        </w:trPr>
        <w:tc>
          <w:tcPr>
            <w:tcW w:w="213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财政专户管理资金：</w:t>
            </w:r>
          </w:p>
        </w:tc>
        <w:tc>
          <w:tcPr>
            <w:tcW w:w="1713"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2115"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3804"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c>
          <w:tcPr>
            <w:tcW w:w="87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w:t>
            </w:r>
          </w:p>
        </w:tc>
        <w:tc>
          <w:tcPr>
            <w:tcW w:w="1320" w:type="dxa"/>
            <w:gridSpan w:val="2"/>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c>
          <w:tcPr>
            <w:tcW w:w="236" w:type="dxa"/>
            <w:tcBorders>
              <w:top w:val="nil"/>
              <w:left w:val="nil"/>
              <w:bottom w:val="nil"/>
              <w:right w:val="nil"/>
            </w:tcBorders>
            <w:shd w:val="clear" w:color="000000" w:fill="FFFFFF"/>
            <w:noWrap/>
            <w:vAlign w:val="center"/>
          </w:tcPr>
          <w:p>
            <w:pPr>
              <w:spacing w:line="240" w:lineRule="auto"/>
              <w:rPr>
                <w:rFonts w:eastAsia="宋体" w:cs="宋体"/>
                <w:sz w:val="24"/>
              </w:rPr>
            </w:pPr>
            <w:r>
              <w:rPr>
                <w:rFonts w:hint="eastAsia" w:eastAsia="宋体" w:cs="宋体"/>
                <w:sz w:val="24"/>
              </w:rPr>
              <w:t>　</w:t>
            </w:r>
          </w:p>
        </w:tc>
      </w:tr>
      <w:tr>
        <w:tblPrEx>
          <w:tblCellMar>
            <w:top w:w="0" w:type="dxa"/>
            <w:left w:w="108" w:type="dxa"/>
            <w:bottom w:w="0" w:type="dxa"/>
            <w:right w:w="108" w:type="dxa"/>
          </w:tblCellMar>
        </w:tblPrEx>
        <w:trPr>
          <w:trHeight w:val="285" w:hRule="atLeast"/>
        </w:trPr>
        <w:tc>
          <w:tcPr>
            <w:tcW w:w="5959"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年度目标</w:t>
            </w:r>
          </w:p>
        </w:tc>
        <w:tc>
          <w:tcPr>
            <w:tcW w:w="6879" w:type="dxa"/>
            <w:gridSpan w:val="8"/>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年度目标完成情况</w:t>
            </w:r>
          </w:p>
        </w:tc>
        <w:tc>
          <w:tcPr>
            <w:tcW w:w="236" w:type="dxa"/>
            <w:tcBorders>
              <w:top w:val="nil"/>
              <w:left w:val="nil"/>
              <w:bottom w:val="nil"/>
              <w:right w:val="nil"/>
            </w:tcBorders>
            <w:shd w:val="clear" w:color="000000" w:fill="FFFFFF"/>
            <w:noWrap/>
            <w:vAlign w:val="center"/>
          </w:tcPr>
          <w:p>
            <w:pPr>
              <w:spacing w:line="240" w:lineRule="auto"/>
              <w:rPr>
                <w:rFonts w:eastAsia="宋体" w:cs="宋体"/>
                <w:sz w:val="24"/>
              </w:rPr>
            </w:pPr>
            <w:r>
              <w:rPr>
                <w:rFonts w:hint="eastAsia" w:eastAsia="宋体" w:cs="宋体"/>
                <w:sz w:val="24"/>
              </w:rPr>
              <w:t>　</w:t>
            </w:r>
          </w:p>
        </w:tc>
      </w:tr>
      <w:tr>
        <w:tblPrEx>
          <w:tblCellMar>
            <w:top w:w="0" w:type="dxa"/>
            <w:left w:w="108" w:type="dxa"/>
            <w:bottom w:w="0" w:type="dxa"/>
            <w:right w:w="108" w:type="dxa"/>
          </w:tblCellMar>
        </w:tblPrEx>
        <w:trPr>
          <w:trHeight w:val="2910" w:hRule="atLeast"/>
        </w:trPr>
        <w:tc>
          <w:tcPr>
            <w:tcW w:w="5959" w:type="dxa"/>
            <w:gridSpan w:val="5"/>
            <w:tcBorders>
              <w:top w:val="single" w:color="auto" w:sz="4" w:space="0"/>
              <w:left w:val="single" w:color="auto" w:sz="4" w:space="0"/>
              <w:bottom w:val="single" w:color="auto" w:sz="4" w:space="0"/>
              <w:right w:val="single" w:color="000000" w:sz="4" w:space="0"/>
            </w:tcBorders>
            <w:shd w:val="clear" w:color="000000" w:fill="FFFFFF"/>
          </w:tcPr>
          <w:p>
            <w:pPr>
              <w:spacing w:line="240" w:lineRule="auto"/>
              <w:rPr>
                <w:rFonts w:ascii="等线" w:eastAsia="等线" w:cs="宋体"/>
                <w:color w:val="000000"/>
                <w:sz w:val="22"/>
                <w:szCs w:val="22"/>
              </w:rPr>
            </w:pPr>
            <w:r>
              <w:rPr>
                <w:rFonts w:hint="eastAsia" w:ascii="等线" w:eastAsia="等线" w:cs="宋体"/>
                <w:color w:val="000000"/>
                <w:sz w:val="22"/>
                <w:szCs w:val="22"/>
              </w:rPr>
              <w:t>及时支出专项经费，促进学校发展，支持我省基础教师师资队伍建设。</w:t>
            </w:r>
          </w:p>
        </w:tc>
        <w:tc>
          <w:tcPr>
            <w:tcW w:w="6879" w:type="dxa"/>
            <w:gridSpan w:val="8"/>
            <w:tcBorders>
              <w:top w:val="single" w:color="auto" w:sz="4" w:space="0"/>
              <w:left w:val="nil"/>
              <w:bottom w:val="single" w:color="auto" w:sz="4" w:space="0"/>
              <w:right w:val="single" w:color="000000" w:sz="4" w:space="0"/>
            </w:tcBorders>
            <w:shd w:val="clear" w:color="000000" w:fill="FFFFFF"/>
          </w:tcPr>
          <w:p>
            <w:pPr>
              <w:spacing w:line="240" w:lineRule="auto"/>
              <w:rPr>
                <w:rFonts w:ascii="等线" w:eastAsia="等线" w:cs="宋体"/>
                <w:color w:val="000000"/>
                <w:sz w:val="22"/>
                <w:szCs w:val="22"/>
              </w:rPr>
            </w:pPr>
            <w:r>
              <w:rPr>
                <w:rFonts w:hint="eastAsia" w:ascii="等线" w:eastAsia="等线" w:cs="宋体"/>
                <w:color w:val="000000"/>
                <w:sz w:val="22"/>
                <w:szCs w:val="22"/>
              </w:rPr>
              <w:t>1、2022年年度目标是及时支出专项经费，保证项目学生的相关经费支出，支持我省基础教师师资队伍建设。</w:t>
            </w:r>
            <w:r>
              <w:rPr>
                <w:rFonts w:hint="eastAsia" w:ascii="等线" w:eastAsia="等线" w:cs="宋体"/>
                <w:color w:val="000000"/>
                <w:sz w:val="22"/>
                <w:szCs w:val="22"/>
              </w:rPr>
              <w:br w:type="textWrapping"/>
            </w:r>
            <w:r>
              <w:rPr>
                <w:rFonts w:hint="eastAsia" w:ascii="等线" w:eastAsia="等线" w:cs="宋体"/>
                <w:color w:val="000000"/>
                <w:sz w:val="22"/>
                <w:szCs w:val="22"/>
              </w:rPr>
              <w:t>2、经过好校长好教师培养项目培训，一些中学校长成为中学省级骨干校长，一些校长成为了我省中学卓越校长工作室主持人，一些薄弱学校在校长、教室工作室的帮扶下教学质量取得了较大的飞跃。实施效果表明，项目达到预期的目标，取得了良好的效益，也获得了广大参训学员的普遍认可及上级部门的肯定。</w:t>
            </w:r>
            <w:r>
              <w:rPr>
                <w:rFonts w:hint="eastAsia" w:ascii="等线" w:eastAsia="等线" w:cs="宋体"/>
                <w:color w:val="000000"/>
                <w:sz w:val="22"/>
                <w:szCs w:val="22"/>
              </w:rPr>
              <w:br w:type="textWrapping"/>
            </w:r>
            <w:r>
              <w:rPr>
                <w:rFonts w:hint="eastAsia" w:ascii="等线" w:eastAsia="等线" w:cs="宋体"/>
                <w:color w:val="000000"/>
                <w:sz w:val="22"/>
                <w:szCs w:val="22"/>
              </w:rPr>
              <w:t>3、完成约120名小学美术、音乐教师为期13天的培训，促进乡镇小学骨干教师更新教育教育理念，掌握有效的教学方法，切实提升课堂教学能力，助力发挥骨干引领作用。</w:t>
            </w:r>
          </w:p>
        </w:tc>
        <w:tc>
          <w:tcPr>
            <w:tcW w:w="236" w:type="dxa"/>
            <w:tcBorders>
              <w:top w:val="nil"/>
              <w:left w:val="nil"/>
              <w:bottom w:val="nil"/>
              <w:right w:val="nil"/>
            </w:tcBorders>
            <w:shd w:val="clear" w:color="000000" w:fill="FFFFFF"/>
            <w:noWrap/>
            <w:vAlign w:val="center"/>
          </w:tcPr>
          <w:p>
            <w:pPr>
              <w:spacing w:line="240" w:lineRule="auto"/>
              <w:rPr>
                <w:rFonts w:eastAsia="宋体" w:cs="宋体"/>
                <w:sz w:val="24"/>
              </w:rPr>
            </w:pPr>
            <w:r>
              <w:rPr>
                <w:rFonts w:hint="eastAsia" w:eastAsia="宋体" w:cs="宋体"/>
                <w:sz w:val="24"/>
              </w:rPr>
              <w:t>　</w:t>
            </w:r>
          </w:p>
        </w:tc>
      </w:tr>
      <w:tr>
        <w:tblPrEx>
          <w:tblCellMar>
            <w:top w:w="0" w:type="dxa"/>
            <w:left w:w="108" w:type="dxa"/>
            <w:bottom w:w="0" w:type="dxa"/>
            <w:right w:w="108" w:type="dxa"/>
          </w:tblCellMar>
        </w:tblPrEx>
        <w:trPr>
          <w:gridAfter w:val="2"/>
          <w:wAfter w:w="311" w:type="dxa"/>
          <w:trHeight w:val="570" w:hRule="atLeast"/>
        </w:trPr>
        <w:tc>
          <w:tcPr>
            <w:tcW w:w="1069" w:type="dxa"/>
            <w:tcBorders>
              <w:top w:val="nil"/>
              <w:left w:val="single" w:color="auto" w:sz="4" w:space="0"/>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一级指标</w:t>
            </w:r>
          </w:p>
        </w:tc>
        <w:tc>
          <w:tcPr>
            <w:tcW w:w="1062"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二级指标</w:t>
            </w:r>
          </w:p>
        </w:tc>
        <w:tc>
          <w:tcPr>
            <w:tcW w:w="2720" w:type="dxa"/>
            <w:gridSpan w:val="2"/>
            <w:tcBorders>
              <w:top w:val="single" w:color="auto" w:sz="4" w:space="0"/>
              <w:left w:val="nil"/>
              <w:bottom w:val="single" w:color="auto" w:sz="4" w:space="0"/>
              <w:right w:val="single" w:color="000000"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三级指标</w:t>
            </w:r>
          </w:p>
        </w:tc>
        <w:tc>
          <w:tcPr>
            <w:tcW w:w="1108"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指标性质</w:t>
            </w:r>
          </w:p>
        </w:tc>
        <w:tc>
          <w:tcPr>
            <w:tcW w:w="924"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年度指标值</w:t>
            </w:r>
          </w:p>
        </w:tc>
        <w:tc>
          <w:tcPr>
            <w:tcW w:w="1007"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度量单位</w:t>
            </w:r>
          </w:p>
        </w:tc>
        <w:tc>
          <w:tcPr>
            <w:tcW w:w="887"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实际完成值</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完成率</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分值</w:t>
            </w:r>
          </w:p>
        </w:tc>
        <w:tc>
          <w:tcPr>
            <w:tcW w:w="875"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得分</w:t>
            </w:r>
          </w:p>
        </w:tc>
        <w:tc>
          <w:tcPr>
            <w:tcW w:w="1245" w:type="dxa"/>
            <w:tcBorders>
              <w:top w:val="single" w:color="auto" w:sz="4" w:space="0"/>
              <w:left w:val="nil"/>
              <w:bottom w:val="single" w:color="auto" w:sz="4" w:space="0"/>
              <w:right w:val="nil"/>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未完成原因分析</w:t>
            </w:r>
          </w:p>
        </w:tc>
      </w:tr>
      <w:tr>
        <w:tblPrEx>
          <w:tblCellMar>
            <w:top w:w="0" w:type="dxa"/>
            <w:left w:w="108" w:type="dxa"/>
            <w:bottom w:w="0" w:type="dxa"/>
            <w:right w:w="108" w:type="dxa"/>
          </w:tblCellMar>
        </w:tblPrEx>
        <w:trPr>
          <w:gridAfter w:val="2"/>
          <w:wAfter w:w="311" w:type="dxa"/>
          <w:trHeight w:val="623" w:hRule="atLeast"/>
        </w:trPr>
        <w:tc>
          <w:tcPr>
            <w:tcW w:w="1069"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产出指标</w:t>
            </w:r>
          </w:p>
        </w:tc>
        <w:tc>
          <w:tcPr>
            <w:tcW w:w="1062"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数量指标</w:t>
            </w:r>
          </w:p>
        </w:tc>
        <w:tc>
          <w:tcPr>
            <w:tcW w:w="2720"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培训人数</w:t>
            </w:r>
          </w:p>
        </w:tc>
        <w:tc>
          <w:tcPr>
            <w:tcW w:w="1108"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24"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500</w:t>
            </w:r>
          </w:p>
        </w:tc>
        <w:tc>
          <w:tcPr>
            <w:tcW w:w="100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人</w:t>
            </w:r>
          </w:p>
        </w:tc>
        <w:tc>
          <w:tcPr>
            <w:tcW w:w="887"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500</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25.00</w:t>
            </w:r>
          </w:p>
        </w:tc>
        <w:tc>
          <w:tcPr>
            <w:tcW w:w="87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25</w:t>
            </w:r>
          </w:p>
        </w:tc>
        <w:tc>
          <w:tcPr>
            <w:tcW w:w="1245" w:type="dxa"/>
            <w:tcBorders>
              <w:top w:val="single" w:color="auto" w:sz="4" w:space="0"/>
              <w:left w:val="nil"/>
              <w:bottom w:val="single" w:color="auto" w:sz="4" w:space="0"/>
              <w:right w:val="single" w:color="auto" w:sz="4" w:space="0"/>
            </w:tcBorders>
            <w:shd w:val="clear" w:color="000000" w:fill="FFFFFF"/>
            <w:noWrap/>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gridAfter w:val="2"/>
          <w:wAfter w:w="311" w:type="dxa"/>
          <w:trHeight w:val="623" w:hRule="atLeast"/>
        </w:trPr>
        <w:tc>
          <w:tcPr>
            <w:tcW w:w="1069"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产出指标</w:t>
            </w:r>
          </w:p>
        </w:tc>
        <w:tc>
          <w:tcPr>
            <w:tcW w:w="1062"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数量指标</w:t>
            </w:r>
          </w:p>
        </w:tc>
        <w:tc>
          <w:tcPr>
            <w:tcW w:w="2720"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培训时长360/80学时</w:t>
            </w:r>
          </w:p>
        </w:tc>
        <w:tc>
          <w:tcPr>
            <w:tcW w:w="1108"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24"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500</w:t>
            </w:r>
          </w:p>
        </w:tc>
        <w:tc>
          <w:tcPr>
            <w:tcW w:w="100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人</w:t>
            </w:r>
          </w:p>
        </w:tc>
        <w:tc>
          <w:tcPr>
            <w:tcW w:w="887"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500</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25.00</w:t>
            </w:r>
          </w:p>
        </w:tc>
        <w:tc>
          <w:tcPr>
            <w:tcW w:w="87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25</w:t>
            </w:r>
          </w:p>
        </w:tc>
        <w:tc>
          <w:tcPr>
            <w:tcW w:w="1245" w:type="dxa"/>
            <w:tcBorders>
              <w:top w:val="single" w:color="auto" w:sz="4" w:space="0"/>
              <w:left w:val="nil"/>
              <w:bottom w:val="single" w:color="auto" w:sz="4" w:space="0"/>
              <w:right w:val="single" w:color="auto" w:sz="4" w:space="0"/>
            </w:tcBorders>
            <w:shd w:val="clear" w:color="000000" w:fill="FFFFFF"/>
            <w:noWrap/>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gridAfter w:val="2"/>
          <w:wAfter w:w="311" w:type="dxa"/>
          <w:trHeight w:val="623" w:hRule="atLeast"/>
        </w:trPr>
        <w:tc>
          <w:tcPr>
            <w:tcW w:w="1069"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产出指标</w:t>
            </w:r>
          </w:p>
        </w:tc>
        <w:tc>
          <w:tcPr>
            <w:tcW w:w="1062"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数量指标</w:t>
            </w:r>
          </w:p>
        </w:tc>
        <w:tc>
          <w:tcPr>
            <w:tcW w:w="2720"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乡村小学教师报到率</w:t>
            </w:r>
          </w:p>
        </w:tc>
        <w:tc>
          <w:tcPr>
            <w:tcW w:w="1108"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24"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90</w:t>
            </w:r>
          </w:p>
        </w:tc>
        <w:tc>
          <w:tcPr>
            <w:tcW w:w="100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887"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90</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25.00</w:t>
            </w:r>
          </w:p>
        </w:tc>
        <w:tc>
          <w:tcPr>
            <w:tcW w:w="87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25</w:t>
            </w:r>
          </w:p>
        </w:tc>
        <w:tc>
          <w:tcPr>
            <w:tcW w:w="1245" w:type="dxa"/>
            <w:tcBorders>
              <w:top w:val="single" w:color="auto" w:sz="4" w:space="0"/>
              <w:left w:val="nil"/>
              <w:bottom w:val="single" w:color="auto" w:sz="4" w:space="0"/>
              <w:right w:val="single" w:color="auto" w:sz="4" w:space="0"/>
            </w:tcBorders>
            <w:shd w:val="clear" w:color="000000" w:fill="FFFFFF"/>
            <w:noWrap/>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gridAfter w:val="2"/>
          <w:wAfter w:w="311" w:type="dxa"/>
          <w:trHeight w:val="623" w:hRule="atLeast"/>
        </w:trPr>
        <w:tc>
          <w:tcPr>
            <w:tcW w:w="1069"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产出指标</w:t>
            </w:r>
          </w:p>
        </w:tc>
        <w:tc>
          <w:tcPr>
            <w:tcW w:w="1062"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数量指标</w:t>
            </w:r>
          </w:p>
        </w:tc>
        <w:tc>
          <w:tcPr>
            <w:tcW w:w="2720"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乡村小学教师毕业率</w:t>
            </w:r>
          </w:p>
        </w:tc>
        <w:tc>
          <w:tcPr>
            <w:tcW w:w="1108"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24"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90</w:t>
            </w:r>
          </w:p>
        </w:tc>
        <w:tc>
          <w:tcPr>
            <w:tcW w:w="100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887"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90</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15.00</w:t>
            </w:r>
          </w:p>
        </w:tc>
        <w:tc>
          <w:tcPr>
            <w:tcW w:w="87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15</w:t>
            </w:r>
          </w:p>
        </w:tc>
        <w:tc>
          <w:tcPr>
            <w:tcW w:w="1245" w:type="dxa"/>
            <w:tcBorders>
              <w:top w:val="single" w:color="auto" w:sz="4" w:space="0"/>
              <w:left w:val="nil"/>
              <w:bottom w:val="single" w:color="auto" w:sz="4" w:space="0"/>
              <w:right w:val="single" w:color="auto" w:sz="4" w:space="0"/>
            </w:tcBorders>
            <w:shd w:val="clear" w:color="000000" w:fill="FFFFFF"/>
            <w:noWrap/>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gridAfter w:val="2"/>
          <w:wAfter w:w="311" w:type="dxa"/>
          <w:trHeight w:val="623" w:hRule="atLeast"/>
        </w:trPr>
        <w:tc>
          <w:tcPr>
            <w:tcW w:w="9763" w:type="dxa"/>
            <w:gridSpan w:val="9"/>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合计</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7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99.99</w:t>
            </w:r>
          </w:p>
        </w:tc>
        <w:tc>
          <w:tcPr>
            <w:tcW w:w="1245" w:type="dxa"/>
            <w:tcBorders>
              <w:top w:val="single" w:color="auto" w:sz="4" w:space="0"/>
              <w:left w:val="nil"/>
              <w:bottom w:val="single" w:color="auto" w:sz="4" w:space="0"/>
              <w:right w:val="single" w:color="auto" w:sz="4" w:space="0"/>
            </w:tcBorders>
            <w:shd w:val="clear" w:color="000000" w:fill="FFFFFF"/>
            <w:noWrap/>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bl>
    <w:p>
      <w:pPr>
        <w:pStyle w:val="12"/>
        <w:spacing w:before="0" w:beforeAutospacing="0" w:after="0" w:afterAutospacing="0" w:line="525" w:lineRule="atLeast"/>
        <w:ind w:left="-9" w:leftChars="-4" w:hanging="3" w:hangingChars="1"/>
        <w:rPr>
          <w:rFonts w:hint="eastAsia" w:ascii="仿宋" w:hAnsi="仿宋" w:eastAsia="仿宋"/>
          <w:color w:val="000000"/>
          <w:szCs w:val="32"/>
        </w:rPr>
      </w:pPr>
      <w:r>
        <w:rPr>
          <w:rFonts w:hint="eastAsia" w:ascii="仿宋" w:hAnsi="仿宋" w:eastAsia="仿宋"/>
          <w:color w:val="000000"/>
          <w:szCs w:val="32"/>
        </w:rPr>
        <w:t xml:space="preserve">    教师队伍建设资金项目绩效自评报告：根据年初设定的绩效目标，项目绩效自评得分为99.99分。全年预算数为1643.17万元，执行数为1641.69万元，完成预算的99.91%。项目绩效目标完成情况: 1、2022年年度目标是及时支出专项经费，保证项目学生的相关经费支出，支持我省基础教师师资队伍建设。2、经过好校长好教师培养项目培训，一些中学校长成为中学省级骨干校长，一些校长成为了我省中学卓越校长工作室主持人，一些薄弱学校在校长、教室工作室的帮扶下教学质量取得了较大的飞跃。实施效果表明，项目达到预期的目标，取得了良好的效益，也获得了广大参训学员的普遍认可及上级部门的肯定。3、完成约120名小学美术、音乐教师为期13天的培训，促进乡镇小学骨干教师更新教育教育理念，掌握有效的教学方法，切实提升课堂教学能力，助力发挥骨干引领作用。发现的主要问题及原因：无</w:t>
      </w:r>
      <w:r>
        <w:rPr>
          <w:rFonts w:ascii="仿宋" w:hAnsi="仿宋" w:eastAsia="仿宋"/>
          <w:color w:val="000000"/>
          <w:szCs w:val="32"/>
        </w:rPr>
        <w:t>。</w:t>
      </w:r>
      <w:r>
        <w:rPr>
          <w:rFonts w:hint="eastAsia" w:ascii="仿宋" w:hAnsi="仿宋" w:eastAsia="仿宋"/>
          <w:color w:val="000000"/>
          <w:szCs w:val="32"/>
        </w:rPr>
        <w:t>下一步改进措施：无</w:t>
      </w:r>
      <w:r>
        <w:rPr>
          <w:rFonts w:ascii="仿宋" w:hAnsi="仿宋" w:eastAsia="仿宋"/>
          <w:color w:val="000000"/>
          <w:szCs w:val="32"/>
        </w:rPr>
        <w:t>。</w:t>
      </w:r>
    </w:p>
    <w:p>
      <w:pPr>
        <w:pStyle w:val="12"/>
        <w:spacing w:before="0" w:beforeAutospacing="0" w:after="0" w:afterAutospacing="0" w:line="525" w:lineRule="atLeast"/>
        <w:ind w:left="-9" w:leftChars="-4" w:hanging="3" w:hangingChars="1"/>
        <w:rPr>
          <w:rFonts w:hint="eastAsia" w:ascii="仿宋" w:hAnsi="仿宋" w:eastAsia="仿宋"/>
          <w:color w:val="000000"/>
          <w:szCs w:val="32"/>
        </w:rPr>
      </w:pPr>
      <w:r>
        <w:rPr>
          <w:rFonts w:hint="eastAsia" w:ascii="仿宋" w:hAnsi="仿宋" w:eastAsia="仿宋"/>
          <w:color w:val="000000"/>
          <w:szCs w:val="32"/>
        </w:rPr>
        <w:t xml:space="preserve">   </w:t>
      </w:r>
    </w:p>
    <w:p>
      <w:pPr>
        <w:pStyle w:val="12"/>
        <w:spacing w:before="0" w:beforeAutospacing="0" w:after="0" w:afterAutospacing="0" w:line="525" w:lineRule="atLeast"/>
        <w:ind w:left="-9" w:leftChars="-4" w:hanging="3" w:hangingChars="1"/>
        <w:rPr>
          <w:rFonts w:hint="eastAsia" w:ascii="仿宋_GB2312"/>
          <w:color w:val="000000"/>
          <w:szCs w:val="32"/>
        </w:rPr>
      </w:pPr>
      <w:r>
        <w:rPr>
          <w:rFonts w:hint="eastAsia" w:ascii="仿宋" w:hAnsi="仿宋" w:eastAsia="仿宋"/>
          <w:color w:val="000000"/>
          <w:szCs w:val="32"/>
        </w:rPr>
        <w:t xml:space="preserve"> </w:t>
      </w:r>
      <w:r>
        <w:rPr>
          <w:rFonts w:hint="eastAsia" w:ascii="仿宋_GB2312"/>
          <w:color w:val="000000"/>
          <w:szCs w:val="32"/>
        </w:rPr>
        <w:t>教育系统党建思政质量提升工程项目绩效自评表：</w:t>
      </w:r>
    </w:p>
    <w:tbl>
      <w:tblPr>
        <w:tblStyle w:val="13"/>
        <w:tblW w:w="13020" w:type="dxa"/>
        <w:tblInd w:w="103" w:type="dxa"/>
        <w:tblLayout w:type="autofit"/>
        <w:tblCellMar>
          <w:top w:w="0" w:type="dxa"/>
          <w:left w:w="108" w:type="dxa"/>
          <w:bottom w:w="0" w:type="dxa"/>
          <w:right w:w="108" w:type="dxa"/>
        </w:tblCellMar>
      </w:tblPr>
      <w:tblGrid>
        <w:gridCol w:w="1106"/>
        <w:gridCol w:w="1104"/>
        <w:gridCol w:w="1715"/>
        <w:gridCol w:w="1028"/>
        <w:gridCol w:w="1117"/>
        <w:gridCol w:w="950"/>
        <w:gridCol w:w="1045"/>
        <w:gridCol w:w="911"/>
        <w:gridCol w:w="986"/>
        <w:gridCol w:w="880"/>
        <w:gridCol w:w="878"/>
        <w:gridCol w:w="1300"/>
      </w:tblGrid>
      <w:tr>
        <w:tblPrEx>
          <w:tblCellMar>
            <w:top w:w="0" w:type="dxa"/>
            <w:left w:w="108" w:type="dxa"/>
            <w:bottom w:w="0" w:type="dxa"/>
            <w:right w:w="108" w:type="dxa"/>
          </w:tblCellMar>
        </w:tblPrEx>
        <w:trPr>
          <w:trHeight w:val="510" w:hRule="atLeast"/>
        </w:trPr>
        <w:tc>
          <w:tcPr>
            <w:tcW w:w="13020" w:type="dxa"/>
            <w:gridSpan w:val="1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40"/>
                <w:szCs w:val="40"/>
              </w:rPr>
            </w:pPr>
            <w:r>
              <w:rPr>
                <w:rFonts w:hint="eastAsia" w:ascii="等线" w:eastAsia="等线" w:cs="宋体"/>
                <w:b/>
                <w:bCs/>
                <w:color w:val="000000"/>
                <w:sz w:val="40"/>
                <w:szCs w:val="40"/>
              </w:rPr>
              <w:t xml:space="preserve">项目支出绩效自评表 </w:t>
            </w:r>
          </w:p>
        </w:tc>
      </w:tr>
      <w:tr>
        <w:tblPrEx>
          <w:tblCellMar>
            <w:top w:w="0" w:type="dxa"/>
            <w:left w:w="108" w:type="dxa"/>
            <w:bottom w:w="0" w:type="dxa"/>
            <w:right w:w="108" w:type="dxa"/>
          </w:tblCellMar>
        </w:tblPrEx>
        <w:trPr>
          <w:trHeight w:val="432" w:hRule="atLeast"/>
        </w:trPr>
        <w:tc>
          <w:tcPr>
            <w:tcW w:w="1106"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项目名称:</w:t>
            </w:r>
          </w:p>
        </w:tc>
        <w:tc>
          <w:tcPr>
            <w:tcW w:w="11914" w:type="dxa"/>
            <w:gridSpan w:val="11"/>
            <w:tcBorders>
              <w:top w:val="single" w:color="auto" w:sz="4" w:space="0"/>
              <w:left w:val="nil"/>
              <w:bottom w:val="single" w:color="auto" w:sz="4" w:space="0"/>
              <w:right w:val="single" w:color="000000" w:sz="4" w:space="0"/>
            </w:tcBorders>
            <w:shd w:val="clear" w:color="000000" w:fill="FFFFFF"/>
            <w:vAlign w:val="center"/>
          </w:tcPr>
          <w:p>
            <w:pPr>
              <w:spacing w:line="240" w:lineRule="auto"/>
              <w:jc w:val="center"/>
              <w:rPr>
                <w:rFonts w:ascii="等线" w:eastAsia="等线" w:cs="宋体"/>
                <w:color w:val="000000"/>
                <w:sz w:val="22"/>
                <w:szCs w:val="22"/>
              </w:rPr>
            </w:pPr>
            <w:r>
              <w:rPr>
                <w:rFonts w:hint="eastAsia" w:ascii="等线" w:eastAsia="等线" w:cs="宋体"/>
                <w:color w:val="000000"/>
                <w:sz w:val="22"/>
                <w:szCs w:val="22"/>
              </w:rPr>
              <w:t>教育系统党建思政质量提升工程</w:t>
            </w:r>
          </w:p>
        </w:tc>
      </w:tr>
      <w:tr>
        <w:tblPrEx>
          <w:tblCellMar>
            <w:top w:w="0" w:type="dxa"/>
            <w:left w:w="108" w:type="dxa"/>
            <w:bottom w:w="0" w:type="dxa"/>
            <w:right w:w="108" w:type="dxa"/>
          </w:tblCellMar>
        </w:tblPrEx>
        <w:trPr>
          <w:trHeight w:val="398" w:hRule="atLeast"/>
        </w:trPr>
        <w:tc>
          <w:tcPr>
            <w:tcW w:w="1106"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主管部门:</w:t>
            </w:r>
          </w:p>
        </w:tc>
        <w:tc>
          <w:tcPr>
            <w:tcW w:w="3847" w:type="dxa"/>
            <w:gridSpan w:val="3"/>
            <w:tcBorders>
              <w:top w:val="single" w:color="auto" w:sz="4" w:space="0"/>
              <w:left w:val="nil"/>
              <w:bottom w:val="single" w:color="auto" w:sz="4" w:space="0"/>
              <w:right w:val="single" w:color="000000"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203-省教育厅</w:t>
            </w:r>
          </w:p>
        </w:tc>
        <w:tc>
          <w:tcPr>
            <w:tcW w:w="111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实施单位:</w:t>
            </w:r>
          </w:p>
        </w:tc>
        <w:tc>
          <w:tcPr>
            <w:tcW w:w="6950" w:type="dxa"/>
            <w:gridSpan w:val="7"/>
            <w:tcBorders>
              <w:top w:val="single" w:color="auto" w:sz="4" w:space="0"/>
              <w:left w:val="nil"/>
              <w:bottom w:val="single" w:color="auto" w:sz="4" w:space="0"/>
              <w:right w:val="single" w:color="000000"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203001-省教育厅本级</w:t>
            </w:r>
          </w:p>
        </w:tc>
      </w:tr>
      <w:tr>
        <w:tblPrEx>
          <w:tblCellMar>
            <w:top w:w="0" w:type="dxa"/>
            <w:left w:w="108" w:type="dxa"/>
            <w:bottom w:w="0" w:type="dxa"/>
            <w:right w:w="108" w:type="dxa"/>
          </w:tblCellMar>
        </w:tblPrEx>
        <w:trPr>
          <w:trHeight w:val="315" w:hRule="atLeast"/>
        </w:trPr>
        <w:tc>
          <w:tcPr>
            <w:tcW w:w="2210"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资金构成(元)</w:t>
            </w:r>
          </w:p>
        </w:tc>
        <w:tc>
          <w:tcPr>
            <w:tcW w:w="1715" w:type="dxa"/>
            <w:tcBorders>
              <w:top w:val="nil"/>
              <w:left w:val="nil"/>
              <w:bottom w:val="single" w:color="auto" w:sz="4" w:space="0"/>
              <w:right w:val="nil"/>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年初预算数</w:t>
            </w:r>
          </w:p>
        </w:tc>
        <w:tc>
          <w:tcPr>
            <w:tcW w:w="214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全年预算数</w:t>
            </w:r>
          </w:p>
        </w:tc>
        <w:tc>
          <w:tcPr>
            <w:tcW w:w="3892"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执行数</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分值</w:t>
            </w:r>
          </w:p>
        </w:tc>
        <w:tc>
          <w:tcPr>
            <w:tcW w:w="878" w:type="dxa"/>
            <w:tcBorders>
              <w:top w:val="nil"/>
              <w:left w:val="nil"/>
              <w:bottom w:val="single" w:color="auto" w:sz="4" w:space="0"/>
              <w:right w:val="nil"/>
            </w:tcBorders>
            <w:shd w:val="clear" w:color="000000" w:fill="FFFFFF"/>
            <w:vAlign w:val="center"/>
          </w:tcPr>
          <w:p>
            <w:pPr>
              <w:spacing w:line="240" w:lineRule="auto"/>
              <w:rPr>
                <w:rFonts w:ascii="等线" w:eastAsia="等线" w:cs="宋体"/>
                <w:b/>
                <w:bCs/>
                <w:color w:val="000000"/>
                <w:sz w:val="24"/>
              </w:rPr>
            </w:pPr>
            <w:r>
              <w:rPr>
                <w:rFonts w:hint="eastAsia" w:ascii="等线" w:eastAsia="等线" w:cs="宋体"/>
                <w:b/>
                <w:bCs/>
                <w:color w:val="000000"/>
                <w:sz w:val="24"/>
              </w:rPr>
              <w:t>执行率（%）</w:t>
            </w:r>
          </w:p>
        </w:tc>
        <w:tc>
          <w:tcPr>
            <w:tcW w:w="1300" w:type="dxa"/>
            <w:tcBorders>
              <w:top w:val="nil"/>
              <w:left w:val="single" w:color="auto" w:sz="4" w:space="0"/>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得分</w:t>
            </w:r>
          </w:p>
        </w:tc>
      </w:tr>
      <w:tr>
        <w:tblPrEx>
          <w:tblCellMar>
            <w:top w:w="0" w:type="dxa"/>
            <w:left w:w="108" w:type="dxa"/>
            <w:bottom w:w="0" w:type="dxa"/>
            <w:right w:w="108" w:type="dxa"/>
          </w:tblCellMar>
        </w:tblPrEx>
        <w:trPr>
          <w:trHeight w:val="285" w:hRule="atLeast"/>
        </w:trPr>
        <w:tc>
          <w:tcPr>
            <w:tcW w:w="221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资金总额：</w:t>
            </w:r>
          </w:p>
        </w:tc>
        <w:tc>
          <w:tcPr>
            <w:tcW w:w="171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7,128,000.00</w:t>
            </w:r>
          </w:p>
        </w:tc>
        <w:tc>
          <w:tcPr>
            <w:tcW w:w="2145"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7,128,000.00</w:t>
            </w:r>
          </w:p>
        </w:tc>
        <w:tc>
          <w:tcPr>
            <w:tcW w:w="3892"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6,465,673.00</w:t>
            </w:r>
          </w:p>
        </w:tc>
        <w:tc>
          <w:tcPr>
            <w:tcW w:w="880" w:type="dxa"/>
            <w:tcBorders>
              <w:top w:val="nil"/>
              <w:left w:val="nil"/>
              <w:bottom w:val="single" w:color="auto" w:sz="4" w:space="0"/>
              <w:right w:val="single" w:color="auto" w:sz="4" w:space="0"/>
            </w:tcBorders>
            <w:shd w:val="clear" w:color="000000" w:fill="FFFFFF"/>
            <w:noWrap/>
            <w:vAlign w:val="center"/>
          </w:tcPr>
          <w:p>
            <w:pPr>
              <w:spacing w:line="240" w:lineRule="auto"/>
              <w:jc w:val="center"/>
              <w:rPr>
                <w:rFonts w:ascii="等线" w:eastAsia="等线" w:cs="宋体"/>
                <w:color w:val="000000"/>
                <w:sz w:val="22"/>
                <w:szCs w:val="22"/>
              </w:rPr>
            </w:pPr>
            <w:r>
              <w:rPr>
                <w:rFonts w:hint="eastAsia" w:ascii="等线" w:eastAsia="等线" w:cs="宋体"/>
                <w:color w:val="000000"/>
                <w:sz w:val="22"/>
                <w:szCs w:val="22"/>
              </w:rPr>
              <w:t xml:space="preserve">10.00 </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90.71</w:t>
            </w:r>
          </w:p>
        </w:tc>
        <w:tc>
          <w:tcPr>
            <w:tcW w:w="1300" w:type="dxa"/>
            <w:tcBorders>
              <w:top w:val="nil"/>
              <w:left w:val="nil"/>
              <w:bottom w:val="single" w:color="auto" w:sz="4" w:space="0"/>
              <w:right w:val="single" w:color="auto" w:sz="4" w:space="0"/>
            </w:tcBorders>
            <w:shd w:val="clear" w:color="000000" w:fill="FFFFFF"/>
            <w:noWrap/>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9.07</w:t>
            </w:r>
          </w:p>
        </w:tc>
      </w:tr>
      <w:tr>
        <w:tblPrEx>
          <w:tblCellMar>
            <w:top w:w="0" w:type="dxa"/>
            <w:left w:w="108" w:type="dxa"/>
            <w:bottom w:w="0" w:type="dxa"/>
            <w:right w:w="108" w:type="dxa"/>
          </w:tblCellMar>
        </w:tblPrEx>
        <w:trPr>
          <w:trHeight w:val="285" w:hRule="atLeast"/>
        </w:trPr>
        <w:tc>
          <w:tcPr>
            <w:tcW w:w="221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其中：财政资金：</w:t>
            </w:r>
          </w:p>
        </w:tc>
        <w:tc>
          <w:tcPr>
            <w:tcW w:w="171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7,128,000.00</w:t>
            </w:r>
          </w:p>
        </w:tc>
        <w:tc>
          <w:tcPr>
            <w:tcW w:w="2145"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7,128,000.00</w:t>
            </w:r>
          </w:p>
        </w:tc>
        <w:tc>
          <w:tcPr>
            <w:tcW w:w="3892"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6,465,673.00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90.71</w:t>
            </w:r>
          </w:p>
        </w:tc>
        <w:tc>
          <w:tcPr>
            <w:tcW w:w="130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285" w:hRule="atLeast"/>
        </w:trPr>
        <w:tc>
          <w:tcPr>
            <w:tcW w:w="221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单位资金：</w:t>
            </w:r>
          </w:p>
        </w:tc>
        <w:tc>
          <w:tcPr>
            <w:tcW w:w="171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2145"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3892" w:type="dxa"/>
            <w:gridSpan w:val="4"/>
            <w:tcBorders>
              <w:top w:val="nil"/>
              <w:left w:val="nil"/>
              <w:bottom w:val="nil"/>
              <w:right w:val="nil"/>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880" w:type="dxa"/>
            <w:tcBorders>
              <w:top w:val="nil"/>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w:t>
            </w:r>
          </w:p>
        </w:tc>
        <w:tc>
          <w:tcPr>
            <w:tcW w:w="130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285" w:hRule="atLeast"/>
        </w:trPr>
        <w:tc>
          <w:tcPr>
            <w:tcW w:w="221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财政专户管理资金：</w:t>
            </w:r>
          </w:p>
        </w:tc>
        <w:tc>
          <w:tcPr>
            <w:tcW w:w="171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2145"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3892"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w:t>
            </w:r>
          </w:p>
        </w:tc>
        <w:tc>
          <w:tcPr>
            <w:tcW w:w="130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285" w:hRule="atLeast"/>
        </w:trPr>
        <w:tc>
          <w:tcPr>
            <w:tcW w:w="6070"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年度目标</w:t>
            </w:r>
          </w:p>
        </w:tc>
        <w:tc>
          <w:tcPr>
            <w:tcW w:w="6950" w:type="dxa"/>
            <w:gridSpan w:val="7"/>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年度目标完成情况</w:t>
            </w:r>
          </w:p>
        </w:tc>
      </w:tr>
      <w:tr>
        <w:tblPrEx>
          <w:tblCellMar>
            <w:top w:w="0" w:type="dxa"/>
            <w:left w:w="108" w:type="dxa"/>
            <w:bottom w:w="0" w:type="dxa"/>
            <w:right w:w="108" w:type="dxa"/>
          </w:tblCellMar>
        </w:tblPrEx>
        <w:trPr>
          <w:trHeight w:val="1778" w:hRule="atLeast"/>
        </w:trPr>
        <w:tc>
          <w:tcPr>
            <w:tcW w:w="6070" w:type="dxa"/>
            <w:gridSpan w:val="5"/>
            <w:tcBorders>
              <w:top w:val="single" w:color="auto" w:sz="4" w:space="0"/>
              <w:left w:val="single" w:color="auto" w:sz="4" w:space="0"/>
              <w:bottom w:val="single" w:color="auto" w:sz="4" w:space="0"/>
              <w:right w:val="single" w:color="000000" w:sz="4" w:space="0"/>
            </w:tcBorders>
            <w:shd w:val="clear" w:color="000000" w:fill="FFFFFF"/>
          </w:tcPr>
          <w:p>
            <w:pPr>
              <w:spacing w:line="240" w:lineRule="auto"/>
              <w:rPr>
                <w:rFonts w:ascii="等线" w:eastAsia="等线" w:cs="宋体"/>
                <w:color w:val="000000"/>
                <w:sz w:val="22"/>
                <w:szCs w:val="22"/>
              </w:rPr>
            </w:pPr>
            <w:r>
              <w:rPr>
                <w:rFonts w:hint="eastAsia" w:ascii="等线" w:eastAsia="等线" w:cs="宋体"/>
                <w:color w:val="000000"/>
                <w:sz w:val="22"/>
                <w:szCs w:val="22"/>
              </w:rPr>
              <w:t>通过实施发放思政工作奖补资金，加强马克思主义学院（思政教学部）的建设，实施“三全育人”综合改革试点院（系）建设项目，实施高校原创文化精品推广行动计划，全面创建全省党建工作示范高校，创建全省党建工作样板支部，创建“双带头人”教师党支部书记工作室等项目，全面提升民办高校党建和思政工作水平。</w:t>
            </w:r>
          </w:p>
        </w:tc>
        <w:tc>
          <w:tcPr>
            <w:tcW w:w="6950" w:type="dxa"/>
            <w:gridSpan w:val="7"/>
            <w:tcBorders>
              <w:top w:val="single" w:color="auto" w:sz="4" w:space="0"/>
              <w:left w:val="nil"/>
              <w:bottom w:val="single" w:color="auto" w:sz="4" w:space="0"/>
              <w:right w:val="single" w:color="000000" w:sz="4" w:space="0"/>
            </w:tcBorders>
            <w:shd w:val="clear" w:color="000000" w:fill="FFFFFF"/>
          </w:tcPr>
          <w:p>
            <w:pPr>
              <w:spacing w:line="240" w:lineRule="auto"/>
              <w:rPr>
                <w:rFonts w:ascii="等线" w:eastAsia="等线" w:cs="宋体"/>
                <w:color w:val="000000"/>
                <w:sz w:val="22"/>
                <w:szCs w:val="22"/>
              </w:rPr>
            </w:pPr>
            <w:r>
              <w:rPr>
                <w:rFonts w:hint="eastAsia" w:ascii="等线" w:eastAsia="等线" w:cs="宋体"/>
                <w:color w:val="000000"/>
                <w:sz w:val="22"/>
                <w:szCs w:val="22"/>
              </w:rPr>
              <w:t>根据项目建设要求，党建和思政质量提升工程项目于2022年1月1日开始，至2022年12月31日结束，项目计划的实施进度已完成。</w:t>
            </w:r>
          </w:p>
        </w:tc>
      </w:tr>
      <w:tr>
        <w:tblPrEx>
          <w:tblCellMar>
            <w:top w:w="0" w:type="dxa"/>
            <w:left w:w="108" w:type="dxa"/>
            <w:bottom w:w="0" w:type="dxa"/>
            <w:right w:w="108" w:type="dxa"/>
          </w:tblCellMar>
        </w:tblPrEx>
        <w:trPr>
          <w:trHeight w:val="570" w:hRule="atLeast"/>
        </w:trPr>
        <w:tc>
          <w:tcPr>
            <w:tcW w:w="1106" w:type="dxa"/>
            <w:tcBorders>
              <w:top w:val="nil"/>
              <w:left w:val="single" w:color="auto" w:sz="4" w:space="0"/>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一级指标</w:t>
            </w:r>
          </w:p>
        </w:tc>
        <w:tc>
          <w:tcPr>
            <w:tcW w:w="1104"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二级指标</w:t>
            </w:r>
          </w:p>
        </w:tc>
        <w:tc>
          <w:tcPr>
            <w:tcW w:w="2743" w:type="dxa"/>
            <w:gridSpan w:val="2"/>
            <w:tcBorders>
              <w:top w:val="single" w:color="auto" w:sz="4" w:space="0"/>
              <w:left w:val="nil"/>
              <w:bottom w:val="single" w:color="auto" w:sz="4" w:space="0"/>
              <w:right w:val="single" w:color="000000"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三级指标</w:t>
            </w:r>
          </w:p>
        </w:tc>
        <w:tc>
          <w:tcPr>
            <w:tcW w:w="1117"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指标性质</w:t>
            </w:r>
          </w:p>
        </w:tc>
        <w:tc>
          <w:tcPr>
            <w:tcW w:w="950"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年度指标值</w:t>
            </w:r>
          </w:p>
        </w:tc>
        <w:tc>
          <w:tcPr>
            <w:tcW w:w="1045"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度量单位</w:t>
            </w:r>
          </w:p>
        </w:tc>
        <w:tc>
          <w:tcPr>
            <w:tcW w:w="911"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实际完成值</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完成率</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分值</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得分</w:t>
            </w:r>
          </w:p>
        </w:tc>
        <w:tc>
          <w:tcPr>
            <w:tcW w:w="1300" w:type="dxa"/>
            <w:tcBorders>
              <w:top w:val="nil"/>
              <w:left w:val="nil"/>
              <w:bottom w:val="single" w:color="auto" w:sz="4" w:space="0"/>
              <w:right w:val="nil"/>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未完成原因分析</w:t>
            </w:r>
          </w:p>
        </w:tc>
      </w:tr>
      <w:tr>
        <w:tblPrEx>
          <w:tblCellMar>
            <w:top w:w="0" w:type="dxa"/>
            <w:left w:w="108" w:type="dxa"/>
            <w:bottom w:w="0" w:type="dxa"/>
            <w:right w:w="108" w:type="dxa"/>
          </w:tblCellMar>
        </w:tblPrEx>
        <w:trPr>
          <w:trHeight w:val="623" w:hRule="atLeast"/>
        </w:trPr>
        <w:tc>
          <w:tcPr>
            <w:tcW w:w="1106"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产出指标</w:t>
            </w:r>
          </w:p>
        </w:tc>
        <w:tc>
          <w:tcPr>
            <w:tcW w:w="1104"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数量指标</w:t>
            </w:r>
          </w:p>
        </w:tc>
        <w:tc>
          <w:tcPr>
            <w:tcW w:w="2743"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每年受益人数</w:t>
            </w:r>
          </w:p>
        </w:tc>
        <w:tc>
          <w:tcPr>
            <w:tcW w:w="111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5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500</w:t>
            </w:r>
          </w:p>
        </w:tc>
        <w:tc>
          <w:tcPr>
            <w:tcW w:w="1045"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人</w:t>
            </w:r>
          </w:p>
        </w:tc>
        <w:tc>
          <w:tcPr>
            <w:tcW w:w="911"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512</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60.00</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60</w:t>
            </w:r>
          </w:p>
        </w:tc>
        <w:tc>
          <w:tcPr>
            <w:tcW w:w="1300" w:type="dxa"/>
            <w:tcBorders>
              <w:top w:val="nil"/>
              <w:left w:val="nil"/>
              <w:bottom w:val="single" w:color="auto" w:sz="4" w:space="0"/>
              <w:right w:val="single" w:color="auto" w:sz="4" w:space="0"/>
            </w:tcBorders>
            <w:shd w:val="clear" w:color="000000" w:fill="FFFFFF"/>
            <w:noWrap/>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1106"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效益指标</w:t>
            </w:r>
          </w:p>
        </w:tc>
        <w:tc>
          <w:tcPr>
            <w:tcW w:w="1104"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可持续发展指标</w:t>
            </w:r>
          </w:p>
        </w:tc>
        <w:tc>
          <w:tcPr>
            <w:tcW w:w="2743"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党建思政发挥作用</w:t>
            </w:r>
          </w:p>
        </w:tc>
        <w:tc>
          <w:tcPr>
            <w:tcW w:w="1117"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定性</w:t>
            </w:r>
          </w:p>
        </w:tc>
        <w:tc>
          <w:tcPr>
            <w:tcW w:w="95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好坏</w:t>
            </w:r>
          </w:p>
        </w:tc>
        <w:tc>
          <w:tcPr>
            <w:tcW w:w="1045"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个</w:t>
            </w:r>
          </w:p>
        </w:tc>
        <w:tc>
          <w:tcPr>
            <w:tcW w:w="911"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好</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30.00</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30</w:t>
            </w:r>
          </w:p>
        </w:tc>
        <w:tc>
          <w:tcPr>
            <w:tcW w:w="1300" w:type="dxa"/>
            <w:tcBorders>
              <w:top w:val="nil"/>
              <w:left w:val="nil"/>
              <w:bottom w:val="single" w:color="auto" w:sz="4" w:space="0"/>
              <w:right w:val="single" w:color="auto" w:sz="4" w:space="0"/>
            </w:tcBorders>
            <w:shd w:val="clear" w:color="000000" w:fill="FFFFFF"/>
            <w:noWrap/>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9962" w:type="dxa"/>
            <w:gridSpan w:val="9"/>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合计</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99.07</w:t>
            </w:r>
          </w:p>
        </w:tc>
        <w:tc>
          <w:tcPr>
            <w:tcW w:w="1300" w:type="dxa"/>
            <w:tcBorders>
              <w:top w:val="nil"/>
              <w:left w:val="nil"/>
              <w:bottom w:val="single" w:color="auto" w:sz="4" w:space="0"/>
              <w:right w:val="single" w:color="auto" w:sz="4" w:space="0"/>
            </w:tcBorders>
            <w:shd w:val="clear" w:color="000000" w:fill="FFFFFF"/>
            <w:noWrap/>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bl>
    <w:p>
      <w:pPr>
        <w:spacing w:line="620" w:lineRule="exact"/>
        <w:ind w:firstLine="640" w:firstLineChars="200"/>
        <w:outlineLvl w:val="0"/>
        <w:rPr>
          <w:rFonts w:hint="eastAsia" w:ascii="仿宋" w:hAnsi="仿宋" w:eastAsia="仿宋"/>
          <w:color w:val="000000"/>
          <w:szCs w:val="32"/>
        </w:rPr>
      </w:pPr>
      <w:r>
        <w:rPr>
          <w:rFonts w:hint="eastAsia" w:ascii="仿宋" w:hAnsi="仿宋" w:eastAsia="仿宋"/>
          <w:color w:val="000000"/>
          <w:szCs w:val="32"/>
        </w:rPr>
        <w:t xml:space="preserve"> 教育系统党建思政质量提升工程项目绩效自评报告：根据年初设定的绩效目标，项目绩效自评得分为99.07分。全年预算数为712.8万元，执行数为646.57万元，完成预算的90.71%。项目绩效目标完成情况: 通过实施发放思政工作奖补资金，加强马克思主义学院（思政教学部）的建设，实施“三全育人”综合改革试点院（系）建设项目，实施高校原创文化精品推广行动计划，全面创建全省党建工作示范高校，创建全省党建工作样板支部，创建“双带头人”教师党支部书记工作室等项目，全面提升民办高校党建和思政工作水平。发现的主要问题及原因：一是部分民办需要加大布局调整力度；二是部分单位的预算执行进度有待提高；三是经费使用监督体系有待完善。下一步改进措施：一是完善项目储备，提高预算编制的科学性，加快预算执行。根据实际，建立和完善项目库，实行项目滚动管理，打好预算编制基础，及时做好前期工作，资金到位即可启动项目实施；二是通过建设基础数据信息库，健全财务管理体系，加强内部控制，建立完善目标管理和项目管理相结合、资金分配和绩效评价相挂钩的管理机制，建立资金运行全过程动态监控体系，实现信息化、智能化管理，确保资金安全、高效运行；三是建立项目定期通报制度。对于执行较慢的项目及时进行调整。</w:t>
      </w:r>
    </w:p>
    <w:p>
      <w:pPr>
        <w:pStyle w:val="12"/>
        <w:spacing w:before="0" w:beforeAutospacing="0" w:after="0" w:afterAutospacing="0" w:line="525" w:lineRule="atLeast"/>
        <w:ind w:left="-9" w:leftChars="-4" w:hanging="3" w:hangingChars="1"/>
        <w:rPr>
          <w:rFonts w:hint="eastAsia" w:ascii="仿宋" w:hAnsi="仿宋" w:eastAsia="仿宋"/>
          <w:color w:val="000000"/>
          <w:szCs w:val="32"/>
        </w:rPr>
      </w:pPr>
      <w:r>
        <w:rPr>
          <w:rFonts w:hint="eastAsia" w:ascii="仿宋" w:hAnsi="仿宋" w:eastAsia="仿宋"/>
          <w:color w:val="000000"/>
          <w:szCs w:val="32"/>
        </w:rPr>
        <w:t xml:space="preserve">   海南陵水黎安国际教育创新试验区北京体育大学专享区（一期）项目绩效自评表：</w:t>
      </w:r>
    </w:p>
    <w:tbl>
      <w:tblPr>
        <w:tblStyle w:val="13"/>
        <w:tblW w:w="13140" w:type="dxa"/>
        <w:tblInd w:w="92" w:type="dxa"/>
        <w:tblLayout w:type="autofit"/>
        <w:tblCellMar>
          <w:top w:w="0" w:type="dxa"/>
          <w:left w:w="108" w:type="dxa"/>
          <w:bottom w:w="0" w:type="dxa"/>
          <w:right w:w="108" w:type="dxa"/>
        </w:tblCellMar>
      </w:tblPr>
      <w:tblGrid>
        <w:gridCol w:w="1103"/>
        <w:gridCol w:w="1101"/>
        <w:gridCol w:w="1838"/>
        <w:gridCol w:w="1033"/>
        <w:gridCol w:w="1116"/>
        <w:gridCol w:w="951"/>
        <w:gridCol w:w="1042"/>
        <w:gridCol w:w="912"/>
        <w:gridCol w:w="986"/>
        <w:gridCol w:w="880"/>
        <w:gridCol w:w="878"/>
        <w:gridCol w:w="1300"/>
      </w:tblGrid>
      <w:tr>
        <w:tblPrEx>
          <w:tblCellMar>
            <w:top w:w="0" w:type="dxa"/>
            <w:left w:w="108" w:type="dxa"/>
            <w:bottom w:w="0" w:type="dxa"/>
            <w:right w:w="108" w:type="dxa"/>
          </w:tblCellMar>
        </w:tblPrEx>
        <w:trPr>
          <w:trHeight w:val="510" w:hRule="atLeast"/>
        </w:trPr>
        <w:tc>
          <w:tcPr>
            <w:tcW w:w="13140" w:type="dxa"/>
            <w:gridSpan w:val="1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40"/>
                <w:szCs w:val="40"/>
              </w:rPr>
            </w:pPr>
            <w:r>
              <w:rPr>
                <w:rFonts w:hint="eastAsia" w:ascii="等线" w:eastAsia="等线" w:cs="宋体"/>
                <w:b/>
                <w:bCs/>
                <w:color w:val="000000"/>
                <w:sz w:val="40"/>
                <w:szCs w:val="40"/>
              </w:rPr>
              <w:t xml:space="preserve">项目支出绩效自评表 </w:t>
            </w:r>
          </w:p>
        </w:tc>
      </w:tr>
      <w:tr>
        <w:tblPrEx>
          <w:tblCellMar>
            <w:top w:w="0" w:type="dxa"/>
            <w:left w:w="108" w:type="dxa"/>
            <w:bottom w:w="0" w:type="dxa"/>
            <w:right w:w="108" w:type="dxa"/>
          </w:tblCellMar>
        </w:tblPrEx>
        <w:trPr>
          <w:trHeight w:val="645" w:hRule="atLeast"/>
        </w:trPr>
        <w:tc>
          <w:tcPr>
            <w:tcW w:w="1103"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项目名称:</w:t>
            </w:r>
          </w:p>
        </w:tc>
        <w:tc>
          <w:tcPr>
            <w:tcW w:w="12037" w:type="dxa"/>
            <w:gridSpan w:val="11"/>
            <w:tcBorders>
              <w:top w:val="single" w:color="auto" w:sz="4" w:space="0"/>
              <w:left w:val="nil"/>
              <w:bottom w:val="single" w:color="auto" w:sz="4" w:space="0"/>
              <w:right w:val="single" w:color="000000" w:sz="4" w:space="0"/>
            </w:tcBorders>
            <w:shd w:val="clear" w:color="000000" w:fill="FFFFFF"/>
            <w:vAlign w:val="center"/>
          </w:tcPr>
          <w:p>
            <w:pPr>
              <w:spacing w:line="240" w:lineRule="auto"/>
              <w:jc w:val="center"/>
              <w:rPr>
                <w:rFonts w:ascii="等线" w:eastAsia="等线" w:cs="宋体"/>
                <w:color w:val="000000"/>
                <w:sz w:val="22"/>
                <w:szCs w:val="22"/>
              </w:rPr>
            </w:pPr>
            <w:r>
              <w:rPr>
                <w:rFonts w:hint="eastAsia" w:ascii="等线" w:eastAsia="等线" w:cs="宋体"/>
                <w:color w:val="000000"/>
                <w:sz w:val="22"/>
                <w:szCs w:val="22"/>
              </w:rPr>
              <w:t>海南陵水黎安国际教育创新试验区北京体育大学专享区（一期）项目</w:t>
            </w:r>
          </w:p>
        </w:tc>
      </w:tr>
      <w:tr>
        <w:tblPrEx>
          <w:tblCellMar>
            <w:top w:w="0" w:type="dxa"/>
            <w:left w:w="108" w:type="dxa"/>
            <w:bottom w:w="0" w:type="dxa"/>
            <w:right w:w="108" w:type="dxa"/>
          </w:tblCellMar>
        </w:tblPrEx>
        <w:trPr>
          <w:trHeight w:val="398" w:hRule="atLeast"/>
        </w:trPr>
        <w:tc>
          <w:tcPr>
            <w:tcW w:w="1103"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主管部门:</w:t>
            </w:r>
          </w:p>
        </w:tc>
        <w:tc>
          <w:tcPr>
            <w:tcW w:w="3972" w:type="dxa"/>
            <w:gridSpan w:val="3"/>
            <w:tcBorders>
              <w:top w:val="single" w:color="auto" w:sz="4" w:space="0"/>
              <w:left w:val="nil"/>
              <w:bottom w:val="single" w:color="auto" w:sz="4" w:space="0"/>
              <w:right w:val="single" w:color="000000"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203-省教育厅</w:t>
            </w:r>
          </w:p>
        </w:tc>
        <w:tc>
          <w:tcPr>
            <w:tcW w:w="1116"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实施单位:</w:t>
            </w:r>
          </w:p>
        </w:tc>
        <w:tc>
          <w:tcPr>
            <w:tcW w:w="6949" w:type="dxa"/>
            <w:gridSpan w:val="7"/>
            <w:tcBorders>
              <w:top w:val="single" w:color="auto" w:sz="4" w:space="0"/>
              <w:left w:val="nil"/>
              <w:bottom w:val="single" w:color="auto" w:sz="4" w:space="0"/>
              <w:right w:val="single" w:color="000000"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203001-省教育厅本级</w:t>
            </w:r>
          </w:p>
        </w:tc>
      </w:tr>
      <w:tr>
        <w:tblPrEx>
          <w:tblCellMar>
            <w:top w:w="0" w:type="dxa"/>
            <w:left w:w="108" w:type="dxa"/>
            <w:bottom w:w="0" w:type="dxa"/>
            <w:right w:w="108" w:type="dxa"/>
          </w:tblCellMar>
        </w:tblPrEx>
        <w:trPr>
          <w:trHeight w:val="315" w:hRule="atLeast"/>
        </w:trPr>
        <w:tc>
          <w:tcPr>
            <w:tcW w:w="2204"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资金构成(元)</w:t>
            </w:r>
          </w:p>
        </w:tc>
        <w:tc>
          <w:tcPr>
            <w:tcW w:w="1838" w:type="dxa"/>
            <w:tcBorders>
              <w:top w:val="nil"/>
              <w:left w:val="nil"/>
              <w:bottom w:val="single" w:color="auto" w:sz="4" w:space="0"/>
              <w:right w:val="nil"/>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年初预算数</w:t>
            </w:r>
          </w:p>
        </w:tc>
        <w:tc>
          <w:tcPr>
            <w:tcW w:w="2149"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全年预算数</w:t>
            </w:r>
          </w:p>
        </w:tc>
        <w:tc>
          <w:tcPr>
            <w:tcW w:w="3891"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执行数</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分值</w:t>
            </w:r>
          </w:p>
        </w:tc>
        <w:tc>
          <w:tcPr>
            <w:tcW w:w="878" w:type="dxa"/>
            <w:tcBorders>
              <w:top w:val="nil"/>
              <w:left w:val="nil"/>
              <w:bottom w:val="single" w:color="auto" w:sz="4" w:space="0"/>
              <w:right w:val="nil"/>
            </w:tcBorders>
            <w:shd w:val="clear" w:color="000000" w:fill="FFFFFF"/>
            <w:vAlign w:val="center"/>
          </w:tcPr>
          <w:p>
            <w:pPr>
              <w:spacing w:line="240" w:lineRule="auto"/>
              <w:rPr>
                <w:rFonts w:ascii="等线" w:eastAsia="等线" w:cs="宋体"/>
                <w:b/>
                <w:bCs/>
                <w:color w:val="000000"/>
                <w:sz w:val="24"/>
              </w:rPr>
            </w:pPr>
            <w:r>
              <w:rPr>
                <w:rFonts w:hint="eastAsia" w:ascii="等线" w:eastAsia="等线" w:cs="宋体"/>
                <w:b/>
                <w:bCs/>
                <w:color w:val="000000"/>
                <w:sz w:val="24"/>
              </w:rPr>
              <w:t>执行率（%）</w:t>
            </w:r>
          </w:p>
        </w:tc>
        <w:tc>
          <w:tcPr>
            <w:tcW w:w="1300" w:type="dxa"/>
            <w:tcBorders>
              <w:top w:val="nil"/>
              <w:left w:val="single" w:color="auto" w:sz="4" w:space="0"/>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得分</w:t>
            </w:r>
          </w:p>
        </w:tc>
      </w:tr>
      <w:tr>
        <w:tblPrEx>
          <w:tblCellMar>
            <w:top w:w="0" w:type="dxa"/>
            <w:left w:w="108" w:type="dxa"/>
            <w:bottom w:w="0" w:type="dxa"/>
            <w:right w:w="108" w:type="dxa"/>
          </w:tblCellMar>
        </w:tblPrEx>
        <w:trPr>
          <w:trHeight w:val="285" w:hRule="atLeast"/>
        </w:trPr>
        <w:tc>
          <w:tcPr>
            <w:tcW w:w="220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资金总额：</w:t>
            </w:r>
          </w:p>
        </w:tc>
        <w:tc>
          <w:tcPr>
            <w:tcW w:w="183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121,000,000.00</w:t>
            </w:r>
          </w:p>
        </w:tc>
        <w:tc>
          <w:tcPr>
            <w:tcW w:w="2149"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113,000,000.00</w:t>
            </w:r>
          </w:p>
        </w:tc>
        <w:tc>
          <w:tcPr>
            <w:tcW w:w="3891"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113,000,000.00</w:t>
            </w:r>
          </w:p>
        </w:tc>
        <w:tc>
          <w:tcPr>
            <w:tcW w:w="880" w:type="dxa"/>
            <w:tcBorders>
              <w:top w:val="nil"/>
              <w:left w:val="nil"/>
              <w:bottom w:val="single" w:color="auto" w:sz="4" w:space="0"/>
              <w:right w:val="single" w:color="auto" w:sz="4" w:space="0"/>
            </w:tcBorders>
            <w:shd w:val="clear" w:color="000000" w:fill="FFFFFF"/>
            <w:noWrap/>
            <w:vAlign w:val="center"/>
          </w:tcPr>
          <w:p>
            <w:pPr>
              <w:spacing w:line="240" w:lineRule="auto"/>
              <w:jc w:val="center"/>
              <w:rPr>
                <w:rFonts w:ascii="等线" w:eastAsia="等线" w:cs="宋体"/>
                <w:color w:val="000000"/>
                <w:sz w:val="22"/>
                <w:szCs w:val="22"/>
              </w:rPr>
            </w:pPr>
            <w:r>
              <w:rPr>
                <w:rFonts w:hint="eastAsia" w:ascii="等线" w:eastAsia="等线" w:cs="宋体"/>
                <w:color w:val="000000"/>
                <w:sz w:val="22"/>
                <w:szCs w:val="22"/>
              </w:rPr>
              <w:t xml:space="preserve">10.00 </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w:t>
            </w:r>
          </w:p>
        </w:tc>
        <w:tc>
          <w:tcPr>
            <w:tcW w:w="1300" w:type="dxa"/>
            <w:tcBorders>
              <w:top w:val="nil"/>
              <w:left w:val="nil"/>
              <w:bottom w:val="single" w:color="auto" w:sz="4" w:space="0"/>
              <w:right w:val="single" w:color="auto" w:sz="4" w:space="0"/>
            </w:tcBorders>
            <w:shd w:val="clear" w:color="000000" w:fill="FFFFFF"/>
            <w:noWrap/>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w:t>
            </w:r>
          </w:p>
        </w:tc>
      </w:tr>
      <w:tr>
        <w:tblPrEx>
          <w:tblCellMar>
            <w:top w:w="0" w:type="dxa"/>
            <w:left w:w="108" w:type="dxa"/>
            <w:bottom w:w="0" w:type="dxa"/>
            <w:right w:w="108" w:type="dxa"/>
          </w:tblCellMar>
        </w:tblPrEx>
        <w:trPr>
          <w:trHeight w:val="285" w:hRule="atLeast"/>
        </w:trPr>
        <w:tc>
          <w:tcPr>
            <w:tcW w:w="220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其中：财政资金：</w:t>
            </w:r>
          </w:p>
        </w:tc>
        <w:tc>
          <w:tcPr>
            <w:tcW w:w="183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121,000,000.00</w:t>
            </w:r>
          </w:p>
        </w:tc>
        <w:tc>
          <w:tcPr>
            <w:tcW w:w="2149"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113,000,000.00</w:t>
            </w:r>
          </w:p>
        </w:tc>
        <w:tc>
          <w:tcPr>
            <w:tcW w:w="3891"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113,000,000.00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w:t>
            </w:r>
          </w:p>
        </w:tc>
        <w:tc>
          <w:tcPr>
            <w:tcW w:w="130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285" w:hRule="atLeast"/>
        </w:trPr>
        <w:tc>
          <w:tcPr>
            <w:tcW w:w="220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单位资金：</w:t>
            </w:r>
          </w:p>
        </w:tc>
        <w:tc>
          <w:tcPr>
            <w:tcW w:w="183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2149"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3891" w:type="dxa"/>
            <w:gridSpan w:val="4"/>
            <w:tcBorders>
              <w:top w:val="nil"/>
              <w:left w:val="nil"/>
              <w:bottom w:val="nil"/>
              <w:right w:val="nil"/>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880" w:type="dxa"/>
            <w:tcBorders>
              <w:top w:val="nil"/>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w:t>
            </w:r>
          </w:p>
        </w:tc>
        <w:tc>
          <w:tcPr>
            <w:tcW w:w="130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285" w:hRule="atLeast"/>
        </w:trPr>
        <w:tc>
          <w:tcPr>
            <w:tcW w:w="220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财政专户管理资金：</w:t>
            </w:r>
          </w:p>
        </w:tc>
        <w:tc>
          <w:tcPr>
            <w:tcW w:w="183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2149"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3891"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w:t>
            </w:r>
          </w:p>
        </w:tc>
        <w:tc>
          <w:tcPr>
            <w:tcW w:w="130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285" w:hRule="atLeast"/>
        </w:trPr>
        <w:tc>
          <w:tcPr>
            <w:tcW w:w="6191"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年度目标</w:t>
            </w:r>
          </w:p>
        </w:tc>
        <w:tc>
          <w:tcPr>
            <w:tcW w:w="6949" w:type="dxa"/>
            <w:gridSpan w:val="7"/>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年度目标完成情况</w:t>
            </w:r>
          </w:p>
        </w:tc>
      </w:tr>
      <w:tr>
        <w:tblPrEx>
          <w:tblCellMar>
            <w:top w:w="0" w:type="dxa"/>
            <w:left w:w="108" w:type="dxa"/>
            <w:bottom w:w="0" w:type="dxa"/>
            <w:right w:w="108" w:type="dxa"/>
          </w:tblCellMar>
        </w:tblPrEx>
        <w:trPr>
          <w:trHeight w:val="983" w:hRule="atLeast"/>
        </w:trPr>
        <w:tc>
          <w:tcPr>
            <w:tcW w:w="6191" w:type="dxa"/>
            <w:gridSpan w:val="5"/>
            <w:tcBorders>
              <w:top w:val="single" w:color="auto" w:sz="4" w:space="0"/>
              <w:left w:val="single" w:color="auto" w:sz="4" w:space="0"/>
              <w:bottom w:val="single" w:color="auto" w:sz="4" w:space="0"/>
              <w:right w:val="single" w:color="000000" w:sz="4" w:space="0"/>
            </w:tcBorders>
            <w:shd w:val="clear" w:color="000000" w:fill="FFFFFF"/>
          </w:tcPr>
          <w:p>
            <w:pPr>
              <w:spacing w:line="240" w:lineRule="auto"/>
              <w:rPr>
                <w:rFonts w:ascii="等线" w:eastAsia="等线" w:cs="宋体"/>
                <w:color w:val="000000"/>
                <w:sz w:val="22"/>
                <w:szCs w:val="22"/>
              </w:rPr>
            </w:pPr>
            <w:r>
              <w:rPr>
                <w:rFonts w:hint="eastAsia" w:ascii="等线" w:eastAsia="等线" w:cs="宋体"/>
                <w:color w:val="000000"/>
                <w:sz w:val="22"/>
                <w:szCs w:val="22"/>
              </w:rPr>
              <w:t>　1.完成北京体育大学专享区（一期）项目建设主体结构 ；2.单位工程装饰装修完成数量</w:t>
            </w:r>
          </w:p>
        </w:tc>
        <w:tc>
          <w:tcPr>
            <w:tcW w:w="6949" w:type="dxa"/>
            <w:gridSpan w:val="7"/>
            <w:tcBorders>
              <w:top w:val="single" w:color="auto" w:sz="4" w:space="0"/>
              <w:left w:val="nil"/>
              <w:bottom w:val="single" w:color="auto" w:sz="4" w:space="0"/>
              <w:right w:val="single" w:color="000000" w:sz="4" w:space="0"/>
            </w:tcBorders>
            <w:shd w:val="clear" w:color="000000" w:fill="FFFFFF"/>
          </w:tcPr>
          <w:p>
            <w:pPr>
              <w:spacing w:line="240" w:lineRule="auto"/>
              <w:rPr>
                <w:rFonts w:ascii="等线" w:eastAsia="等线" w:cs="宋体"/>
                <w:color w:val="000000"/>
                <w:sz w:val="22"/>
                <w:szCs w:val="22"/>
              </w:rPr>
            </w:pPr>
            <w:r>
              <w:rPr>
                <w:rFonts w:hint="eastAsia" w:ascii="等线" w:eastAsia="等线" w:cs="宋体"/>
                <w:color w:val="000000"/>
                <w:sz w:val="22"/>
                <w:szCs w:val="22"/>
              </w:rPr>
              <w:t>已实现主体结构工程封顶，单位工程装饰装修完成，完善园区办学场所建设，满足办学学生规模1000人以上。</w:t>
            </w:r>
          </w:p>
        </w:tc>
      </w:tr>
      <w:tr>
        <w:tblPrEx>
          <w:tblCellMar>
            <w:top w:w="0" w:type="dxa"/>
            <w:left w:w="108" w:type="dxa"/>
            <w:bottom w:w="0" w:type="dxa"/>
            <w:right w:w="108" w:type="dxa"/>
          </w:tblCellMar>
        </w:tblPrEx>
        <w:trPr>
          <w:trHeight w:val="570" w:hRule="atLeast"/>
        </w:trPr>
        <w:tc>
          <w:tcPr>
            <w:tcW w:w="1103" w:type="dxa"/>
            <w:tcBorders>
              <w:top w:val="nil"/>
              <w:left w:val="single" w:color="auto" w:sz="4" w:space="0"/>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一级指标</w:t>
            </w:r>
          </w:p>
        </w:tc>
        <w:tc>
          <w:tcPr>
            <w:tcW w:w="1101"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二级指标</w:t>
            </w:r>
          </w:p>
        </w:tc>
        <w:tc>
          <w:tcPr>
            <w:tcW w:w="2871"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三级指标</w:t>
            </w:r>
          </w:p>
        </w:tc>
        <w:tc>
          <w:tcPr>
            <w:tcW w:w="1116"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指标性质</w:t>
            </w:r>
          </w:p>
        </w:tc>
        <w:tc>
          <w:tcPr>
            <w:tcW w:w="951"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年度指标值</w:t>
            </w:r>
          </w:p>
        </w:tc>
        <w:tc>
          <w:tcPr>
            <w:tcW w:w="1042"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度量单位</w:t>
            </w:r>
          </w:p>
        </w:tc>
        <w:tc>
          <w:tcPr>
            <w:tcW w:w="912"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实际完成值</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完成率</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分值</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得分</w:t>
            </w:r>
          </w:p>
        </w:tc>
        <w:tc>
          <w:tcPr>
            <w:tcW w:w="1300"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未完成原因分析</w:t>
            </w:r>
          </w:p>
        </w:tc>
      </w:tr>
      <w:tr>
        <w:tblPrEx>
          <w:tblCellMar>
            <w:top w:w="0" w:type="dxa"/>
            <w:left w:w="108" w:type="dxa"/>
            <w:bottom w:w="0" w:type="dxa"/>
            <w:right w:w="108" w:type="dxa"/>
          </w:tblCellMar>
        </w:tblPrEx>
        <w:trPr>
          <w:trHeight w:val="623" w:hRule="atLeast"/>
        </w:trPr>
        <w:tc>
          <w:tcPr>
            <w:tcW w:w="1103"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产出指标</w:t>
            </w:r>
          </w:p>
        </w:tc>
        <w:tc>
          <w:tcPr>
            <w:tcW w:w="1101"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数量指标</w:t>
            </w:r>
          </w:p>
        </w:tc>
        <w:tc>
          <w:tcPr>
            <w:tcW w:w="2871"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单位工程主体结构完成数量单位工程主体结构完成数量</w:t>
            </w:r>
          </w:p>
        </w:tc>
        <w:tc>
          <w:tcPr>
            <w:tcW w:w="1116"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51"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3</w:t>
            </w:r>
          </w:p>
        </w:tc>
        <w:tc>
          <w:tcPr>
            <w:tcW w:w="1042"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座</w:t>
            </w:r>
          </w:p>
        </w:tc>
        <w:tc>
          <w:tcPr>
            <w:tcW w:w="912"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3</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30.00</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30</w:t>
            </w:r>
          </w:p>
        </w:tc>
        <w:tc>
          <w:tcPr>
            <w:tcW w:w="1300" w:type="dxa"/>
            <w:tcBorders>
              <w:top w:val="nil"/>
              <w:left w:val="nil"/>
              <w:bottom w:val="single" w:color="auto" w:sz="4" w:space="0"/>
              <w:right w:val="single" w:color="auto" w:sz="4" w:space="0"/>
            </w:tcBorders>
            <w:shd w:val="clear" w:color="000000" w:fill="FFFFFF"/>
            <w:noWrap/>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1103"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产出指标</w:t>
            </w:r>
          </w:p>
        </w:tc>
        <w:tc>
          <w:tcPr>
            <w:tcW w:w="1101"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数量指标</w:t>
            </w:r>
          </w:p>
        </w:tc>
        <w:tc>
          <w:tcPr>
            <w:tcW w:w="2871"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单位工程装饰装修完成数量</w:t>
            </w:r>
          </w:p>
        </w:tc>
        <w:tc>
          <w:tcPr>
            <w:tcW w:w="1116"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51"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3</w:t>
            </w:r>
          </w:p>
        </w:tc>
        <w:tc>
          <w:tcPr>
            <w:tcW w:w="1042"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座</w:t>
            </w:r>
          </w:p>
        </w:tc>
        <w:tc>
          <w:tcPr>
            <w:tcW w:w="912"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3</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20.00</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20</w:t>
            </w:r>
          </w:p>
        </w:tc>
        <w:tc>
          <w:tcPr>
            <w:tcW w:w="1300" w:type="dxa"/>
            <w:tcBorders>
              <w:top w:val="nil"/>
              <w:left w:val="nil"/>
              <w:bottom w:val="single" w:color="auto" w:sz="4" w:space="0"/>
              <w:right w:val="single" w:color="auto" w:sz="4" w:space="0"/>
            </w:tcBorders>
            <w:shd w:val="clear" w:color="000000" w:fill="FFFFFF"/>
            <w:noWrap/>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1103"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产出指标</w:t>
            </w:r>
          </w:p>
        </w:tc>
        <w:tc>
          <w:tcPr>
            <w:tcW w:w="1101"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数量指标</w:t>
            </w:r>
          </w:p>
        </w:tc>
        <w:tc>
          <w:tcPr>
            <w:tcW w:w="2871"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年度计划投资完成率</w:t>
            </w:r>
          </w:p>
        </w:tc>
        <w:tc>
          <w:tcPr>
            <w:tcW w:w="1116"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51"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80</w:t>
            </w:r>
          </w:p>
        </w:tc>
        <w:tc>
          <w:tcPr>
            <w:tcW w:w="1042"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12"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104</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w:t>
            </w:r>
          </w:p>
        </w:tc>
        <w:tc>
          <w:tcPr>
            <w:tcW w:w="1300" w:type="dxa"/>
            <w:tcBorders>
              <w:top w:val="nil"/>
              <w:left w:val="nil"/>
              <w:bottom w:val="single" w:color="auto" w:sz="4" w:space="0"/>
              <w:right w:val="single" w:color="auto" w:sz="4" w:space="0"/>
            </w:tcBorders>
            <w:shd w:val="clear" w:color="000000" w:fill="FFFFFF"/>
            <w:noWrap/>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1103"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产出指标</w:t>
            </w:r>
          </w:p>
        </w:tc>
        <w:tc>
          <w:tcPr>
            <w:tcW w:w="1101"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质量指标</w:t>
            </w:r>
          </w:p>
        </w:tc>
        <w:tc>
          <w:tcPr>
            <w:tcW w:w="2871"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无质量事故</w:t>
            </w:r>
          </w:p>
        </w:tc>
        <w:tc>
          <w:tcPr>
            <w:tcW w:w="1116"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51"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w:t>
            </w:r>
          </w:p>
        </w:tc>
        <w:tc>
          <w:tcPr>
            <w:tcW w:w="1042"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次</w:t>
            </w:r>
          </w:p>
        </w:tc>
        <w:tc>
          <w:tcPr>
            <w:tcW w:w="912"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w:t>
            </w:r>
          </w:p>
        </w:tc>
        <w:tc>
          <w:tcPr>
            <w:tcW w:w="1300" w:type="dxa"/>
            <w:tcBorders>
              <w:top w:val="nil"/>
              <w:left w:val="nil"/>
              <w:bottom w:val="single" w:color="auto" w:sz="4" w:space="0"/>
              <w:right w:val="single" w:color="auto" w:sz="4" w:space="0"/>
            </w:tcBorders>
            <w:shd w:val="clear" w:color="000000" w:fill="FFFFFF"/>
            <w:noWrap/>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1103"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产出指标</w:t>
            </w:r>
          </w:p>
        </w:tc>
        <w:tc>
          <w:tcPr>
            <w:tcW w:w="1101"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时效指标</w:t>
            </w:r>
          </w:p>
        </w:tc>
        <w:tc>
          <w:tcPr>
            <w:tcW w:w="2871"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工程进度完成率</w:t>
            </w:r>
          </w:p>
        </w:tc>
        <w:tc>
          <w:tcPr>
            <w:tcW w:w="1116"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51"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80</w:t>
            </w:r>
          </w:p>
        </w:tc>
        <w:tc>
          <w:tcPr>
            <w:tcW w:w="1042"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12"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83</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w:t>
            </w:r>
          </w:p>
        </w:tc>
        <w:tc>
          <w:tcPr>
            <w:tcW w:w="1300" w:type="dxa"/>
            <w:tcBorders>
              <w:top w:val="nil"/>
              <w:left w:val="nil"/>
              <w:bottom w:val="single" w:color="auto" w:sz="4" w:space="0"/>
              <w:right w:val="single" w:color="auto" w:sz="4" w:space="0"/>
            </w:tcBorders>
            <w:shd w:val="clear" w:color="000000" w:fill="FFFFFF"/>
            <w:noWrap/>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1103"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产出指标</w:t>
            </w:r>
          </w:p>
        </w:tc>
        <w:tc>
          <w:tcPr>
            <w:tcW w:w="1101"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成本指标</w:t>
            </w:r>
          </w:p>
        </w:tc>
        <w:tc>
          <w:tcPr>
            <w:tcW w:w="2871"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建设成本超概算比例</w:t>
            </w:r>
          </w:p>
        </w:tc>
        <w:tc>
          <w:tcPr>
            <w:tcW w:w="1116"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51"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w:t>
            </w:r>
          </w:p>
        </w:tc>
        <w:tc>
          <w:tcPr>
            <w:tcW w:w="1042"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12"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5.00</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5</w:t>
            </w:r>
          </w:p>
        </w:tc>
        <w:tc>
          <w:tcPr>
            <w:tcW w:w="1300" w:type="dxa"/>
            <w:tcBorders>
              <w:top w:val="nil"/>
              <w:left w:val="nil"/>
              <w:bottom w:val="single" w:color="auto" w:sz="4" w:space="0"/>
              <w:right w:val="single" w:color="auto" w:sz="4" w:space="0"/>
            </w:tcBorders>
            <w:shd w:val="clear" w:color="000000" w:fill="FFFFFF"/>
            <w:noWrap/>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1103"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效益指标</w:t>
            </w:r>
          </w:p>
        </w:tc>
        <w:tc>
          <w:tcPr>
            <w:tcW w:w="1101"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社会效益指标</w:t>
            </w:r>
          </w:p>
        </w:tc>
        <w:tc>
          <w:tcPr>
            <w:tcW w:w="2871"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完善园区办学场所建设，满足办学学生规模</w:t>
            </w:r>
          </w:p>
        </w:tc>
        <w:tc>
          <w:tcPr>
            <w:tcW w:w="1116"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51"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w:t>
            </w:r>
          </w:p>
        </w:tc>
        <w:tc>
          <w:tcPr>
            <w:tcW w:w="1042"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人</w:t>
            </w:r>
          </w:p>
        </w:tc>
        <w:tc>
          <w:tcPr>
            <w:tcW w:w="912"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5.00</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5</w:t>
            </w:r>
          </w:p>
        </w:tc>
        <w:tc>
          <w:tcPr>
            <w:tcW w:w="1300" w:type="dxa"/>
            <w:tcBorders>
              <w:top w:val="nil"/>
              <w:left w:val="nil"/>
              <w:bottom w:val="single" w:color="auto" w:sz="4" w:space="0"/>
              <w:right w:val="single" w:color="auto" w:sz="4" w:space="0"/>
            </w:tcBorders>
            <w:shd w:val="clear" w:color="000000" w:fill="FFFFFF"/>
            <w:noWrap/>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10082" w:type="dxa"/>
            <w:gridSpan w:val="9"/>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合计</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w:t>
            </w:r>
          </w:p>
        </w:tc>
        <w:tc>
          <w:tcPr>
            <w:tcW w:w="1300" w:type="dxa"/>
            <w:tcBorders>
              <w:top w:val="nil"/>
              <w:left w:val="nil"/>
              <w:bottom w:val="single" w:color="auto" w:sz="4" w:space="0"/>
              <w:right w:val="single" w:color="auto" w:sz="4" w:space="0"/>
            </w:tcBorders>
            <w:shd w:val="clear" w:color="000000" w:fill="FFFFFF"/>
            <w:noWrap/>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bl>
    <w:p>
      <w:pPr>
        <w:spacing w:line="620" w:lineRule="exact"/>
        <w:ind w:firstLine="640" w:firstLineChars="200"/>
        <w:outlineLvl w:val="0"/>
        <w:rPr>
          <w:rFonts w:hint="eastAsia" w:ascii="仿宋" w:hAnsi="仿宋" w:eastAsia="仿宋"/>
          <w:color w:val="000000"/>
          <w:szCs w:val="32"/>
        </w:rPr>
      </w:pPr>
      <w:r>
        <w:rPr>
          <w:rFonts w:hint="eastAsia" w:ascii="仿宋" w:hAnsi="仿宋" w:eastAsia="仿宋"/>
          <w:color w:val="000000"/>
          <w:szCs w:val="32"/>
        </w:rPr>
        <w:t>海南陵水黎安国际教育创新试验区北京体育大学专享区（一期）项目绩效自评报告：根据年初设定的绩效目标，项目绩效自评得分为100分。全年预算数为11300万元，执行数为11300万元，完成预算的100%。项目绩效目标完成情况:</w:t>
      </w:r>
      <w:r>
        <w:rPr>
          <w:rFonts w:hint="eastAsia" w:ascii="等线" w:eastAsia="等线" w:cs="宋体"/>
          <w:color w:val="000000"/>
          <w:sz w:val="22"/>
          <w:szCs w:val="22"/>
        </w:rPr>
        <w:t xml:space="preserve"> </w:t>
      </w:r>
      <w:r>
        <w:rPr>
          <w:rFonts w:hint="eastAsia" w:ascii="仿宋" w:hAnsi="仿宋" w:eastAsia="仿宋"/>
          <w:color w:val="000000"/>
          <w:szCs w:val="32"/>
        </w:rPr>
        <w:t>完成北京体育大学专享区（一期）项目建设已实现主体结构工程封顶，单位工程装饰装修完成，完善园区办学场所建设，满足办学学生规模1000人以上。发现的主要问题及原因：无，下一步改进措施：无。</w:t>
      </w:r>
    </w:p>
    <w:p>
      <w:pPr>
        <w:spacing w:line="620" w:lineRule="exact"/>
        <w:ind w:firstLine="640" w:firstLineChars="200"/>
        <w:outlineLvl w:val="0"/>
        <w:rPr>
          <w:rFonts w:hint="eastAsia" w:ascii="仿宋_GB2312"/>
          <w:color w:val="000000"/>
          <w:szCs w:val="32"/>
        </w:rPr>
      </w:pPr>
    </w:p>
    <w:p>
      <w:pPr>
        <w:spacing w:line="620" w:lineRule="exact"/>
        <w:ind w:firstLine="640" w:firstLineChars="200"/>
        <w:outlineLvl w:val="0"/>
        <w:rPr>
          <w:rFonts w:hint="eastAsia" w:ascii="仿宋_GB2312"/>
          <w:color w:val="000000"/>
          <w:szCs w:val="32"/>
        </w:rPr>
      </w:pPr>
    </w:p>
    <w:p>
      <w:pPr>
        <w:spacing w:line="620" w:lineRule="exact"/>
        <w:ind w:firstLine="640" w:firstLineChars="200"/>
        <w:outlineLvl w:val="0"/>
        <w:rPr>
          <w:rFonts w:hint="eastAsia" w:ascii="仿宋" w:hAnsi="仿宋" w:eastAsia="仿宋"/>
          <w:color w:val="000000"/>
          <w:szCs w:val="32"/>
        </w:rPr>
      </w:pPr>
      <w:r>
        <w:rPr>
          <w:rFonts w:hint="eastAsia" w:ascii="仿宋" w:hAnsi="仿宋" w:eastAsia="仿宋"/>
          <w:color w:val="000000"/>
          <w:szCs w:val="32"/>
        </w:rPr>
        <w:t>现代职业教育质量提升计划项目绩效自评表：</w:t>
      </w:r>
    </w:p>
    <w:tbl>
      <w:tblPr>
        <w:tblStyle w:val="13"/>
        <w:tblW w:w="14320" w:type="dxa"/>
        <w:tblInd w:w="92" w:type="dxa"/>
        <w:tblLayout w:type="autofit"/>
        <w:tblCellMar>
          <w:top w:w="0" w:type="dxa"/>
          <w:left w:w="108" w:type="dxa"/>
          <w:bottom w:w="0" w:type="dxa"/>
          <w:right w:w="108" w:type="dxa"/>
        </w:tblCellMar>
      </w:tblPr>
      <w:tblGrid>
        <w:gridCol w:w="1103"/>
        <w:gridCol w:w="1100"/>
        <w:gridCol w:w="1718"/>
        <w:gridCol w:w="1223"/>
        <w:gridCol w:w="1116"/>
        <w:gridCol w:w="947"/>
        <w:gridCol w:w="1054"/>
        <w:gridCol w:w="915"/>
        <w:gridCol w:w="986"/>
        <w:gridCol w:w="880"/>
        <w:gridCol w:w="878"/>
        <w:gridCol w:w="2400"/>
      </w:tblGrid>
      <w:tr>
        <w:tblPrEx>
          <w:tblCellMar>
            <w:top w:w="0" w:type="dxa"/>
            <w:left w:w="108" w:type="dxa"/>
            <w:bottom w:w="0" w:type="dxa"/>
            <w:right w:w="108" w:type="dxa"/>
          </w:tblCellMar>
        </w:tblPrEx>
        <w:trPr>
          <w:trHeight w:val="510" w:hRule="atLeast"/>
        </w:trPr>
        <w:tc>
          <w:tcPr>
            <w:tcW w:w="14320" w:type="dxa"/>
            <w:gridSpan w:val="1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40"/>
                <w:szCs w:val="40"/>
              </w:rPr>
            </w:pPr>
            <w:r>
              <w:rPr>
                <w:rFonts w:hint="eastAsia" w:ascii="等线" w:eastAsia="等线" w:cs="宋体"/>
                <w:b/>
                <w:bCs/>
                <w:color w:val="000000"/>
                <w:sz w:val="40"/>
                <w:szCs w:val="40"/>
              </w:rPr>
              <w:t xml:space="preserve">项目支出绩效自评表 </w:t>
            </w:r>
          </w:p>
        </w:tc>
      </w:tr>
      <w:tr>
        <w:tblPrEx>
          <w:tblCellMar>
            <w:top w:w="0" w:type="dxa"/>
            <w:left w:w="108" w:type="dxa"/>
            <w:bottom w:w="0" w:type="dxa"/>
            <w:right w:w="108" w:type="dxa"/>
          </w:tblCellMar>
        </w:tblPrEx>
        <w:trPr>
          <w:trHeight w:val="432" w:hRule="atLeast"/>
        </w:trPr>
        <w:tc>
          <w:tcPr>
            <w:tcW w:w="1103"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项目名称:</w:t>
            </w:r>
          </w:p>
        </w:tc>
        <w:tc>
          <w:tcPr>
            <w:tcW w:w="13217" w:type="dxa"/>
            <w:gridSpan w:val="11"/>
            <w:tcBorders>
              <w:top w:val="single" w:color="auto" w:sz="4" w:space="0"/>
              <w:left w:val="nil"/>
              <w:bottom w:val="single" w:color="auto" w:sz="4" w:space="0"/>
              <w:right w:val="single" w:color="000000" w:sz="4" w:space="0"/>
            </w:tcBorders>
            <w:shd w:val="clear" w:color="000000" w:fill="FFFFFF"/>
            <w:vAlign w:val="center"/>
          </w:tcPr>
          <w:p>
            <w:pPr>
              <w:spacing w:line="240" w:lineRule="auto"/>
              <w:jc w:val="center"/>
              <w:rPr>
                <w:rFonts w:ascii="等线" w:eastAsia="等线" w:cs="宋体"/>
                <w:color w:val="000000"/>
                <w:sz w:val="22"/>
                <w:szCs w:val="22"/>
              </w:rPr>
            </w:pPr>
            <w:r>
              <w:rPr>
                <w:rFonts w:hint="eastAsia" w:ascii="等线" w:eastAsia="等线" w:cs="宋体"/>
                <w:color w:val="000000"/>
                <w:sz w:val="22"/>
                <w:szCs w:val="22"/>
              </w:rPr>
              <w:t>现代职业教育质量提升计划项目</w:t>
            </w:r>
          </w:p>
        </w:tc>
      </w:tr>
      <w:tr>
        <w:tblPrEx>
          <w:tblCellMar>
            <w:top w:w="0" w:type="dxa"/>
            <w:left w:w="108" w:type="dxa"/>
            <w:bottom w:w="0" w:type="dxa"/>
            <w:right w:w="108" w:type="dxa"/>
          </w:tblCellMar>
        </w:tblPrEx>
        <w:trPr>
          <w:trHeight w:val="398" w:hRule="atLeast"/>
        </w:trPr>
        <w:tc>
          <w:tcPr>
            <w:tcW w:w="1103"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主管部门:</w:t>
            </w:r>
          </w:p>
        </w:tc>
        <w:tc>
          <w:tcPr>
            <w:tcW w:w="4041" w:type="dxa"/>
            <w:gridSpan w:val="3"/>
            <w:tcBorders>
              <w:top w:val="single" w:color="auto" w:sz="4" w:space="0"/>
              <w:left w:val="nil"/>
              <w:bottom w:val="single" w:color="auto" w:sz="4" w:space="0"/>
              <w:right w:val="single" w:color="000000"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203-省教育厅</w:t>
            </w:r>
          </w:p>
        </w:tc>
        <w:tc>
          <w:tcPr>
            <w:tcW w:w="1116"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实施单位:</w:t>
            </w:r>
          </w:p>
        </w:tc>
        <w:tc>
          <w:tcPr>
            <w:tcW w:w="8060" w:type="dxa"/>
            <w:gridSpan w:val="7"/>
            <w:tcBorders>
              <w:top w:val="single" w:color="auto" w:sz="4" w:space="0"/>
              <w:left w:val="nil"/>
              <w:bottom w:val="single" w:color="auto" w:sz="4" w:space="0"/>
              <w:right w:val="single" w:color="000000"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203015-海南软件职业技术学院</w:t>
            </w:r>
          </w:p>
        </w:tc>
      </w:tr>
      <w:tr>
        <w:tblPrEx>
          <w:tblCellMar>
            <w:top w:w="0" w:type="dxa"/>
            <w:left w:w="108" w:type="dxa"/>
            <w:bottom w:w="0" w:type="dxa"/>
            <w:right w:w="108" w:type="dxa"/>
          </w:tblCellMar>
        </w:tblPrEx>
        <w:trPr>
          <w:trHeight w:val="315" w:hRule="atLeast"/>
        </w:trPr>
        <w:tc>
          <w:tcPr>
            <w:tcW w:w="2203"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资金构成(元)</w:t>
            </w:r>
          </w:p>
        </w:tc>
        <w:tc>
          <w:tcPr>
            <w:tcW w:w="1718" w:type="dxa"/>
            <w:tcBorders>
              <w:top w:val="nil"/>
              <w:left w:val="nil"/>
              <w:bottom w:val="single" w:color="auto" w:sz="4" w:space="0"/>
              <w:right w:val="nil"/>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年初预算数</w:t>
            </w:r>
          </w:p>
        </w:tc>
        <w:tc>
          <w:tcPr>
            <w:tcW w:w="2339"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全年预算数</w:t>
            </w:r>
          </w:p>
        </w:tc>
        <w:tc>
          <w:tcPr>
            <w:tcW w:w="3902"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执行数</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分值</w:t>
            </w:r>
          </w:p>
        </w:tc>
        <w:tc>
          <w:tcPr>
            <w:tcW w:w="878" w:type="dxa"/>
            <w:tcBorders>
              <w:top w:val="nil"/>
              <w:left w:val="nil"/>
              <w:bottom w:val="single" w:color="auto" w:sz="4" w:space="0"/>
              <w:right w:val="nil"/>
            </w:tcBorders>
            <w:shd w:val="clear" w:color="000000" w:fill="FFFFFF"/>
            <w:vAlign w:val="center"/>
          </w:tcPr>
          <w:p>
            <w:pPr>
              <w:spacing w:line="240" w:lineRule="auto"/>
              <w:rPr>
                <w:rFonts w:ascii="等线" w:eastAsia="等线" w:cs="宋体"/>
                <w:b/>
                <w:bCs/>
                <w:color w:val="000000"/>
                <w:sz w:val="24"/>
              </w:rPr>
            </w:pPr>
            <w:r>
              <w:rPr>
                <w:rFonts w:hint="eastAsia" w:ascii="等线" w:eastAsia="等线" w:cs="宋体"/>
                <w:b/>
                <w:bCs/>
                <w:color w:val="000000"/>
                <w:sz w:val="24"/>
              </w:rPr>
              <w:t>执行率（%）</w:t>
            </w:r>
          </w:p>
        </w:tc>
        <w:tc>
          <w:tcPr>
            <w:tcW w:w="2400" w:type="dxa"/>
            <w:tcBorders>
              <w:top w:val="nil"/>
              <w:left w:val="single" w:color="auto" w:sz="4" w:space="0"/>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得分</w:t>
            </w:r>
          </w:p>
        </w:tc>
      </w:tr>
      <w:tr>
        <w:tblPrEx>
          <w:tblCellMar>
            <w:top w:w="0" w:type="dxa"/>
            <w:left w:w="108" w:type="dxa"/>
            <w:bottom w:w="0" w:type="dxa"/>
            <w:right w:w="108" w:type="dxa"/>
          </w:tblCellMar>
        </w:tblPrEx>
        <w:trPr>
          <w:trHeight w:val="285" w:hRule="atLeast"/>
        </w:trPr>
        <w:tc>
          <w:tcPr>
            <w:tcW w:w="220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资金总额：</w:t>
            </w:r>
          </w:p>
        </w:tc>
        <w:tc>
          <w:tcPr>
            <w:tcW w:w="171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34,340,000.00</w:t>
            </w:r>
          </w:p>
        </w:tc>
        <w:tc>
          <w:tcPr>
            <w:tcW w:w="2339"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47,530,000.00</w:t>
            </w:r>
          </w:p>
        </w:tc>
        <w:tc>
          <w:tcPr>
            <w:tcW w:w="3902"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41,024,106.91</w:t>
            </w:r>
          </w:p>
        </w:tc>
        <w:tc>
          <w:tcPr>
            <w:tcW w:w="880" w:type="dxa"/>
            <w:tcBorders>
              <w:top w:val="nil"/>
              <w:left w:val="nil"/>
              <w:bottom w:val="single" w:color="auto" w:sz="4" w:space="0"/>
              <w:right w:val="single" w:color="auto" w:sz="4" w:space="0"/>
            </w:tcBorders>
            <w:shd w:val="clear" w:color="000000" w:fill="FFFFFF"/>
            <w:noWrap/>
            <w:vAlign w:val="center"/>
          </w:tcPr>
          <w:p>
            <w:pPr>
              <w:spacing w:line="240" w:lineRule="auto"/>
              <w:jc w:val="center"/>
              <w:rPr>
                <w:rFonts w:ascii="等线" w:eastAsia="等线" w:cs="宋体"/>
                <w:color w:val="000000"/>
                <w:sz w:val="22"/>
                <w:szCs w:val="22"/>
              </w:rPr>
            </w:pPr>
            <w:r>
              <w:rPr>
                <w:rFonts w:hint="eastAsia" w:ascii="等线" w:eastAsia="等线" w:cs="宋体"/>
                <w:color w:val="000000"/>
                <w:sz w:val="22"/>
                <w:szCs w:val="22"/>
              </w:rPr>
              <w:t xml:space="preserve">10.00 </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86.31</w:t>
            </w:r>
          </w:p>
        </w:tc>
        <w:tc>
          <w:tcPr>
            <w:tcW w:w="2400" w:type="dxa"/>
            <w:tcBorders>
              <w:top w:val="nil"/>
              <w:left w:val="nil"/>
              <w:bottom w:val="single" w:color="auto" w:sz="4" w:space="0"/>
              <w:right w:val="single" w:color="auto" w:sz="4" w:space="0"/>
            </w:tcBorders>
            <w:shd w:val="clear" w:color="000000" w:fill="FFFFFF"/>
            <w:noWrap/>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8.63</w:t>
            </w:r>
          </w:p>
        </w:tc>
      </w:tr>
      <w:tr>
        <w:tblPrEx>
          <w:tblCellMar>
            <w:top w:w="0" w:type="dxa"/>
            <w:left w:w="108" w:type="dxa"/>
            <w:bottom w:w="0" w:type="dxa"/>
            <w:right w:w="108" w:type="dxa"/>
          </w:tblCellMar>
        </w:tblPrEx>
        <w:trPr>
          <w:trHeight w:val="285" w:hRule="atLeast"/>
        </w:trPr>
        <w:tc>
          <w:tcPr>
            <w:tcW w:w="220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其中：财政资金：</w:t>
            </w:r>
          </w:p>
        </w:tc>
        <w:tc>
          <w:tcPr>
            <w:tcW w:w="171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34,340,000.00</w:t>
            </w:r>
          </w:p>
        </w:tc>
        <w:tc>
          <w:tcPr>
            <w:tcW w:w="2339"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47,530,000.00</w:t>
            </w:r>
          </w:p>
        </w:tc>
        <w:tc>
          <w:tcPr>
            <w:tcW w:w="3902"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41,024,106.91</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86.31</w:t>
            </w:r>
          </w:p>
        </w:tc>
        <w:tc>
          <w:tcPr>
            <w:tcW w:w="240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285" w:hRule="atLeast"/>
        </w:trPr>
        <w:tc>
          <w:tcPr>
            <w:tcW w:w="220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单位资金：</w:t>
            </w:r>
          </w:p>
        </w:tc>
        <w:tc>
          <w:tcPr>
            <w:tcW w:w="171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2339"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3902" w:type="dxa"/>
            <w:gridSpan w:val="4"/>
            <w:tcBorders>
              <w:top w:val="nil"/>
              <w:left w:val="nil"/>
              <w:bottom w:val="nil"/>
              <w:right w:val="nil"/>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880" w:type="dxa"/>
            <w:tcBorders>
              <w:top w:val="nil"/>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w:t>
            </w:r>
          </w:p>
        </w:tc>
        <w:tc>
          <w:tcPr>
            <w:tcW w:w="240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285" w:hRule="atLeast"/>
        </w:trPr>
        <w:tc>
          <w:tcPr>
            <w:tcW w:w="220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财政专户管理资金：</w:t>
            </w:r>
          </w:p>
        </w:tc>
        <w:tc>
          <w:tcPr>
            <w:tcW w:w="171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2339"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3902"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0</w:t>
            </w:r>
          </w:p>
        </w:tc>
        <w:tc>
          <w:tcPr>
            <w:tcW w:w="240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285" w:hRule="atLeast"/>
        </w:trPr>
        <w:tc>
          <w:tcPr>
            <w:tcW w:w="6260"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年度目标</w:t>
            </w:r>
          </w:p>
        </w:tc>
        <w:tc>
          <w:tcPr>
            <w:tcW w:w="8060" w:type="dxa"/>
            <w:gridSpan w:val="7"/>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年度目标完成情况</w:t>
            </w:r>
          </w:p>
        </w:tc>
      </w:tr>
      <w:tr>
        <w:tblPrEx>
          <w:tblCellMar>
            <w:top w:w="0" w:type="dxa"/>
            <w:left w:w="108" w:type="dxa"/>
            <w:bottom w:w="0" w:type="dxa"/>
            <w:right w:w="108" w:type="dxa"/>
          </w:tblCellMar>
        </w:tblPrEx>
        <w:trPr>
          <w:trHeight w:val="6600" w:hRule="atLeast"/>
        </w:trPr>
        <w:tc>
          <w:tcPr>
            <w:tcW w:w="6260" w:type="dxa"/>
            <w:gridSpan w:val="5"/>
            <w:tcBorders>
              <w:top w:val="single" w:color="auto" w:sz="4" w:space="0"/>
              <w:left w:val="single" w:color="auto" w:sz="4" w:space="0"/>
              <w:bottom w:val="single" w:color="auto" w:sz="4" w:space="0"/>
              <w:right w:val="single" w:color="000000" w:sz="4" w:space="0"/>
            </w:tcBorders>
            <w:shd w:val="clear" w:color="000000" w:fill="FFFFFF"/>
          </w:tcPr>
          <w:p>
            <w:pPr>
              <w:spacing w:line="240" w:lineRule="auto"/>
              <w:rPr>
                <w:rFonts w:ascii="等线" w:eastAsia="等线" w:cs="宋体"/>
                <w:color w:val="000000"/>
                <w:sz w:val="22"/>
                <w:szCs w:val="22"/>
              </w:rPr>
            </w:pPr>
            <w:r>
              <w:rPr>
                <w:rFonts w:hint="eastAsia" w:ascii="等线" w:eastAsia="等线" w:cs="宋体"/>
                <w:color w:val="000000"/>
                <w:sz w:val="22"/>
                <w:szCs w:val="22"/>
              </w:rPr>
              <w:t xml:space="preserve">目标1：高职生均拨款水平不低于12000元； </w:t>
            </w:r>
            <w:r>
              <w:rPr>
                <w:rFonts w:hint="eastAsia" w:ascii="等线" w:eastAsia="等线" w:cs="宋体"/>
                <w:color w:val="000000"/>
                <w:sz w:val="22"/>
                <w:szCs w:val="22"/>
              </w:rPr>
              <w:br w:type="textWrapping"/>
            </w:r>
            <w:r>
              <w:rPr>
                <w:rFonts w:hint="eastAsia" w:ascii="等线" w:eastAsia="等线" w:cs="宋体"/>
                <w:color w:val="000000"/>
                <w:sz w:val="22"/>
                <w:szCs w:val="22"/>
              </w:rPr>
              <w:t xml:space="preserve">目标2：中国特色高水平高职学校和专业建设全面启动实施 </w:t>
            </w:r>
            <w:r>
              <w:rPr>
                <w:rFonts w:hint="eastAsia" w:ascii="等线" w:eastAsia="等线" w:cs="宋体"/>
                <w:color w:val="000000"/>
                <w:sz w:val="22"/>
                <w:szCs w:val="22"/>
              </w:rPr>
              <w:br w:type="textWrapping"/>
            </w:r>
            <w:r>
              <w:rPr>
                <w:rFonts w:hint="eastAsia" w:ascii="等线" w:eastAsia="等线" w:cs="宋体"/>
                <w:color w:val="000000"/>
                <w:sz w:val="22"/>
                <w:szCs w:val="22"/>
              </w:rPr>
              <w:t xml:space="preserve">目标3：1+X证书制度试点范围逐步扩大 </w:t>
            </w:r>
            <w:r>
              <w:rPr>
                <w:rFonts w:hint="eastAsia" w:ascii="等线" w:eastAsia="等线" w:cs="宋体"/>
                <w:color w:val="000000"/>
                <w:sz w:val="22"/>
                <w:szCs w:val="22"/>
              </w:rPr>
              <w:br w:type="textWrapping"/>
            </w:r>
            <w:r>
              <w:rPr>
                <w:rFonts w:hint="eastAsia" w:ascii="等线" w:eastAsia="等线" w:cs="宋体"/>
                <w:color w:val="000000"/>
                <w:sz w:val="22"/>
                <w:szCs w:val="22"/>
              </w:rPr>
              <w:t xml:space="preserve">目标4：改善教学办学设施，配置设备 </w:t>
            </w:r>
            <w:r>
              <w:rPr>
                <w:rFonts w:hint="eastAsia" w:ascii="等线" w:eastAsia="等线" w:cs="宋体"/>
                <w:color w:val="000000"/>
                <w:sz w:val="22"/>
                <w:szCs w:val="22"/>
              </w:rPr>
              <w:br w:type="textWrapping"/>
            </w:r>
            <w:r>
              <w:rPr>
                <w:rFonts w:hint="eastAsia" w:ascii="等线" w:eastAsia="等线" w:cs="宋体"/>
                <w:color w:val="000000"/>
                <w:sz w:val="22"/>
                <w:szCs w:val="22"/>
              </w:rPr>
              <w:t xml:space="preserve">目标5：提高优质师资教学水平 </w:t>
            </w:r>
            <w:r>
              <w:rPr>
                <w:rFonts w:hint="eastAsia" w:ascii="等线" w:eastAsia="等线" w:cs="宋体"/>
                <w:color w:val="000000"/>
                <w:sz w:val="22"/>
                <w:szCs w:val="22"/>
              </w:rPr>
              <w:br w:type="textWrapping"/>
            </w:r>
            <w:r>
              <w:rPr>
                <w:rFonts w:hint="eastAsia" w:ascii="等线" w:eastAsia="等线" w:cs="宋体"/>
                <w:color w:val="000000"/>
                <w:sz w:val="22"/>
                <w:szCs w:val="22"/>
              </w:rPr>
              <w:t xml:space="preserve">目标6：加强资源库建设 </w:t>
            </w:r>
          </w:p>
        </w:tc>
        <w:tc>
          <w:tcPr>
            <w:tcW w:w="8060" w:type="dxa"/>
            <w:gridSpan w:val="7"/>
            <w:tcBorders>
              <w:top w:val="single" w:color="auto" w:sz="4" w:space="0"/>
              <w:left w:val="nil"/>
              <w:bottom w:val="single" w:color="auto" w:sz="4" w:space="0"/>
              <w:right w:val="single" w:color="000000" w:sz="4" w:space="0"/>
            </w:tcBorders>
            <w:shd w:val="clear" w:color="000000" w:fill="FFFFFF"/>
          </w:tcPr>
          <w:p>
            <w:pPr>
              <w:spacing w:line="240" w:lineRule="auto"/>
              <w:rPr>
                <w:rFonts w:ascii="等线" w:eastAsia="等线" w:cs="宋体"/>
                <w:color w:val="000000"/>
                <w:sz w:val="22"/>
                <w:szCs w:val="22"/>
              </w:rPr>
            </w:pPr>
            <w:r>
              <w:rPr>
                <w:rFonts w:hint="eastAsia" w:ascii="等线" w:eastAsia="等线" w:cs="宋体"/>
                <w:color w:val="000000"/>
                <w:sz w:val="22"/>
                <w:szCs w:val="22"/>
              </w:rPr>
              <w:t xml:space="preserve">   学校办学条件明显得到改善，办学质量得到提升，人才培养、科学研究、社会服务等各方面水平得到显著提高，为下一步建设职业本科院校打下基础，绩效目标基本完成。</w:t>
            </w:r>
            <w:r>
              <w:rPr>
                <w:rFonts w:hint="eastAsia" w:ascii="等线" w:eastAsia="等线" w:cs="宋体"/>
                <w:color w:val="000000"/>
                <w:sz w:val="22"/>
                <w:szCs w:val="22"/>
              </w:rPr>
              <w:br w:type="textWrapping"/>
            </w:r>
            <w:r>
              <w:rPr>
                <w:rFonts w:hint="eastAsia" w:ascii="等线" w:eastAsia="等线" w:cs="宋体"/>
                <w:color w:val="000000"/>
                <w:sz w:val="22"/>
                <w:szCs w:val="22"/>
              </w:rPr>
              <w:t xml:space="preserve">   其中：生均拨款水平达到12000元/生，支持的创新团队数量2个（动画专业、软件技术专业），支持学科专业数量7个，支持的教学实验室数量10个（舞蹈实训室、国际教育与旅游实训、汽车发动机拆装实训室、酒店专业实训室耗材、广告设计实训室、计算机网络应用服务实训室、经济管理学院实训室、跨境电商综合实训室、网络综合布线实训室、教学动画生产线实训室等），支持的科研基地和实训中心数量 2个（软件园产学研基地修、机电工程学院新能源汽车实训基地），完成中国特色高水平高职学校和专业建设计划实施≥ 90 %，1+X证书制度试点启动率达≥ 90%，申报2个教学创新团队，其中，1支教学创新团队获批省级立项建设，1支团队获批省级培育建设；支持校级19项目课程思政案例项目、5项课程革命项目、7支创新教学团队、13部新形态教材建设、2支思想政治理论课示范课堂项目；支持8支教学能力比赛团队参加全省竞赛获得一等奖2项、二等奖3项，三等奖1项，国赛三等奖1项的好成绩；全部完成海南省高职院校高水平专业群建设并取得相关奖项（专业群改革成果《传承本土文化的“项目实战、岗位进阶”动漫专业群教学模式创新与实践》获得海南省2022年度教学成果高职组二等奖；专业群1名骨干成员获得海南省优秀教育工作者称号；专业群教师指导学生参加2022年全国职业技能大赛获高职组“虚拟与现实设计与制作”赛项三等奖），高职毕业生平均就业率完成87.72%；教师定期假期到企业进行实践，引进企业兼职教师促进人才双向交流全部完成；学院师生满意度达到90%。</w:t>
            </w:r>
          </w:p>
        </w:tc>
      </w:tr>
      <w:tr>
        <w:tblPrEx>
          <w:tblCellMar>
            <w:top w:w="0" w:type="dxa"/>
            <w:left w:w="108" w:type="dxa"/>
            <w:bottom w:w="0" w:type="dxa"/>
            <w:right w:w="108" w:type="dxa"/>
          </w:tblCellMar>
        </w:tblPrEx>
        <w:trPr>
          <w:trHeight w:val="570" w:hRule="atLeast"/>
        </w:trPr>
        <w:tc>
          <w:tcPr>
            <w:tcW w:w="1103" w:type="dxa"/>
            <w:tcBorders>
              <w:top w:val="nil"/>
              <w:left w:val="single" w:color="auto" w:sz="4" w:space="0"/>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一级指标</w:t>
            </w:r>
          </w:p>
        </w:tc>
        <w:tc>
          <w:tcPr>
            <w:tcW w:w="1100"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二级指标</w:t>
            </w:r>
          </w:p>
        </w:tc>
        <w:tc>
          <w:tcPr>
            <w:tcW w:w="2941" w:type="dxa"/>
            <w:gridSpan w:val="2"/>
            <w:tcBorders>
              <w:top w:val="single" w:color="auto" w:sz="4" w:space="0"/>
              <w:left w:val="nil"/>
              <w:bottom w:val="single" w:color="auto" w:sz="4" w:space="0"/>
              <w:right w:val="single" w:color="000000"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三级指标</w:t>
            </w:r>
          </w:p>
        </w:tc>
        <w:tc>
          <w:tcPr>
            <w:tcW w:w="1116"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指标性质</w:t>
            </w:r>
          </w:p>
        </w:tc>
        <w:tc>
          <w:tcPr>
            <w:tcW w:w="947"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年度指标值</w:t>
            </w:r>
          </w:p>
        </w:tc>
        <w:tc>
          <w:tcPr>
            <w:tcW w:w="1054"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度量单位</w:t>
            </w:r>
          </w:p>
        </w:tc>
        <w:tc>
          <w:tcPr>
            <w:tcW w:w="915"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实际完成值</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完成率</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分值</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得分</w:t>
            </w:r>
          </w:p>
        </w:tc>
        <w:tc>
          <w:tcPr>
            <w:tcW w:w="2400" w:type="dxa"/>
            <w:tcBorders>
              <w:top w:val="nil"/>
              <w:left w:val="nil"/>
              <w:bottom w:val="single" w:color="auto" w:sz="4" w:space="0"/>
              <w:right w:val="nil"/>
            </w:tcBorders>
            <w:shd w:val="clear" w:color="000000" w:fill="FFFFFF"/>
            <w:vAlign w:val="center"/>
          </w:tcPr>
          <w:p>
            <w:pPr>
              <w:spacing w:line="240" w:lineRule="auto"/>
              <w:jc w:val="center"/>
              <w:rPr>
                <w:rFonts w:ascii="等线" w:eastAsia="等线" w:cs="宋体"/>
                <w:b/>
                <w:bCs/>
                <w:color w:val="000000"/>
                <w:sz w:val="24"/>
              </w:rPr>
            </w:pPr>
            <w:r>
              <w:rPr>
                <w:rFonts w:hint="eastAsia" w:ascii="等线" w:eastAsia="等线" w:cs="宋体"/>
                <w:b/>
                <w:bCs/>
                <w:color w:val="000000"/>
                <w:sz w:val="24"/>
              </w:rPr>
              <w:t>未完成原因分析</w:t>
            </w:r>
          </w:p>
        </w:tc>
      </w:tr>
      <w:tr>
        <w:tblPrEx>
          <w:tblCellMar>
            <w:top w:w="0" w:type="dxa"/>
            <w:left w:w="108" w:type="dxa"/>
            <w:bottom w:w="0" w:type="dxa"/>
            <w:right w:w="108" w:type="dxa"/>
          </w:tblCellMar>
        </w:tblPrEx>
        <w:trPr>
          <w:trHeight w:val="885" w:hRule="atLeast"/>
        </w:trPr>
        <w:tc>
          <w:tcPr>
            <w:tcW w:w="1103"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产出指标</w:t>
            </w:r>
          </w:p>
        </w:tc>
        <w:tc>
          <w:tcPr>
            <w:tcW w:w="1100"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数量指标</w:t>
            </w:r>
          </w:p>
        </w:tc>
        <w:tc>
          <w:tcPr>
            <w:tcW w:w="2941"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xml:space="preserve">支持的创新团队数量 </w:t>
            </w:r>
          </w:p>
        </w:tc>
        <w:tc>
          <w:tcPr>
            <w:tcW w:w="1116"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47"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8</w:t>
            </w:r>
          </w:p>
        </w:tc>
        <w:tc>
          <w:tcPr>
            <w:tcW w:w="1054"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个（套）</w:t>
            </w:r>
          </w:p>
        </w:tc>
        <w:tc>
          <w:tcPr>
            <w:tcW w:w="91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25.00%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2.5</w:t>
            </w:r>
          </w:p>
        </w:tc>
        <w:tc>
          <w:tcPr>
            <w:tcW w:w="2400" w:type="dxa"/>
            <w:tcBorders>
              <w:top w:val="nil"/>
              <w:left w:val="nil"/>
              <w:bottom w:val="single" w:color="auto" w:sz="4" w:space="0"/>
              <w:right w:val="nil"/>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因原申报计划与省级实际给予申报的指标有较大出入导致。</w:t>
            </w:r>
          </w:p>
        </w:tc>
      </w:tr>
      <w:tr>
        <w:tblPrEx>
          <w:tblCellMar>
            <w:top w:w="0" w:type="dxa"/>
            <w:left w:w="108" w:type="dxa"/>
            <w:bottom w:w="0" w:type="dxa"/>
            <w:right w:w="108" w:type="dxa"/>
          </w:tblCellMar>
        </w:tblPrEx>
        <w:trPr>
          <w:trHeight w:val="623" w:hRule="atLeast"/>
        </w:trPr>
        <w:tc>
          <w:tcPr>
            <w:tcW w:w="1103"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产出指标</w:t>
            </w:r>
          </w:p>
        </w:tc>
        <w:tc>
          <w:tcPr>
            <w:tcW w:w="1100"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数量指标</w:t>
            </w:r>
          </w:p>
        </w:tc>
        <w:tc>
          <w:tcPr>
            <w:tcW w:w="2941"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xml:space="preserve">支持的教学实验室数量 </w:t>
            </w:r>
          </w:p>
        </w:tc>
        <w:tc>
          <w:tcPr>
            <w:tcW w:w="1116"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47"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w:t>
            </w:r>
          </w:p>
        </w:tc>
        <w:tc>
          <w:tcPr>
            <w:tcW w:w="1054"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个（套）</w:t>
            </w:r>
          </w:p>
        </w:tc>
        <w:tc>
          <w:tcPr>
            <w:tcW w:w="91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w:t>
            </w:r>
          </w:p>
        </w:tc>
        <w:tc>
          <w:tcPr>
            <w:tcW w:w="2400"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885" w:hRule="atLeast"/>
        </w:trPr>
        <w:tc>
          <w:tcPr>
            <w:tcW w:w="1103"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产出指标</w:t>
            </w:r>
          </w:p>
        </w:tc>
        <w:tc>
          <w:tcPr>
            <w:tcW w:w="1100"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数量指标</w:t>
            </w:r>
          </w:p>
        </w:tc>
        <w:tc>
          <w:tcPr>
            <w:tcW w:w="2941"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xml:space="preserve">支持的科研基地和实训中心数量 </w:t>
            </w:r>
          </w:p>
        </w:tc>
        <w:tc>
          <w:tcPr>
            <w:tcW w:w="1116"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47"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8</w:t>
            </w:r>
          </w:p>
        </w:tc>
        <w:tc>
          <w:tcPr>
            <w:tcW w:w="1054"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个（套）</w:t>
            </w:r>
          </w:p>
        </w:tc>
        <w:tc>
          <w:tcPr>
            <w:tcW w:w="91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25.00%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2.5</w:t>
            </w:r>
          </w:p>
        </w:tc>
        <w:tc>
          <w:tcPr>
            <w:tcW w:w="2400"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因原申报计划与省级实际给予申报的指标有较大出入导致。</w:t>
            </w:r>
          </w:p>
        </w:tc>
      </w:tr>
      <w:tr>
        <w:tblPrEx>
          <w:tblCellMar>
            <w:top w:w="0" w:type="dxa"/>
            <w:left w:w="108" w:type="dxa"/>
            <w:bottom w:w="0" w:type="dxa"/>
            <w:right w:w="108" w:type="dxa"/>
          </w:tblCellMar>
        </w:tblPrEx>
        <w:trPr>
          <w:trHeight w:val="623" w:hRule="atLeast"/>
        </w:trPr>
        <w:tc>
          <w:tcPr>
            <w:tcW w:w="1103"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产出指标</w:t>
            </w:r>
          </w:p>
        </w:tc>
        <w:tc>
          <w:tcPr>
            <w:tcW w:w="1100"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数量指标</w:t>
            </w:r>
          </w:p>
        </w:tc>
        <w:tc>
          <w:tcPr>
            <w:tcW w:w="2941"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xml:space="preserve">支持的学科数量 </w:t>
            </w:r>
          </w:p>
        </w:tc>
        <w:tc>
          <w:tcPr>
            <w:tcW w:w="1116"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47"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7</w:t>
            </w:r>
          </w:p>
        </w:tc>
        <w:tc>
          <w:tcPr>
            <w:tcW w:w="1054"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个（套）</w:t>
            </w:r>
          </w:p>
        </w:tc>
        <w:tc>
          <w:tcPr>
            <w:tcW w:w="91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7</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w:t>
            </w:r>
          </w:p>
        </w:tc>
        <w:tc>
          <w:tcPr>
            <w:tcW w:w="2400"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1103"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效益指标</w:t>
            </w:r>
          </w:p>
        </w:tc>
        <w:tc>
          <w:tcPr>
            <w:tcW w:w="1100"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社会效益指标</w:t>
            </w:r>
          </w:p>
        </w:tc>
        <w:tc>
          <w:tcPr>
            <w:tcW w:w="2941"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xml:space="preserve">高职毕业生平均就业率 </w:t>
            </w:r>
          </w:p>
        </w:tc>
        <w:tc>
          <w:tcPr>
            <w:tcW w:w="1116"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47"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92</w:t>
            </w:r>
          </w:p>
        </w:tc>
        <w:tc>
          <w:tcPr>
            <w:tcW w:w="1054"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1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87.72</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95.35%</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9.53</w:t>
            </w:r>
          </w:p>
        </w:tc>
        <w:tc>
          <w:tcPr>
            <w:tcW w:w="2400"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受海南省整体就业环境影响。</w:t>
            </w:r>
          </w:p>
        </w:tc>
      </w:tr>
      <w:tr>
        <w:tblPrEx>
          <w:tblCellMar>
            <w:top w:w="0" w:type="dxa"/>
            <w:left w:w="108" w:type="dxa"/>
            <w:bottom w:w="0" w:type="dxa"/>
            <w:right w:w="108" w:type="dxa"/>
          </w:tblCellMar>
        </w:tblPrEx>
        <w:trPr>
          <w:trHeight w:val="915" w:hRule="atLeast"/>
        </w:trPr>
        <w:tc>
          <w:tcPr>
            <w:tcW w:w="1103"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效益指标</w:t>
            </w:r>
          </w:p>
        </w:tc>
        <w:tc>
          <w:tcPr>
            <w:tcW w:w="1100"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社会效益指标</w:t>
            </w:r>
          </w:p>
        </w:tc>
        <w:tc>
          <w:tcPr>
            <w:tcW w:w="2941"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xml:space="preserve">教师定期假期到企业进行实践，引进企业兼职教师促进人才双向交流 </w:t>
            </w:r>
          </w:p>
        </w:tc>
        <w:tc>
          <w:tcPr>
            <w:tcW w:w="1116"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47"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250</w:t>
            </w:r>
          </w:p>
        </w:tc>
        <w:tc>
          <w:tcPr>
            <w:tcW w:w="1054"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人次</w:t>
            </w:r>
          </w:p>
        </w:tc>
        <w:tc>
          <w:tcPr>
            <w:tcW w:w="91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250</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w:t>
            </w:r>
          </w:p>
        </w:tc>
        <w:tc>
          <w:tcPr>
            <w:tcW w:w="2400"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1103"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效益指标</w:t>
            </w:r>
          </w:p>
        </w:tc>
        <w:tc>
          <w:tcPr>
            <w:tcW w:w="1100"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可持续发展指标</w:t>
            </w:r>
          </w:p>
        </w:tc>
        <w:tc>
          <w:tcPr>
            <w:tcW w:w="2941"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xml:space="preserve">1+X证书制度试点启动率 </w:t>
            </w:r>
          </w:p>
        </w:tc>
        <w:tc>
          <w:tcPr>
            <w:tcW w:w="1116"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47"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90</w:t>
            </w:r>
          </w:p>
        </w:tc>
        <w:tc>
          <w:tcPr>
            <w:tcW w:w="1054"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1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90</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w:t>
            </w:r>
          </w:p>
        </w:tc>
        <w:tc>
          <w:tcPr>
            <w:tcW w:w="2400"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870" w:hRule="atLeast"/>
        </w:trPr>
        <w:tc>
          <w:tcPr>
            <w:tcW w:w="1103"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效益指标</w:t>
            </w:r>
          </w:p>
        </w:tc>
        <w:tc>
          <w:tcPr>
            <w:tcW w:w="1100"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可持续发展指标</w:t>
            </w:r>
          </w:p>
        </w:tc>
        <w:tc>
          <w:tcPr>
            <w:tcW w:w="2941"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xml:space="preserve">第一轮中国特色高水平高职学校和专业建设计划实施率 </w:t>
            </w:r>
          </w:p>
        </w:tc>
        <w:tc>
          <w:tcPr>
            <w:tcW w:w="1116"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47"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90</w:t>
            </w:r>
          </w:p>
        </w:tc>
        <w:tc>
          <w:tcPr>
            <w:tcW w:w="1054"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1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90</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w:t>
            </w:r>
          </w:p>
        </w:tc>
        <w:tc>
          <w:tcPr>
            <w:tcW w:w="2400"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1103" w:type="dxa"/>
            <w:tcBorders>
              <w:top w:val="nil"/>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满意度指标</w:t>
            </w:r>
          </w:p>
        </w:tc>
        <w:tc>
          <w:tcPr>
            <w:tcW w:w="1100"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服务对象满意度</w:t>
            </w:r>
          </w:p>
        </w:tc>
        <w:tc>
          <w:tcPr>
            <w:tcW w:w="2941"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xml:space="preserve">学院师生满意度 </w:t>
            </w:r>
          </w:p>
        </w:tc>
        <w:tc>
          <w:tcPr>
            <w:tcW w:w="1116"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47"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90</w:t>
            </w:r>
          </w:p>
        </w:tc>
        <w:tc>
          <w:tcPr>
            <w:tcW w:w="1054"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w:t>
            </w:r>
          </w:p>
        </w:tc>
        <w:tc>
          <w:tcPr>
            <w:tcW w:w="915"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90</w:t>
            </w:r>
          </w:p>
        </w:tc>
        <w:tc>
          <w:tcPr>
            <w:tcW w:w="986"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w:t>
            </w:r>
          </w:p>
        </w:tc>
        <w:tc>
          <w:tcPr>
            <w:tcW w:w="2400"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r>
        <w:tblPrEx>
          <w:tblCellMar>
            <w:top w:w="0" w:type="dxa"/>
            <w:left w:w="108" w:type="dxa"/>
            <w:bottom w:w="0" w:type="dxa"/>
            <w:right w:w="108" w:type="dxa"/>
          </w:tblCellMar>
        </w:tblPrEx>
        <w:trPr>
          <w:trHeight w:val="623" w:hRule="atLeast"/>
        </w:trPr>
        <w:tc>
          <w:tcPr>
            <w:tcW w:w="10162" w:type="dxa"/>
            <w:gridSpan w:val="9"/>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合计</w:t>
            </w:r>
          </w:p>
        </w:tc>
        <w:tc>
          <w:tcPr>
            <w:tcW w:w="880"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100.00</w:t>
            </w:r>
          </w:p>
        </w:tc>
        <w:tc>
          <w:tcPr>
            <w:tcW w:w="878" w:type="dxa"/>
            <w:tcBorders>
              <w:top w:val="nil"/>
              <w:left w:val="nil"/>
              <w:bottom w:val="single" w:color="auto" w:sz="4" w:space="0"/>
              <w:right w:val="single" w:color="auto" w:sz="4" w:space="0"/>
            </w:tcBorders>
            <w:shd w:val="clear" w:color="000000" w:fill="FFFFFF"/>
            <w:vAlign w:val="center"/>
          </w:tcPr>
          <w:p>
            <w:pPr>
              <w:spacing w:line="240" w:lineRule="auto"/>
              <w:jc w:val="right"/>
              <w:rPr>
                <w:rFonts w:ascii="等线" w:eastAsia="等线" w:cs="宋体"/>
                <w:color w:val="000000"/>
                <w:sz w:val="22"/>
                <w:szCs w:val="22"/>
              </w:rPr>
            </w:pPr>
            <w:r>
              <w:rPr>
                <w:rFonts w:hint="eastAsia" w:ascii="等线" w:eastAsia="等线" w:cs="宋体"/>
                <w:color w:val="000000"/>
                <w:sz w:val="22"/>
                <w:szCs w:val="22"/>
              </w:rPr>
              <w:t>83.16</w:t>
            </w:r>
          </w:p>
        </w:tc>
        <w:tc>
          <w:tcPr>
            <w:tcW w:w="2400" w:type="dxa"/>
            <w:tcBorders>
              <w:top w:val="nil"/>
              <w:left w:val="nil"/>
              <w:bottom w:val="single" w:color="auto" w:sz="4" w:space="0"/>
              <w:right w:val="single" w:color="auto" w:sz="4" w:space="0"/>
            </w:tcBorders>
            <w:shd w:val="clear" w:color="000000" w:fill="FFFFFF"/>
            <w:vAlign w:val="center"/>
          </w:tcPr>
          <w:p>
            <w:pPr>
              <w:spacing w:line="240" w:lineRule="auto"/>
              <w:rPr>
                <w:rFonts w:ascii="等线" w:eastAsia="等线" w:cs="宋体"/>
                <w:color w:val="000000"/>
                <w:sz w:val="22"/>
                <w:szCs w:val="22"/>
              </w:rPr>
            </w:pPr>
            <w:r>
              <w:rPr>
                <w:rFonts w:hint="eastAsia" w:ascii="等线" w:eastAsia="等线" w:cs="宋体"/>
                <w:color w:val="000000"/>
                <w:sz w:val="22"/>
                <w:szCs w:val="22"/>
              </w:rPr>
              <w:t>　</w:t>
            </w:r>
          </w:p>
        </w:tc>
      </w:tr>
    </w:tbl>
    <w:p>
      <w:pPr>
        <w:tabs>
          <w:tab w:val="left" w:pos="7350"/>
          <w:tab w:val="left" w:pos="7560"/>
        </w:tabs>
        <w:adjustRightInd w:val="0"/>
        <w:snapToGrid w:val="0"/>
        <w:spacing w:line="564" w:lineRule="exact"/>
        <w:ind w:firstLine="640" w:firstLineChars="200"/>
        <w:rPr>
          <w:rFonts w:ascii="仿宋" w:hAnsi="仿宋" w:eastAsia="仿宋"/>
          <w:color w:val="000000"/>
          <w:szCs w:val="32"/>
        </w:rPr>
      </w:pPr>
      <w:r>
        <w:rPr>
          <w:rFonts w:hint="eastAsia" w:ascii="仿宋" w:hAnsi="仿宋" w:eastAsia="仿宋"/>
          <w:color w:val="000000"/>
          <w:szCs w:val="32"/>
        </w:rPr>
        <w:t>现代职业教育质量提升计划项目绩效自评报告：根据年初设定的绩效目标，项目绩效自评得分为83.16分。全年预算数为4750万元，执行数为4102.41万元，完成预算的86.31%。项目绩效目标完成情况:</w:t>
      </w:r>
      <w:r>
        <w:rPr>
          <w:rFonts w:hint="eastAsia" w:ascii="等线" w:eastAsia="等线" w:cs="宋体"/>
          <w:color w:val="000000"/>
          <w:sz w:val="22"/>
          <w:szCs w:val="22"/>
        </w:rPr>
        <w:t xml:space="preserve"> </w:t>
      </w:r>
      <w:r>
        <w:rPr>
          <w:rFonts w:hint="eastAsia" w:ascii="仿宋" w:hAnsi="仿宋" w:eastAsia="仿宋"/>
          <w:color w:val="000000"/>
          <w:szCs w:val="32"/>
        </w:rPr>
        <w:t>学校办学条件明显得到改善，办学质量得到提升，人才培养、科学研究、社会服务等各方面水平得到显著提高，为下一步建设职业本科院校打下基础，绩效目标基本完成。其中：生均拨款水平达到12000元/生，支持的创新团队数量2个（动画专业、软件技术专业），支持学科专业数量7个，支持的教学实验室数量10个（舞蹈实训室、国际教育与旅游实训、汽车发动机拆装实训室、酒店专业实训室耗材、广告设计实训室、计算机网络应用服务实训室、经济管理学院实训室、跨境电商综合实训室、网络综合布线实训室、教学动画生产线实训室等），支持的科研基地和实训中心数量 2个（软件园产学研基地修、机电工程学院新能源汽车实训基地），完成中国特色高水平高职学校和专业建设计划实施≥ 90 %，1+X证书制度试点启动率达≥ 90%，申报2个教学创新团队，其中，1支教学创新团队获批省级立项建设，1支团队获批省级培育建设；支持校级19项目课程思政案例项目、5项课程革命项目、7支创新教学团队、13部新形态教材建设、2支思想政治理论课示范课堂项目；支持8支教学能力比赛团队参加全省竞赛获得一等奖2项、二等奖3项，三等奖1项，国赛三等奖1项的好成绩；全部完成海南省高职院校高水平专业群建设并取得相关奖项（专业群改革成果《传承本土文化的“项目实战、岗位进阶”动漫专业群教学模式创新与实践》获得海南省2022年度教学成果高职组二等奖；专业群1名骨干成员获得海南省优秀教育工作者称号；专业群教师指导学生参加2022年全国职业技能大赛获高职组“虚拟与现实设计与制作”赛项三等奖），高职毕业生平均就业率完成87.72%；教师定期假期到企业进行实践，引进企业兼职教师促进人才双向交流全部完成；学院师生满意度达到90%。发现的主要问题及原因：项目前期论证不充分、项目审批、招标周期过长，影响项目实施进度。下一步改进措施：一是</w:t>
      </w:r>
      <w:r>
        <w:rPr>
          <w:rFonts w:ascii="仿宋" w:hAnsi="仿宋" w:eastAsia="仿宋"/>
          <w:color w:val="000000"/>
          <w:szCs w:val="32"/>
        </w:rPr>
        <w:t>完善项目库储备工作，对计划项目要充分做好前期调研、论证工作，确保入库项目可行，能按预期计划实施</w:t>
      </w:r>
      <w:r>
        <w:rPr>
          <w:rFonts w:hint="eastAsia" w:ascii="仿宋" w:hAnsi="仿宋" w:eastAsia="仿宋"/>
          <w:color w:val="000000"/>
          <w:szCs w:val="32"/>
        </w:rPr>
        <w:t>；二是</w:t>
      </w:r>
      <w:r>
        <w:rPr>
          <w:rFonts w:ascii="仿宋" w:hAnsi="仿宋" w:eastAsia="仿宋"/>
          <w:color w:val="000000"/>
          <w:szCs w:val="32"/>
        </w:rPr>
        <w:t>倒排工期，按时间节点推进工程项目，确保项目资金按计划使用。</w:t>
      </w:r>
    </w:p>
    <w:p>
      <w:pPr>
        <w:spacing w:line="560" w:lineRule="exact"/>
        <w:jc w:val="both"/>
        <w:rPr>
          <w:rFonts w:ascii="楷体" w:hAnsi="楷体" w:eastAsia="楷体" w:cs="楷体"/>
          <w:b/>
          <w:bCs/>
          <w:color w:val="000000"/>
          <w:szCs w:val="32"/>
        </w:rPr>
      </w:pPr>
      <w:r>
        <w:rPr>
          <w:rFonts w:hint="eastAsia" w:ascii="楷体" w:hAnsi="楷体" w:eastAsia="楷体" w:cs="楷体"/>
          <w:bCs/>
          <w:color w:val="000000"/>
          <w:szCs w:val="32"/>
        </w:rPr>
        <w:t xml:space="preserve">    </w:t>
      </w:r>
      <w:r>
        <w:rPr>
          <w:rFonts w:hint="eastAsia" w:ascii="楷体" w:hAnsi="楷体" w:eastAsia="楷体" w:cs="楷体"/>
          <w:b/>
          <w:bCs/>
          <w:color w:val="000000"/>
          <w:szCs w:val="32"/>
        </w:rPr>
        <w:t>（三）部门评价结果</w:t>
      </w:r>
    </w:p>
    <w:p>
      <w:pPr>
        <w:spacing w:line="560" w:lineRule="exact"/>
        <w:jc w:val="both"/>
        <w:rPr>
          <w:rFonts w:ascii="仿宋" w:hAnsi="仿宋" w:eastAsia="仿宋"/>
          <w:color w:val="000000"/>
          <w:szCs w:val="32"/>
        </w:rPr>
      </w:pPr>
      <w:r>
        <w:rPr>
          <w:rFonts w:hint="eastAsia" w:ascii="楷体" w:hAnsi="楷体" w:eastAsia="楷体" w:cs="楷体"/>
          <w:bCs/>
          <w:color w:val="000000"/>
          <w:szCs w:val="32"/>
        </w:rPr>
        <w:t xml:space="preserve">     </w:t>
      </w:r>
      <w:r>
        <w:rPr>
          <w:rFonts w:hint="eastAsia" w:ascii="仿宋" w:hAnsi="仿宋" w:eastAsia="仿宋" w:cs="楷体"/>
          <w:bCs/>
          <w:color w:val="000000"/>
          <w:szCs w:val="32"/>
        </w:rPr>
        <w:t>《</w:t>
      </w:r>
      <w:r>
        <w:rPr>
          <w:rFonts w:hint="eastAsia" w:ascii="仿宋" w:hAnsi="仿宋" w:eastAsia="仿宋"/>
          <w:color w:val="000000"/>
          <w:szCs w:val="32"/>
        </w:rPr>
        <w:t>普通高中基础设施建设资金项目绩效报告》（详见附件</w:t>
      </w:r>
      <w:r>
        <w:rPr>
          <w:rFonts w:hint="eastAsia" w:ascii="仿宋" w:hAnsi="仿宋" w:eastAsia="仿宋"/>
          <w:color w:val="000000"/>
          <w:szCs w:val="32"/>
          <w:lang w:val="en-US" w:eastAsia="zh-CN"/>
        </w:rPr>
        <w:t>2</w:t>
      </w:r>
      <w:r>
        <w:rPr>
          <w:rFonts w:hint="eastAsia" w:ascii="仿宋" w:hAnsi="仿宋" w:eastAsia="仿宋"/>
          <w:color w:val="000000"/>
          <w:szCs w:val="32"/>
        </w:rPr>
        <w:t>）</w:t>
      </w:r>
    </w:p>
    <w:p>
      <w:pPr>
        <w:spacing w:line="560" w:lineRule="exact"/>
        <w:ind w:firstLine="640" w:firstLineChars="200"/>
        <w:rPr>
          <w:rFonts w:ascii="楷体" w:hAnsi="楷体" w:eastAsia="楷体" w:cs="楷体"/>
          <w:bCs/>
          <w:color w:val="000000"/>
          <w:szCs w:val="32"/>
        </w:rPr>
      </w:pPr>
      <w:r>
        <w:rPr>
          <w:rFonts w:hint="eastAsia" w:ascii="楷体" w:hAnsi="楷体" w:eastAsia="楷体" w:cs="楷体"/>
          <w:b/>
          <w:bCs/>
          <w:color w:val="000000"/>
          <w:szCs w:val="32"/>
        </w:rPr>
        <w:t>（四）财政评价结果</w:t>
      </w:r>
    </w:p>
    <w:p>
      <w:pPr>
        <w:snapToGrid w:val="0"/>
        <w:spacing w:line="600" w:lineRule="exact"/>
        <w:ind w:firstLine="640" w:firstLineChars="200"/>
        <w:rPr>
          <w:rFonts w:ascii="仿宋_GB2312" w:cs="仿宋_GB2312"/>
          <w:szCs w:val="32"/>
        </w:rPr>
      </w:pPr>
      <w:r>
        <w:rPr>
          <w:rFonts w:hint="eastAsia" w:ascii="仿宋_GB2312"/>
          <w:color w:val="000000"/>
          <w:szCs w:val="32"/>
          <w:lang w:val="zh-CN"/>
        </w:rPr>
        <w:t>无</w:t>
      </w:r>
    </w:p>
    <w:p>
      <w:pPr>
        <w:pStyle w:val="3"/>
        <w:spacing w:before="156" w:after="156"/>
        <w:ind w:firstLine="643"/>
        <w:rPr>
          <w:rFonts w:ascii="仿宋" w:hAnsi="仿宋" w:eastAsia="仿宋"/>
        </w:rPr>
        <w:sectPr>
          <w:pgSz w:w="16838" w:h="11906" w:orient="landscape"/>
          <w:pgMar w:top="1797" w:right="1440" w:bottom="1797" w:left="1440" w:header="851" w:footer="992" w:gutter="0"/>
          <w:pgNumType w:fmt="decimal"/>
          <w:cols w:space="425" w:num="1"/>
          <w:docGrid w:type="linesAndChars" w:linePitch="312" w:charSpace="0"/>
        </w:sectPr>
      </w:pPr>
    </w:p>
    <w:p>
      <w:pPr>
        <w:pStyle w:val="3"/>
        <w:spacing w:before="156" w:after="156"/>
        <w:ind w:firstLine="643"/>
        <w:rPr>
          <w:rFonts w:ascii="仿宋" w:hAnsi="仿宋" w:eastAsia="仿宋"/>
        </w:rPr>
      </w:pPr>
      <w:r>
        <w:rPr>
          <w:rFonts w:hint="eastAsia" w:ascii="仿宋" w:hAnsi="仿宋" w:eastAsia="仿宋"/>
        </w:rPr>
        <w:t>十三、其他重要事项情况说明。</w:t>
      </w:r>
    </w:p>
    <w:p>
      <w:pPr>
        <w:pStyle w:val="4"/>
        <w:spacing w:before="93" w:after="93"/>
        <w:ind w:firstLine="643"/>
        <w:rPr>
          <w:rFonts w:ascii="仿宋" w:hAnsi="仿宋" w:eastAsia="仿宋"/>
        </w:rPr>
      </w:pPr>
      <w:r>
        <w:rPr>
          <w:rFonts w:hint="eastAsia" w:ascii="仿宋" w:hAnsi="仿宋" w:eastAsia="仿宋"/>
        </w:rPr>
        <w:t>（一）机关运行经费支出情况。</w:t>
      </w:r>
    </w:p>
    <w:p>
      <w:pPr>
        <w:ind w:firstLine="640" w:firstLineChars="200"/>
        <w:rPr>
          <w:rFonts w:ascii="仿宋" w:hAnsi="仿宋" w:eastAsia="仿宋" w:cs="仿宋_GB2312"/>
          <w:szCs w:val="32"/>
        </w:rPr>
      </w:pPr>
      <w:r>
        <w:rPr>
          <w:rFonts w:hint="eastAsia" w:ascii="仿宋" w:hAnsi="仿宋" w:eastAsia="仿宋" w:cs="仿宋_GB2312"/>
          <w:szCs w:val="32"/>
        </w:rPr>
        <w:t>2022年度教育部门（单位）机关运行经费568.70万元（为部门决算中行政单位和参公事业单位使用一般公共预算财政拨款安排的基本支出中的日常公用经费支出，事业单位没有机关运行经费支出），比年初预算减少4.32万元，降低0.75%。主要原因是：教育系统认真贯彻落实中央和省关于厉行节约的各项要求。</w:t>
      </w:r>
    </w:p>
    <w:p>
      <w:pPr>
        <w:pStyle w:val="4"/>
        <w:spacing w:before="93" w:after="93"/>
        <w:ind w:firstLine="643"/>
        <w:rPr>
          <w:rFonts w:ascii="仿宋" w:hAnsi="仿宋" w:eastAsia="仿宋"/>
        </w:rPr>
      </w:pPr>
      <w:r>
        <w:rPr>
          <w:rFonts w:hint="eastAsia" w:ascii="仿宋" w:hAnsi="仿宋" w:eastAsia="仿宋"/>
        </w:rPr>
        <w:t>（二）政府采购支出情况。</w:t>
      </w:r>
    </w:p>
    <w:p>
      <w:pPr>
        <w:ind w:firstLine="640" w:firstLineChars="200"/>
        <w:rPr>
          <w:rFonts w:ascii="仿宋" w:hAnsi="仿宋" w:eastAsia="仿宋" w:cs="仿宋_GB2312"/>
          <w:szCs w:val="32"/>
        </w:rPr>
      </w:pPr>
      <w:r>
        <w:rPr>
          <w:rFonts w:hint="eastAsia" w:ascii="仿宋" w:hAnsi="仿宋" w:eastAsia="仿宋" w:cs="仿宋_GB2312"/>
          <w:szCs w:val="32"/>
        </w:rPr>
        <w:t>2022年度教育厅部门（单位）政府采购支出总额128582.60万元，其中：政府采购货物支出106450.23万元、政府采购工程支出7438.38万元、政府采购服务支出14693.99万元。授予中小企业合同金额13362.8万元，占政府采购支出总额的10.39%，其中：授予小微企业合同金额586.79万元，占政府采购支出总额的0.46%。</w:t>
      </w:r>
    </w:p>
    <w:p>
      <w:pPr>
        <w:pStyle w:val="4"/>
        <w:spacing w:before="93" w:after="93"/>
        <w:ind w:firstLine="643"/>
        <w:rPr>
          <w:rFonts w:ascii="仿宋" w:hAnsi="仿宋" w:eastAsia="仿宋"/>
        </w:rPr>
      </w:pPr>
      <w:r>
        <w:rPr>
          <w:rFonts w:hint="eastAsia" w:ascii="仿宋" w:hAnsi="仿宋" w:eastAsia="仿宋"/>
        </w:rPr>
        <w:t>（三）国有资产占用情况。</w:t>
      </w:r>
    </w:p>
    <w:p>
      <w:pPr>
        <w:ind w:firstLine="640" w:firstLineChars="200"/>
        <w:rPr>
          <w:rFonts w:ascii="仿宋" w:hAnsi="仿宋" w:eastAsia="仿宋" w:cs="仿宋_GB2312"/>
          <w:szCs w:val="32"/>
        </w:rPr>
      </w:pPr>
      <w:r>
        <w:rPr>
          <w:rFonts w:hint="eastAsia" w:ascii="仿宋" w:hAnsi="仿宋" w:eastAsia="仿宋" w:cs="仿宋_GB2312"/>
          <w:szCs w:val="32"/>
        </w:rPr>
        <w:t>截至2022年12月31日，本部门占用房屋面积6057575.58平方米，其中：办公用房854030.87平方米，业务用房2654389.64平方米，其他（不含构筑物）2549155.07平方米。</w:t>
      </w:r>
    </w:p>
    <w:p>
      <w:pPr>
        <w:spacing w:line="560" w:lineRule="exact"/>
        <w:ind w:firstLine="640" w:firstLineChars="200"/>
        <w:rPr>
          <w:rFonts w:hint="eastAsia" w:ascii="仿宋" w:hAnsi="仿宋" w:eastAsia="仿宋" w:cs="仿宋_GB2312"/>
          <w:szCs w:val="32"/>
        </w:rPr>
      </w:pPr>
      <w:r>
        <w:rPr>
          <w:rFonts w:hint="eastAsia" w:ascii="仿宋" w:hAnsi="仿宋" w:eastAsia="仿宋" w:cs="仿宋_GB2312"/>
          <w:szCs w:val="32"/>
        </w:rPr>
        <w:t>本部门共有车辆155辆，其中：副部（省）级及以上领导用车0辆、主要领导干部用车7辆、机要通信用车25辆、应急保障用车15辆、执法执勤用车0辆、特种专业技术用车0辆、离退休干部用车0辆、其他用车105辆，其他用车主要是教育专用车辆。单价100万元（含）以上设备（不含车辆）244台（套）。</w:t>
      </w:r>
    </w:p>
    <w:p>
      <w:pPr>
        <w:spacing w:line="560" w:lineRule="exact"/>
        <w:ind w:firstLine="640" w:firstLineChars="200"/>
        <w:rPr>
          <w:rFonts w:hint="eastAsia" w:ascii="仿宋" w:hAnsi="仿宋" w:eastAsia="仿宋" w:cs="仿宋_GB2312"/>
          <w:szCs w:val="32"/>
        </w:rPr>
      </w:pPr>
      <w:r>
        <w:rPr>
          <w:rFonts w:hint="eastAsia" w:ascii="仿宋" w:hAnsi="仿宋" w:eastAsia="仿宋" w:cs="仿宋_GB2312"/>
          <w:szCs w:val="32"/>
        </w:rPr>
        <w:t>年末在建工程493693.32万元。</w:t>
      </w:r>
    </w:p>
    <w:p>
      <w:pPr>
        <w:spacing w:line="560" w:lineRule="exact"/>
        <w:ind w:firstLine="640" w:firstLineChars="200"/>
        <w:rPr>
          <w:rFonts w:hint="eastAsia" w:ascii="仿宋_GB2312" w:hAnsi="ˎ̥"/>
          <w:color w:val="000000"/>
          <w:szCs w:val="32"/>
        </w:rPr>
      </w:pPr>
    </w:p>
    <w:p>
      <w:pPr>
        <w:ind w:firstLine="643" w:firstLineChars="200"/>
        <w:jc w:val="center"/>
        <w:rPr>
          <w:rFonts w:hint="eastAsia" w:ascii="黑体" w:hAnsi="黑体" w:eastAsia="黑体" w:cs="黑体"/>
          <w:b/>
          <w:bCs/>
        </w:rPr>
      </w:pPr>
      <w:r>
        <w:rPr>
          <w:rFonts w:hint="eastAsia" w:ascii="黑体" w:hAnsi="黑体" w:eastAsia="黑体" w:cs="黑体"/>
          <w:b/>
          <w:bCs/>
        </w:rPr>
        <w:t>第四部分名词解释</w:t>
      </w:r>
    </w:p>
    <w:p>
      <w:pPr>
        <w:ind w:firstLine="640" w:firstLineChars="200"/>
        <w:rPr>
          <w:rFonts w:ascii="仿宋" w:hAnsi="仿宋" w:eastAsia="仿宋" w:cs="仿宋_GB2312"/>
        </w:rPr>
      </w:pPr>
      <w:r>
        <w:rPr>
          <w:rFonts w:hint="eastAsia" w:ascii="仿宋" w:hAnsi="仿宋" w:eastAsia="仿宋" w:cs="仿宋_GB2312"/>
        </w:rPr>
        <w:t>一、财政拨款收入：指本级财政当年拨付的资金。</w:t>
      </w:r>
    </w:p>
    <w:p>
      <w:pPr>
        <w:ind w:firstLine="640" w:firstLineChars="200"/>
        <w:rPr>
          <w:rFonts w:ascii="仿宋" w:hAnsi="仿宋" w:eastAsia="仿宋" w:cs="仿宋_GB2312"/>
        </w:rPr>
      </w:pPr>
      <w:r>
        <w:rPr>
          <w:rFonts w:hint="eastAsia" w:ascii="仿宋" w:hAnsi="仿宋" w:eastAsia="仿宋" w:cs="仿宋_GB2312"/>
        </w:rPr>
        <w:t>二、事业收入：指事业单位开展专业业务活动及辅助活动取得的收入。</w:t>
      </w:r>
    </w:p>
    <w:p>
      <w:pPr>
        <w:ind w:firstLine="640" w:firstLineChars="200"/>
        <w:rPr>
          <w:rFonts w:ascii="仿宋" w:hAnsi="仿宋" w:eastAsia="仿宋" w:cs="仿宋_GB2312"/>
        </w:rPr>
      </w:pPr>
      <w:r>
        <w:rPr>
          <w:rFonts w:hint="eastAsia" w:ascii="仿宋" w:hAnsi="仿宋" w:eastAsia="仿宋" w:cs="仿宋_GB2312"/>
        </w:rPr>
        <w:t>三、经营收入：指事业单位在专业业务活动及其辅助活动之外开展非独立核算经营活动取得的收入。</w:t>
      </w:r>
    </w:p>
    <w:p>
      <w:pPr>
        <w:ind w:firstLine="640" w:firstLineChars="200"/>
        <w:rPr>
          <w:rFonts w:ascii="仿宋" w:hAnsi="仿宋" w:eastAsia="仿宋" w:cs="仿宋_GB2312"/>
        </w:rPr>
      </w:pPr>
      <w:r>
        <w:rPr>
          <w:rFonts w:hint="eastAsia" w:ascii="仿宋" w:hAnsi="仿宋" w:eastAsia="仿宋" w:cs="仿宋_GB2312"/>
        </w:rPr>
        <w:t>四、其他收入：指除上述“财政拨款收入”“事业收入”“经营收入”等以外的收入。</w:t>
      </w:r>
    </w:p>
    <w:p>
      <w:pPr>
        <w:ind w:firstLine="640" w:firstLineChars="200"/>
        <w:rPr>
          <w:rFonts w:ascii="仿宋" w:hAnsi="仿宋" w:eastAsia="仿宋" w:cs="仿宋_GB2312"/>
        </w:rPr>
      </w:pPr>
      <w:r>
        <w:rPr>
          <w:rFonts w:hint="eastAsia" w:ascii="仿宋" w:hAnsi="仿宋" w:eastAsia="仿宋" w:cs="仿宋_GB2312"/>
        </w:rPr>
        <w:t>五、使用非财政拨款结余：指事业单位按照预算管理要求使用非财政拨款结余弥补收支差额的金额。</w:t>
      </w:r>
    </w:p>
    <w:p>
      <w:pPr>
        <w:ind w:firstLine="640" w:firstLineChars="200"/>
        <w:rPr>
          <w:rFonts w:ascii="仿宋" w:hAnsi="仿宋" w:eastAsia="仿宋" w:cs="仿宋_GB2312"/>
        </w:rPr>
      </w:pPr>
      <w:r>
        <w:rPr>
          <w:rFonts w:hint="eastAsia" w:ascii="仿宋" w:hAnsi="仿宋" w:eastAsia="仿宋" w:cs="仿宋_GB2312"/>
        </w:rPr>
        <w:t>六、年初结转和结余：指以前年度尚未完成、结转到本年按有关规定继续使用的资金。</w:t>
      </w:r>
    </w:p>
    <w:p>
      <w:pPr>
        <w:ind w:firstLine="640" w:firstLineChars="200"/>
        <w:rPr>
          <w:rFonts w:ascii="仿宋" w:hAnsi="仿宋" w:eastAsia="仿宋" w:cs="仿宋_GB2312"/>
        </w:rPr>
      </w:pPr>
      <w:r>
        <w:rPr>
          <w:rFonts w:hint="eastAsia" w:ascii="仿宋" w:hAnsi="仿宋" w:eastAsia="仿宋" w:cs="仿宋_GB2312"/>
        </w:rPr>
        <w:t>七、结余分配：指事业单位按规定提取的职工福利基金、事业基金和缴纳的所得税，以及建设单位按规定应交回的基本建设竣工项目结余资金。</w:t>
      </w:r>
    </w:p>
    <w:p>
      <w:pPr>
        <w:ind w:firstLine="640" w:firstLineChars="200"/>
        <w:rPr>
          <w:rFonts w:ascii="仿宋" w:hAnsi="仿宋" w:eastAsia="仿宋" w:cs="仿宋_GB2312"/>
        </w:rPr>
      </w:pPr>
      <w:r>
        <w:rPr>
          <w:rFonts w:hint="eastAsia" w:ascii="仿宋" w:hAnsi="仿宋" w:eastAsia="仿宋" w:cs="仿宋_GB2312"/>
        </w:rPr>
        <w:t>八、年末结转和结余：指本年度或以前年度预算安排、因客观条件发生变化无法按原计划实施，需要延迟到以后年度按有关规定继续使用的资金。</w:t>
      </w:r>
    </w:p>
    <w:p>
      <w:pPr>
        <w:ind w:firstLine="640" w:firstLineChars="200"/>
        <w:rPr>
          <w:rFonts w:ascii="仿宋" w:hAnsi="仿宋" w:eastAsia="仿宋" w:cs="仿宋_GB2312"/>
        </w:rPr>
      </w:pPr>
      <w:r>
        <w:rPr>
          <w:rFonts w:hint="eastAsia" w:ascii="仿宋" w:hAnsi="仿宋" w:eastAsia="仿宋" w:cs="仿宋_GB2312"/>
        </w:rPr>
        <w:t>九、基本支出：指为保障机构正常运转、完成日常工作任务而发生的人员支出和公用支出。</w:t>
      </w:r>
    </w:p>
    <w:p>
      <w:pPr>
        <w:ind w:firstLine="640" w:firstLineChars="200"/>
        <w:rPr>
          <w:rFonts w:ascii="仿宋" w:hAnsi="仿宋" w:eastAsia="仿宋" w:cs="仿宋_GB2312"/>
        </w:rPr>
      </w:pPr>
      <w:r>
        <w:rPr>
          <w:rFonts w:hint="eastAsia" w:ascii="仿宋" w:hAnsi="仿宋" w:eastAsia="仿宋" w:cs="仿宋_GB2312"/>
        </w:rPr>
        <w:t>十、项目支出：指在基本支出之外为完成特定行政任务和事业发展目标所发生的支出。</w:t>
      </w:r>
    </w:p>
    <w:p>
      <w:pPr>
        <w:ind w:firstLine="640" w:firstLineChars="200"/>
        <w:rPr>
          <w:rFonts w:ascii="仿宋" w:hAnsi="仿宋" w:eastAsia="仿宋" w:cs="仿宋_GB2312"/>
        </w:rPr>
      </w:pPr>
      <w:r>
        <w:rPr>
          <w:rFonts w:hint="eastAsia" w:ascii="仿宋" w:hAnsi="仿宋" w:eastAsia="仿宋" w:cs="仿宋_GB2312"/>
        </w:rPr>
        <w:t>十一、经营支出：指事业单位在专业业务活动及其辅助活动之外开展非独立核算经营活动发生的支出。</w:t>
      </w:r>
    </w:p>
    <w:p>
      <w:pPr>
        <w:ind w:firstLine="640" w:firstLineChars="200"/>
        <w:rPr>
          <w:rFonts w:ascii="仿宋" w:hAnsi="仿宋" w:eastAsia="仿宋" w:cs="仿宋_GB2312"/>
        </w:rPr>
      </w:pPr>
      <w:r>
        <w:rPr>
          <w:rFonts w:hint="eastAsia" w:ascii="仿宋" w:hAnsi="仿宋" w:eastAsia="仿宋" w:cs="仿宋_GB2312"/>
        </w:rPr>
        <w:t>十二、“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ascii="仿宋" w:hAnsi="仿宋" w:eastAsia="仿宋" w:cs="仿宋_GB2312"/>
        </w:rPr>
      </w:pPr>
      <w:r>
        <w:rPr>
          <w:rFonts w:hint="eastAsia" w:ascii="仿宋" w:hAnsi="仿宋" w:eastAsia="仿宋" w:cs="仿宋_GB231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 w:hAnsi="仿宋" w:eastAsia="仿宋" w:cs="仿宋_GB2312"/>
        </w:rPr>
      </w:pPr>
      <w:r>
        <w:rPr>
          <w:rFonts w:hint="eastAsia" w:ascii="仿宋" w:hAnsi="仿宋" w:eastAsia="仿宋" w:cs="仿宋_GB2312"/>
        </w:rPr>
        <w:t>十四、一般公共服务支出：指政府提供一般公共服务的支出</w:t>
      </w:r>
    </w:p>
    <w:p>
      <w:pPr>
        <w:ind w:firstLine="640" w:firstLineChars="200"/>
        <w:rPr>
          <w:rFonts w:ascii="仿宋" w:hAnsi="仿宋" w:eastAsia="仿宋" w:cs="仿宋_GB2312"/>
        </w:rPr>
      </w:pPr>
      <w:r>
        <w:rPr>
          <w:rFonts w:hint="eastAsia" w:ascii="仿宋" w:hAnsi="仿宋" w:eastAsia="仿宋" w:cs="仿宋_GB2312"/>
        </w:rPr>
        <w:t>十五、外交支出：反映政府外交事务支出。人大、政协、政府及所属各部门（除国家领导人、外交部门）的出国费、招待费列相关功能科目，不在本科目反映。</w:t>
      </w:r>
    </w:p>
    <w:p>
      <w:pPr>
        <w:ind w:firstLine="640" w:firstLineChars="200"/>
        <w:rPr>
          <w:rFonts w:ascii="仿宋" w:hAnsi="仿宋" w:eastAsia="仿宋" w:cs="仿宋_GB2312"/>
        </w:rPr>
      </w:pPr>
      <w:r>
        <w:rPr>
          <w:rFonts w:hint="eastAsia" w:ascii="仿宋" w:hAnsi="仿宋" w:eastAsia="仿宋" w:cs="仿宋_GB2312"/>
        </w:rPr>
        <w:t>十六、教育支出:指政府教育事务支出</w:t>
      </w:r>
    </w:p>
    <w:p>
      <w:pPr>
        <w:ind w:firstLine="640" w:firstLineChars="200"/>
        <w:rPr>
          <w:rFonts w:ascii="仿宋" w:hAnsi="仿宋" w:eastAsia="仿宋" w:cs="仿宋_GB2312"/>
        </w:rPr>
      </w:pPr>
      <w:r>
        <w:rPr>
          <w:rFonts w:hint="eastAsia" w:ascii="仿宋" w:hAnsi="仿宋" w:eastAsia="仿宋" w:cs="仿宋_GB2312"/>
        </w:rPr>
        <w:t>十七、教育事务管理：指教育管理方面的支出</w:t>
      </w:r>
    </w:p>
    <w:p>
      <w:pPr>
        <w:ind w:firstLine="640" w:firstLineChars="200"/>
        <w:rPr>
          <w:rFonts w:ascii="仿宋" w:hAnsi="仿宋" w:eastAsia="仿宋" w:cs="仿宋_GB2312"/>
        </w:rPr>
      </w:pPr>
      <w:r>
        <w:rPr>
          <w:rFonts w:hint="eastAsia" w:ascii="仿宋" w:hAnsi="仿宋" w:eastAsia="仿宋" w:cs="仿宋_GB2312"/>
        </w:rPr>
        <w:t>十八、普通教育：指各类普通教育支出。包括学前教育、小学教育、初中教育、高中教育、高等教育、其他普通教育支出。</w:t>
      </w:r>
    </w:p>
    <w:p>
      <w:pPr>
        <w:ind w:firstLine="640" w:firstLineChars="200"/>
        <w:rPr>
          <w:rFonts w:ascii="仿宋" w:hAnsi="仿宋" w:eastAsia="仿宋" w:cs="仿宋_GB2312"/>
        </w:rPr>
      </w:pPr>
      <w:r>
        <w:rPr>
          <w:rFonts w:hint="eastAsia" w:ascii="仿宋" w:hAnsi="仿宋" w:eastAsia="仿宋" w:cs="仿宋_GB2312"/>
        </w:rPr>
        <w:t>十九、职业教育：指教育厅部门举办的各类职业教育支出。包括中专教育、技校教育和高等职业教育支出。</w:t>
      </w:r>
    </w:p>
    <w:p>
      <w:pPr>
        <w:ind w:firstLine="640" w:firstLineChars="200"/>
        <w:rPr>
          <w:rFonts w:ascii="仿宋" w:hAnsi="仿宋" w:eastAsia="仿宋" w:cs="仿宋_GB2312"/>
        </w:rPr>
      </w:pPr>
      <w:r>
        <w:rPr>
          <w:rFonts w:hint="eastAsia" w:ascii="仿宋" w:hAnsi="仿宋" w:eastAsia="仿宋" w:cs="仿宋_GB2312"/>
        </w:rPr>
        <w:t>二十、广播电视教育：指广播电视学校支出。</w:t>
      </w:r>
    </w:p>
    <w:p>
      <w:pPr>
        <w:ind w:firstLine="640" w:firstLineChars="200"/>
        <w:rPr>
          <w:rFonts w:ascii="仿宋" w:hAnsi="仿宋" w:eastAsia="仿宋" w:cs="仿宋_GB2312"/>
        </w:rPr>
      </w:pPr>
      <w:r>
        <w:rPr>
          <w:rFonts w:hint="eastAsia" w:ascii="仿宋" w:hAnsi="仿宋" w:eastAsia="仿宋" w:cs="仿宋_GB2312"/>
        </w:rPr>
        <w:t>二十一、留学教育：指资助来华留学生支出和其他用于留学教育方面的支出。</w:t>
      </w:r>
    </w:p>
    <w:p>
      <w:pPr>
        <w:ind w:firstLine="640" w:firstLineChars="200"/>
        <w:rPr>
          <w:rFonts w:ascii="仿宋" w:hAnsi="仿宋" w:eastAsia="仿宋" w:cs="仿宋_GB2312"/>
        </w:rPr>
      </w:pPr>
      <w:r>
        <w:rPr>
          <w:rFonts w:hint="eastAsia" w:ascii="仿宋" w:hAnsi="仿宋" w:eastAsia="仿宋" w:cs="仿宋_GB2312"/>
        </w:rPr>
        <w:t>二十二、进修及培训：指教师进修，师资培训支出。</w:t>
      </w:r>
    </w:p>
    <w:p>
      <w:pPr>
        <w:ind w:firstLine="640" w:firstLineChars="200"/>
        <w:rPr>
          <w:rFonts w:ascii="仿宋" w:hAnsi="仿宋" w:eastAsia="仿宋" w:cs="仿宋_GB2312"/>
        </w:rPr>
      </w:pPr>
      <w:r>
        <w:rPr>
          <w:rFonts w:hint="eastAsia" w:ascii="仿宋" w:hAnsi="仿宋" w:eastAsia="仿宋" w:cs="仿宋_GB2312"/>
        </w:rPr>
        <w:t>二十三、其他教育支出：指上述项目以外其他用于教育方面的支出。</w:t>
      </w:r>
    </w:p>
    <w:p>
      <w:pPr>
        <w:ind w:firstLine="640" w:firstLineChars="200"/>
        <w:rPr>
          <w:rFonts w:ascii="仿宋" w:hAnsi="仿宋" w:eastAsia="仿宋" w:cs="仿宋_GB2312"/>
        </w:rPr>
      </w:pPr>
      <w:r>
        <w:rPr>
          <w:rFonts w:hint="eastAsia" w:ascii="仿宋" w:hAnsi="仿宋" w:eastAsia="仿宋" w:cs="仿宋_GB2312"/>
        </w:rPr>
        <w:t>二十四、科学技术支出：指用于科学技术方面的支出。</w:t>
      </w:r>
    </w:p>
    <w:p>
      <w:pPr>
        <w:ind w:firstLine="640" w:firstLineChars="200"/>
        <w:rPr>
          <w:rFonts w:ascii="仿宋" w:hAnsi="仿宋" w:eastAsia="仿宋" w:cs="仿宋_GB2312"/>
        </w:rPr>
      </w:pPr>
      <w:r>
        <w:rPr>
          <w:rFonts w:hint="eastAsia" w:ascii="仿宋" w:hAnsi="仿宋" w:eastAsia="仿宋" w:cs="仿宋_GB2312"/>
        </w:rPr>
        <w:t>二十五、文化旅游体育与传媒支出：反映政府在文化、旅游、文物、体育、广播电视、电影、新闻出版等方面的支出。</w:t>
      </w:r>
    </w:p>
    <w:p>
      <w:pPr>
        <w:ind w:firstLine="640" w:firstLineChars="200"/>
        <w:rPr>
          <w:rFonts w:ascii="仿宋" w:hAnsi="仿宋" w:eastAsia="仿宋" w:cs="仿宋_GB2312"/>
        </w:rPr>
      </w:pPr>
      <w:r>
        <w:rPr>
          <w:rFonts w:hint="eastAsia" w:ascii="仿宋" w:hAnsi="仿宋" w:eastAsia="仿宋" w:cs="仿宋_GB2312"/>
        </w:rPr>
        <w:t>二十六、社会保障和就业支出：指单位离退休方面的支出和用于优抚对象和优抚事业单位的支出。</w:t>
      </w:r>
    </w:p>
    <w:p>
      <w:pPr>
        <w:ind w:firstLine="640" w:firstLineChars="200"/>
        <w:rPr>
          <w:rFonts w:ascii="仿宋" w:hAnsi="仿宋" w:eastAsia="仿宋" w:cs="仿宋_GB2312"/>
        </w:rPr>
      </w:pPr>
      <w:r>
        <w:rPr>
          <w:rFonts w:hint="eastAsia" w:ascii="仿宋" w:hAnsi="仿宋" w:eastAsia="仿宋" w:cs="仿宋_GB2312"/>
        </w:rPr>
        <w:t>二十七、卫生健康支出：反映政府卫生健康方面的支出。</w:t>
      </w:r>
    </w:p>
    <w:p>
      <w:pPr>
        <w:ind w:firstLine="640" w:firstLineChars="200"/>
        <w:rPr>
          <w:rFonts w:ascii="仿宋" w:hAnsi="仿宋" w:eastAsia="仿宋" w:cs="仿宋_GB2312"/>
        </w:rPr>
      </w:pPr>
      <w:r>
        <w:rPr>
          <w:rFonts w:hint="eastAsia" w:ascii="仿宋" w:hAnsi="仿宋" w:eastAsia="仿宋" w:cs="仿宋_GB2312"/>
        </w:rPr>
        <w:t>二十八、农林水支出：指农业资源保护修复与利用、林业技术退广方面的支出。</w:t>
      </w:r>
    </w:p>
    <w:p>
      <w:pPr>
        <w:ind w:firstLine="640" w:firstLineChars="200"/>
        <w:rPr>
          <w:rFonts w:ascii="仿宋" w:hAnsi="仿宋" w:eastAsia="仿宋" w:cs="仿宋_GB2312"/>
        </w:rPr>
      </w:pPr>
      <w:r>
        <w:rPr>
          <w:rFonts w:hint="eastAsia" w:ascii="仿宋" w:hAnsi="仿宋" w:eastAsia="仿宋" w:cs="仿宋_GB2312"/>
        </w:rPr>
        <w:t>二十九、自然资源海洋气象等支出：反映政府用于自然资源、海洋、测绘、气象等公益服务事业方面的支出。</w:t>
      </w:r>
    </w:p>
    <w:p>
      <w:pPr>
        <w:ind w:firstLine="640" w:firstLineChars="200"/>
        <w:rPr>
          <w:rFonts w:ascii="仿宋" w:hAnsi="仿宋" w:eastAsia="仿宋" w:cs="仿宋_GB2312"/>
        </w:rPr>
      </w:pPr>
      <w:r>
        <w:rPr>
          <w:rFonts w:hint="eastAsia" w:ascii="仿宋" w:hAnsi="仿宋" w:eastAsia="仿宋" w:cs="仿宋_GB2312"/>
        </w:rPr>
        <w:t>三十、住房保障支出：指行政事业单位按人力资源和社会保障部、财政部规定的基本工资和津贴补贴以及规定比例为职工缴纳的住房公积金；按房改政策规定，行政事业单位向符合条件职工发放的用于购买住房的补贴。</w:t>
      </w:r>
    </w:p>
    <w:p>
      <w:pPr>
        <w:rPr>
          <w:rFonts w:ascii="仿宋" w:hAnsi="仿宋" w:eastAsia="仿宋"/>
        </w:rPr>
      </w:pPr>
    </w:p>
    <w:p>
      <w:pPr>
        <w:rPr>
          <w:rFonts w:ascii="仿宋" w:hAnsi="仿宋" w:eastAsia="仿宋"/>
        </w:rPr>
      </w:pPr>
    </w:p>
    <w:sectPr>
      <w:pgSz w:w="11906" w:h="16838"/>
      <w:pgMar w:top="1440" w:right="1797" w:bottom="1440" w:left="179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ˎ̥">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240" w:lineRule="auto"/>
    </w:pPr>
    <w:r>
      <w:rPr>
        <w:sz w:val="18"/>
      </w:rP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24</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109F8D"/>
    <w:multiLevelType w:val="singleLevel"/>
    <w:tmpl w:val="72109F8D"/>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ViY2JkMjU3NGYzZTEwMzZmMGFkZWViYmNkYWU3NDIifQ=="/>
  </w:docVars>
  <w:rsids>
    <w:rsidRoot w:val="00461C09"/>
    <w:rsid w:val="00051CEA"/>
    <w:rsid w:val="00113CD6"/>
    <w:rsid w:val="00251D05"/>
    <w:rsid w:val="003056FE"/>
    <w:rsid w:val="00306056"/>
    <w:rsid w:val="0037139B"/>
    <w:rsid w:val="00374116"/>
    <w:rsid w:val="003A4720"/>
    <w:rsid w:val="00461C09"/>
    <w:rsid w:val="004C3D4E"/>
    <w:rsid w:val="00501C2C"/>
    <w:rsid w:val="006C653B"/>
    <w:rsid w:val="00700A73"/>
    <w:rsid w:val="00736E9F"/>
    <w:rsid w:val="007F666C"/>
    <w:rsid w:val="008528F5"/>
    <w:rsid w:val="008D7E01"/>
    <w:rsid w:val="00986AE7"/>
    <w:rsid w:val="009922CD"/>
    <w:rsid w:val="009C22CB"/>
    <w:rsid w:val="009D6232"/>
    <w:rsid w:val="009F1B56"/>
    <w:rsid w:val="00A70C53"/>
    <w:rsid w:val="00B71570"/>
    <w:rsid w:val="00D76714"/>
    <w:rsid w:val="00E478AE"/>
    <w:rsid w:val="00FC15EB"/>
    <w:rsid w:val="00FF0191"/>
    <w:rsid w:val="01BF69A7"/>
    <w:rsid w:val="029D68AD"/>
    <w:rsid w:val="02CC2955"/>
    <w:rsid w:val="0C513EF6"/>
    <w:rsid w:val="0CEE6B82"/>
    <w:rsid w:val="16E55626"/>
    <w:rsid w:val="1A265E9C"/>
    <w:rsid w:val="1B481825"/>
    <w:rsid w:val="1E650DFA"/>
    <w:rsid w:val="1F1F08E7"/>
    <w:rsid w:val="1F3D574D"/>
    <w:rsid w:val="20B54B1F"/>
    <w:rsid w:val="2A6E7663"/>
    <w:rsid w:val="2B591CE7"/>
    <w:rsid w:val="2D7627BD"/>
    <w:rsid w:val="345319C9"/>
    <w:rsid w:val="39693A3D"/>
    <w:rsid w:val="3FFB43AD"/>
    <w:rsid w:val="41746C84"/>
    <w:rsid w:val="48CD65B2"/>
    <w:rsid w:val="4FD317B8"/>
    <w:rsid w:val="57C35AE3"/>
    <w:rsid w:val="5C36795D"/>
    <w:rsid w:val="5E3F2FC8"/>
    <w:rsid w:val="5FFFA0F3"/>
    <w:rsid w:val="64C71494"/>
    <w:rsid w:val="6B353A39"/>
    <w:rsid w:val="6CFF139A"/>
    <w:rsid w:val="6E5E4000"/>
    <w:rsid w:val="6EBB002F"/>
    <w:rsid w:val="712A64D4"/>
    <w:rsid w:val="7168138D"/>
    <w:rsid w:val="71AA5817"/>
    <w:rsid w:val="72022C34"/>
    <w:rsid w:val="726A345E"/>
    <w:rsid w:val="73667253"/>
    <w:rsid w:val="7ADC7DE7"/>
    <w:rsid w:val="7CA93838"/>
    <w:rsid w:val="7FF9104A"/>
    <w:rsid w:val="BBBFB40F"/>
    <w:rsid w:val="EBEF095B"/>
    <w:rsid w:val="FACDEA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pPr>
    <w:rPr>
      <w:rFonts w:ascii="宋体" w:hAnsi="宋体" w:eastAsia="仿宋_GB2312" w:cs="Times New Roman"/>
      <w:sz w:val="32"/>
      <w:szCs w:val="24"/>
      <w:lang w:val="en-US" w:eastAsia="zh-CN" w:bidi="ar-SA"/>
    </w:rPr>
  </w:style>
  <w:style w:type="paragraph" w:styleId="2">
    <w:name w:val="heading 1"/>
    <w:basedOn w:val="1"/>
    <w:next w:val="1"/>
    <w:link w:val="19"/>
    <w:qFormat/>
    <w:uiPriority w:val="0"/>
    <w:pPr>
      <w:keepNext/>
      <w:keepLines/>
      <w:spacing w:beforeLines="50" w:afterLines="50"/>
      <w:ind w:firstLine="880" w:firstLineChars="200"/>
      <w:jc w:val="center"/>
      <w:outlineLvl w:val="0"/>
    </w:pPr>
    <w:rPr>
      <w:rFonts w:eastAsia="黑体"/>
      <w:kern w:val="44"/>
    </w:rPr>
  </w:style>
  <w:style w:type="paragraph" w:styleId="3">
    <w:name w:val="heading 2"/>
    <w:basedOn w:val="1"/>
    <w:next w:val="1"/>
    <w:link w:val="18"/>
    <w:unhideWhenUsed/>
    <w:qFormat/>
    <w:uiPriority w:val="0"/>
    <w:pPr>
      <w:keepNext/>
      <w:keepLines/>
      <w:spacing w:beforeLines="50" w:afterLines="50"/>
      <w:ind w:firstLine="880" w:firstLineChars="200"/>
      <w:outlineLvl w:val="1"/>
    </w:pPr>
    <w:rPr>
      <w:rFonts w:ascii="Arial" w:hAnsi="Arial" w:eastAsia="楷体"/>
      <w:b/>
    </w:rPr>
  </w:style>
  <w:style w:type="paragraph" w:styleId="4">
    <w:name w:val="heading 3"/>
    <w:basedOn w:val="1"/>
    <w:next w:val="1"/>
    <w:link w:val="20"/>
    <w:unhideWhenUsed/>
    <w:qFormat/>
    <w:uiPriority w:val="0"/>
    <w:pPr>
      <w:keepNext/>
      <w:keepLines/>
      <w:spacing w:beforeLines="30" w:afterLines="30"/>
      <w:ind w:firstLine="880" w:firstLineChars="200"/>
      <w:outlineLvl w:val="2"/>
    </w:pPr>
    <w:rPr>
      <w:b/>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qFormat/>
    <w:uiPriority w:val="99"/>
    <w:pPr>
      <w:widowControl w:val="0"/>
      <w:jc w:val="both"/>
    </w:pPr>
    <w:rPr>
      <w:rFonts w:ascii="Times New Roman" w:hAnsi="Times New Roman" w:eastAsia="楷体_GB2312"/>
      <w:kern w:val="2"/>
      <w:szCs w:val="20"/>
    </w:rPr>
  </w:style>
  <w:style w:type="paragraph" w:styleId="6">
    <w:name w:val="toc 3"/>
    <w:basedOn w:val="1"/>
    <w:next w:val="1"/>
    <w:qFormat/>
    <w:uiPriority w:val="39"/>
    <w:pPr>
      <w:ind w:left="840" w:leftChars="400"/>
    </w:pPr>
  </w:style>
  <w:style w:type="paragraph" w:styleId="7">
    <w:name w:val="Balloon Text"/>
    <w:basedOn w:val="1"/>
    <w:link w:val="24"/>
    <w:qFormat/>
    <w:uiPriority w:val="0"/>
    <w:pPr>
      <w:spacing w:line="240" w:lineRule="auto"/>
    </w:pPr>
    <w:rPr>
      <w:sz w:val="18"/>
      <w:szCs w:val="18"/>
    </w:rPr>
  </w:style>
  <w:style w:type="paragraph" w:styleId="8">
    <w:name w:val="footer"/>
    <w:basedOn w:val="1"/>
    <w:qFormat/>
    <w:uiPriority w:val="99"/>
    <w:pPr>
      <w:tabs>
        <w:tab w:val="center" w:pos="4153"/>
        <w:tab w:val="right" w:pos="8306"/>
      </w:tabs>
      <w:snapToGrid w:val="0"/>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10">
    <w:name w:val="toc 1"/>
    <w:basedOn w:val="1"/>
    <w:next w:val="1"/>
    <w:qFormat/>
    <w:uiPriority w:val="39"/>
  </w:style>
  <w:style w:type="paragraph" w:styleId="11">
    <w:name w:val="toc 2"/>
    <w:basedOn w:val="1"/>
    <w:next w:val="1"/>
    <w:qFormat/>
    <w:uiPriority w:val="39"/>
    <w:pPr>
      <w:ind w:left="420" w:leftChars="200"/>
    </w:pPr>
  </w:style>
  <w:style w:type="paragraph" w:styleId="12">
    <w:name w:val="Normal (Web)"/>
    <w:basedOn w:val="1"/>
    <w:qFormat/>
    <w:uiPriority w:val="0"/>
    <w:pPr>
      <w:spacing w:before="100" w:beforeAutospacing="1" w:after="100" w:afterAutospacing="1"/>
    </w:pPr>
  </w:style>
  <w:style w:type="character" w:styleId="15">
    <w:name w:val="Hyperlink"/>
    <w:basedOn w:val="14"/>
    <w:unhideWhenUsed/>
    <w:qFormat/>
    <w:uiPriority w:val="99"/>
    <w:rPr>
      <w:color w:val="0026E5" w:themeColor="hyperlink"/>
      <w:u w:val="single"/>
    </w:rPr>
  </w:style>
  <w:style w:type="paragraph" w:customStyle="1" w:styleId="16">
    <w:name w:val="p0"/>
    <w:basedOn w:val="1"/>
    <w:qFormat/>
    <w:uiPriority w:val="99"/>
    <w:rPr>
      <w:rFonts w:ascii="仿宋_GB2312"/>
      <w:szCs w:val="32"/>
    </w:rPr>
  </w:style>
  <w:style w:type="paragraph" w:customStyle="1" w:styleId="17">
    <w:name w:val="p15"/>
    <w:basedOn w:val="1"/>
    <w:qFormat/>
    <w:uiPriority w:val="99"/>
    <w:rPr>
      <w:rFonts w:ascii="仿宋_GB2312"/>
      <w:szCs w:val="32"/>
    </w:rPr>
  </w:style>
  <w:style w:type="character" w:customStyle="1" w:styleId="18">
    <w:name w:val="标题 2 Char"/>
    <w:link w:val="3"/>
    <w:qFormat/>
    <w:uiPriority w:val="0"/>
    <w:rPr>
      <w:rFonts w:ascii="Arial" w:hAnsi="Arial" w:eastAsia="楷体"/>
      <w:b/>
      <w:sz w:val="32"/>
    </w:rPr>
  </w:style>
  <w:style w:type="character" w:customStyle="1" w:styleId="19">
    <w:name w:val="标题 1 Char"/>
    <w:link w:val="2"/>
    <w:qFormat/>
    <w:uiPriority w:val="0"/>
    <w:rPr>
      <w:rFonts w:eastAsia="黑体"/>
      <w:kern w:val="44"/>
      <w:sz w:val="32"/>
    </w:rPr>
  </w:style>
  <w:style w:type="character" w:customStyle="1" w:styleId="20">
    <w:name w:val="标题 3 Char"/>
    <w:link w:val="4"/>
    <w:qFormat/>
    <w:uiPriority w:val="0"/>
    <w:rPr>
      <w:rFonts w:eastAsia="仿宋_GB2312"/>
      <w:b/>
      <w:sz w:val="32"/>
    </w:rPr>
  </w:style>
  <w:style w:type="paragraph" w:customStyle="1" w:styleId="21">
    <w:name w:val="WPSOffice手动目录 1"/>
    <w:qFormat/>
    <w:uiPriority w:val="0"/>
    <w:rPr>
      <w:rFonts w:asciiTheme="minorHAnsi" w:hAnsiTheme="minorHAnsi" w:eastAsiaTheme="minorEastAsia" w:cstheme="minorBidi"/>
      <w:lang w:val="en-US" w:eastAsia="zh-CN" w:bidi="ar-SA"/>
    </w:rPr>
  </w:style>
  <w:style w:type="paragraph" w:customStyle="1" w:styleId="22">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23">
    <w:name w:val="WPSOffice手动目录 3"/>
    <w:qFormat/>
    <w:uiPriority w:val="0"/>
    <w:pPr>
      <w:ind w:left="400" w:leftChars="400"/>
    </w:pPr>
    <w:rPr>
      <w:rFonts w:asciiTheme="minorHAnsi" w:hAnsiTheme="minorHAnsi" w:eastAsiaTheme="minorEastAsia" w:cstheme="minorBidi"/>
      <w:lang w:val="en-US" w:eastAsia="zh-CN" w:bidi="ar-SA"/>
    </w:rPr>
  </w:style>
  <w:style w:type="character" w:customStyle="1" w:styleId="24">
    <w:name w:val="批注框文本 Char"/>
    <w:basedOn w:val="14"/>
    <w:link w:val="7"/>
    <w:qFormat/>
    <w:uiPriority w:val="0"/>
    <w:rPr>
      <w:rFonts w:ascii="宋体" w:hAnsi="宋体" w:eastAsia="仿宋_GB231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7"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62</Pages>
  <Words>5080</Words>
  <Characters>28962</Characters>
  <Lines>241</Lines>
  <Paragraphs>67</Paragraphs>
  <TotalTime>0</TotalTime>
  <ScaleCrop>false</ScaleCrop>
  <LinksUpToDate>false</LinksUpToDate>
  <CharactersWithSpaces>33975</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2023-08-23T14:52:00Z</dcterms:created>
  <dc:creator>赖桢国</dc:creator>
  <cp:lastModifiedBy>徐姝婕</cp:lastModifiedBy>
  <dcterms:modified xsi:type="dcterms:W3CDTF">2023-09-02T06:31:47Z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B7C2568FD0764F59AF5F8D8E31530A9D_12</vt:lpwstr>
  </property>
</Properties>
</file>