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C7A" w:rsidRDefault="001F115A">
      <w:pPr>
        <w:spacing w:before="100" w:beforeAutospacing="1" w:after="100" w:afterAutospacing="1"/>
        <w:jc w:val="center"/>
        <w:rPr>
          <w:rFonts w:ascii="黑体" w:eastAsia="黑体" w:hAnsi="ˎ̥"/>
          <w:sz w:val="44"/>
          <w:szCs w:val="44"/>
        </w:rPr>
      </w:pPr>
      <w:r>
        <w:rPr>
          <w:rFonts w:ascii="黑体" w:eastAsia="黑体" w:hAnsi="ˎ̥" w:hint="eastAsia"/>
          <w:sz w:val="44"/>
          <w:szCs w:val="44"/>
        </w:rPr>
        <w:t>海南软件职业技术学院</w:t>
      </w:r>
    </w:p>
    <w:p w:rsidR="007B3C7A" w:rsidRDefault="001F115A">
      <w:pPr>
        <w:spacing w:before="100" w:beforeAutospacing="1" w:after="100" w:afterAutospacing="1"/>
        <w:jc w:val="center"/>
        <w:rPr>
          <w:rFonts w:ascii="黑体" w:eastAsia="黑体" w:hAnsi="ˎ̥"/>
          <w:sz w:val="44"/>
          <w:szCs w:val="44"/>
        </w:rPr>
      </w:pPr>
      <w:r>
        <w:rPr>
          <w:rFonts w:ascii="黑体" w:eastAsia="黑体" w:hAnsi="ˎ̥" w:hint="eastAsia"/>
          <w:sz w:val="44"/>
          <w:szCs w:val="44"/>
        </w:rPr>
        <w:t>2022年度部门决算公开报告</w:t>
      </w:r>
    </w:p>
    <w:p w:rsidR="007B3C7A" w:rsidRDefault="007B3C7A">
      <w:pPr>
        <w:spacing w:before="100" w:beforeAutospacing="1" w:after="100" w:afterAutospacing="1"/>
        <w:jc w:val="center"/>
        <w:rPr>
          <w:rFonts w:ascii="黑体" w:eastAsia="黑体" w:hAnsi="ˎ̥"/>
          <w:b/>
          <w:sz w:val="32"/>
          <w:szCs w:val="32"/>
        </w:rPr>
      </w:pPr>
    </w:p>
    <w:p w:rsidR="007B3C7A" w:rsidRDefault="001F115A">
      <w:pPr>
        <w:spacing w:before="100" w:beforeAutospacing="1" w:after="100" w:afterAutospacing="1"/>
        <w:jc w:val="center"/>
        <w:rPr>
          <w:rFonts w:ascii="黑体" w:eastAsia="黑体" w:hAnsi="黑体" w:cs="黑体"/>
          <w:sz w:val="44"/>
          <w:szCs w:val="44"/>
        </w:rPr>
      </w:pPr>
      <w:bookmarkStart w:id="0" w:name="_Toc11440_WPSOffice_Type2"/>
      <w:r>
        <w:rPr>
          <w:rFonts w:ascii="黑体" w:eastAsia="黑体" w:hAnsi="黑体" w:cs="黑体" w:hint="eastAsia"/>
          <w:sz w:val="44"/>
          <w:szCs w:val="44"/>
        </w:rPr>
        <w:t>目  录</w:t>
      </w:r>
    </w:p>
    <w:p w:rsidR="007B3C7A" w:rsidRDefault="001F115A">
      <w:pPr>
        <w:pStyle w:val="wpsoffice1"/>
        <w:tabs>
          <w:tab w:val="right" w:leader="dot" w:pos="8306"/>
        </w:tabs>
        <w:jc w:val="center"/>
        <w:rPr>
          <w:sz w:val="32"/>
          <w:szCs w:val="32"/>
        </w:rPr>
      </w:pPr>
      <w:r>
        <w:rPr>
          <w:rFonts w:ascii="黑体" w:eastAsia="黑体" w:hAnsi="ˎ̥" w:hint="eastAsia"/>
          <w:sz w:val="32"/>
          <w:szCs w:val="32"/>
        </w:rPr>
        <w:t>第一部分 基本情况</w:t>
      </w:r>
      <w:r>
        <w:rPr>
          <w:rFonts w:hint="eastAsia"/>
          <w:sz w:val="32"/>
          <w:szCs w:val="32"/>
        </w:rPr>
        <w:tab/>
      </w:r>
      <w:r w:rsidR="00204802">
        <w:rPr>
          <w:rFonts w:hint="eastAsia"/>
          <w:sz w:val="32"/>
          <w:szCs w:val="32"/>
        </w:rPr>
        <w:t>3</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sz w:val="32"/>
          <w:szCs w:val="32"/>
        </w:rPr>
        <w:t>一、单位职责</w:t>
      </w:r>
      <w:r>
        <w:rPr>
          <w:rFonts w:ascii="仿宋" w:eastAsia="仿宋" w:hAnsi="仿宋" w:cs="仿宋" w:hint="eastAsia"/>
          <w:sz w:val="32"/>
          <w:szCs w:val="32"/>
        </w:rPr>
        <w:tab/>
      </w:r>
      <w:r w:rsidR="00204802">
        <w:rPr>
          <w:rFonts w:ascii="仿宋" w:eastAsia="仿宋" w:hAnsi="仿宋" w:cs="仿宋" w:hint="eastAsia"/>
          <w:sz w:val="32"/>
          <w:szCs w:val="32"/>
        </w:rPr>
        <w:t>3</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sz w:val="32"/>
          <w:szCs w:val="32"/>
        </w:rPr>
        <w:t>二、机构设置</w:t>
      </w:r>
      <w:r>
        <w:rPr>
          <w:rFonts w:ascii="仿宋" w:eastAsia="仿宋" w:hAnsi="仿宋" w:cs="仿宋" w:hint="eastAsia"/>
          <w:sz w:val="32"/>
          <w:szCs w:val="32"/>
        </w:rPr>
        <w:tab/>
        <w:t>3</w:t>
      </w:r>
    </w:p>
    <w:p w:rsidR="007B3C7A" w:rsidRDefault="001F115A">
      <w:pPr>
        <w:pStyle w:val="wpsoffice1"/>
        <w:tabs>
          <w:tab w:val="right" w:leader="dot" w:pos="8306"/>
        </w:tabs>
        <w:jc w:val="center"/>
        <w:rPr>
          <w:sz w:val="32"/>
          <w:szCs w:val="32"/>
        </w:rPr>
      </w:pPr>
      <w:r>
        <w:rPr>
          <w:rFonts w:ascii="黑体" w:eastAsia="黑体" w:hAnsi="ˎ̥" w:hint="eastAsia"/>
          <w:sz w:val="32"/>
          <w:szCs w:val="32"/>
        </w:rPr>
        <w:t>第二部分  2022年度部门决算公开表</w:t>
      </w:r>
      <w:r>
        <w:rPr>
          <w:rFonts w:hint="eastAsia"/>
          <w:sz w:val="32"/>
          <w:szCs w:val="32"/>
        </w:rPr>
        <w:tab/>
      </w:r>
      <w:r w:rsidR="00204802">
        <w:rPr>
          <w:rFonts w:hint="eastAsia"/>
          <w:sz w:val="32"/>
          <w:szCs w:val="32"/>
        </w:rPr>
        <w:t>4</w:t>
      </w:r>
    </w:p>
    <w:p w:rsidR="007B3C7A" w:rsidRDefault="001F115A">
      <w:pPr>
        <w:pStyle w:val="wpsoffice1"/>
        <w:tabs>
          <w:tab w:val="right" w:leader="dot" w:pos="8306"/>
        </w:tabs>
        <w:jc w:val="center"/>
        <w:rPr>
          <w:sz w:val="32"/>
          <w:szCs w:val="32"/>
        </w:rPr>
      </w:pPr>
      <w:r>
        <w:rPr>
          <w:rFonts w:ascii="黑体" w:eastAsia="黑体" w:hAnsi="黑体" w:cs="黑体" w:hint="eastAsia"/>
          <w:sz w:val="32"/>
          <w:szCs w:val="32"/>
        </w:rPr>
        <w:t>第三部分</w:t>
      </w:r>
      <w:r>
        <w:rPr>
          <w:rFonts w:hint="eastAsia"/>
          <w:sz w:val="32"/>
          <w:szCs w:val="32"/>
        </w:rPr>
        <w:t xml:space="preserve">  </w:t>
      </w:r>
      <w:r>
        <w:rPr>
          <w:rFonts w:ascii="黑体" w:eastAsia="黑体" w:hAnsi="ˎ̥" w:hint="eastAsia"/>
          <w:sz w:val="32"/>
          <w:szCs w:val="32"/>
        </w:rPr>
        <w:t>2022年度部门决算情况说明</w:t>
      </w:r>
      <w:r>
        <w:rPr>
          <w:rFonts w:hint="eastAsia"/>
          <w:sz w:val="32"/>
          <w:szCs w:val="32"/>
        </w:rPr>
        <w:tab/>
      </w:r>
      <w:r w:rsidR="00204802">
        <w:rPr>
          <w:rFonts w:hint="eastAsia"/>
          <w:sz w:val="32"/>
          <w:szCs w:val="32"/>
        </w:rPr>
        <w:t>5</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一、收入支出总体情况说明</w:t>
      </w:r>
      <w:r>
        <w:rPr>
          <w:rFonts w:ascii="仿宋" w:eastAsia="仿宋" w:hAnsi="仿宋" w:cs="仿宋" w:hint="eastAsia"/>
          <w:sz w:val="32"/>
          <w:szCs w:val="32"/>
        </w:rPr>
        <w:tab/>
      </w:r>
      <w:r w:rsidR="00204802">
        <w:rPr>
          <w:rFonts w:ascii="仿宋" w:eastAsia="仿宋" w:hAnsi="仿宋" w:cs="仿宋" w:hint="eastAsia"/>
          <w:sz w:val="32"/>
          <w:szCs w:val="32"/>
        </w:rPr>
        <w:t>5</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二、收入决算情况说明</w:t>
      </w:r>
      <w:r>
        <w:rPr>
          <w:rFonts w:ascii="仿宋" w:eastAsia="仿宋" w:hAnsi="仿宋" w:cs="仿宋" w:hint="eastAsia"/>
          <w:sz w:val="32"/>
          <w:szCs w:val="32"/>
        </w:rPr>
        <w:tab/>
        <w:t>5</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三、支出决算情况说明</w:t>
      </w:r>
      <w:r>
        <w:rPr>
          <w:rFonts w:ascii="仿宋" w:eastAsia="仿宋" w:hAnsi="仿宋" w:cs="仿宋" w:hint="eastAsia"/>
          <w:sz w:val="32"/>
          <w:szCs w:val="32"/>
        </w:rPr>
        <w:tab/>
      </w:r>
      <w:r w:rsidR="00204802">
        <w:rPr>
          <w:rFonts w:ascii="仿宋" w:eastAsia="仿宋" w:hAnsi="仿宋" w:cs="仿宋" w:hint="eastAsia"/>
          <w:sz w:val="32"/>
          <w:szCs w:val="32"/>
        </w:rPr>
        <w:t>6</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四、财政拨款收入支出决算情况说明</w:t>
      </w:r>
      <w:r>
        <w:rPr>
          <w:rFonts w:ascii="仿宋" w:eastAsia="仿宋" w:hAnsi="仿宋" w:cs="仿宋" w:hint="eastAsia"/>
          <w:sz w:val="32"/>
          <w:szCs w:val="32"/>
        </w:rPr>
        <w:tab/>
        <w:t>6</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五、一般公共预算财政拨款支出决算情况说明</w:t>
      </w:r>
      <w:r>
        <w:rPr>
          <w:rFonts w:ascii="仿宋" w:eastAsia="仿宋" w:hAnsi="仿宋" w:cs="仿宋" w:hint="eastAsia"/>
          <w:sz w:val="32"/>
          <w:szCs w:val="32"/>
        </w:rPr>
        <w:tab/>
      </w:r>
      <w:r w:rsidR="00204802">
        <w:rPr>
          <w:rFonts w:ascii="仿宋" w:eastAsia="仿宋" w:hAnsi="仿宋" w:cs="仿宋" w:hint="eastAsia"/>
          <w:sz w:val="32"/>
          <w:szCs w:val="32"/>
        </w:rPr>
        <w:t>7</w:t>
      </w:r>
    </w:p>
    <w:p w:rsidR="007B3C7A" w:rsidRDefault="001F115A">
      <w:pPr>
        <w:pStyle w:val="wpsoffice2"/>
        <w:tabs>
          <w:tab w:val="left" w:pos="7563"/>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lastRenderedPageBreak/>
        <w:t>六、一般公共预算财政拨款基本支出决算情况说明</w:t>
      </w:r>
      <w:r>
        <w:rPr>
          <w:rFonts w:ascii="仿宋" w:eastAsia="仿宋" w:hAnsi="仿宋" w:cs="仿宋" w:hint="eastAsia"/>
          <w:sz w:val="32"/>
          <w:szCs w:val="32"/>
        </w:rPr>
        <w:tab/>
      </w:r>
      <w:r>
        <w:rPr>
          <w:rFonts w:ascii="仿宋" w:eastAsia="仿宋" w:hAnsi="仿宋" w:cs="仿宋" w:hint="eastAsia"/>
          <w:sz w:val="32"/>
          <w:szCs w:val="32"/>
        </w:rPr>
        <w:tab/>
        <w:t>11</w:t>
      </w:r>
    </w:p>
    <w:p w:rsidR="007B3C7A" w:rsidRDefault="001F115A">
      <w:pPr>
        <w:pStyle w:val="wpsoffice2"/>
        <w:tabs>
          <w:tab w:val="left" w:pos="7926"/>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 xml:space="preserve"> 七、政府性基金预算财政拨款收入支出决算情况说明</w:t>
      </w:r>
      <w:r>
        <w:rPr>
          <w:rFonts w:ascii="仿宋" w:eastAsia="仿宋" w:hAnsi="仿宋" w:cs="仿宋" w:hint="eastAsia"/>
          <w:sz w:val="32"/>
          <w:szCs w:val="32"/>
        </w:rPr>
        <w:t>..1</w:t>
      </w:r>
      <w:r w:rsidR="00204802">
        <w:rPr>
          <w:rFonts w:ascii="仿宋" w:eastAsia="仿宋" w:hAnsi="仿宋" w:cs="仿宋" w:hint="eastAsia"/>
          <w:sz w:val="32"/>
          <w:szCs w:val="32"/>
        </w:rPr>
        <w:t>2</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 xml:space="preserve">  八、国有资本经营预算财政拨款收入支出决算情况说明..</w:t>
      </w:r>
      <w:r>
        <w:rPr>
          <w:rFonts w:ascii="仿宋" w:eastAsia="仿宋" w:hAnsi="仿宋" w:cs="仿宋" w:hint="eastAsia"/>
          <w:sz w:val="32"/>
          <w:szCs w:val="32"/>
        </w:rPr>
        <w:t>12</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九、财政拨款“三公”经费支出决算情况说明</w:t>
      </w:r>
      <w:r>
        <w:rPr>
          <w:rFonts w:ascii="仿宋" w:eastAsia="仿宋" w:hAnsi="仿宋" w:cs="仿宋" w:hint="eastAsia"/>
          <w:sz w:val="32"/>
          <w:szCs w:val="32"/>
        </w:rPr>
        <w:tab/>
        <w:t>1</w:t>
      </w:r>
      <w:r w:rsidR="007B5E6E">
        <w:rPr>
          <w:rFonts w:ascii="仿宋" w:eastAsia="仿宋" w:hAnsi="仿宋" w:cs="仿宋" w:hint="eastAsia"/>
          <w:sz w:val="32"/>
          <w:szCs w:val="32"/>
        </w:rPr>
        <w:t>3</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十、预算绩效情况说明</w:t>
      </w:r>
      <w:r>
        <w:rPr>
          <w:rFonts w:ascii="仿宋" w:eastAsia="仿宋" w:hAnsi="仿宋" w:cs="仿宋" w:hint="eastAsia"/>
          <w:sz w:val="32"/>
          <w:szCs w:val="32"/>
        </w:rPr>
        <w:tab/>
        <w:t>14</w:t>
      </w:r>
    </w:p>
    <w:p w:rsidR="007B3C7A" w:rsidRDefault="001F115A">
      <w:pPr>
        <w:pStyle w:val="wpsoffice2"/>
        <w:tabs>
          <w:tab w:val="right" w:leader="dot" w:pos="8306"/>
        </w:tabs>
        <w:ind w:left="200"/>
        <w:jc w:val="center"/>
        <w:rPr>
          <w:rFonts w:ascii="仿宋" w:eastAsia="仿宋" w:hAnsi="仿宋" w:cs="仿宋"/>
          <w:sz w:val="32"/>
          <w:szCs w:val="32"/>
        </w:rPr>
      </w:pPr>
      <w:r>
        <w:rPr>
          <w:rFonts w:ascii="仿宋" w:eastAsia="仿宋" w:hAnsi="仿宋" w:cs="仿宋" w:hint="eastAsia"/>
          <w:bCs/>
          <w:sz w:val="32"/>
          <w:szCs w:val="32"/>
        </w:rPr>
        <w:t>十一、其他重要事项情况说明</w:t>
      </w:r>
      <w:r>
        <w:rPr>
          <w:rFonts w:ascii="仿宋" w:eastAsia="仿宋" w:hAnsi="仿宋" w:cs="仿宋" w:hint="eastAsia"/>
          <w:sz w:val="32"/>
          <w:szCs w:val="32"/>
        </w:rPr>
        <w:tab/>
        <w:t>20</w:t>
      </w:r>
    </w:p>
    <w:p w:rsidR="007B3C7A" w:rsidRDefault="001F115A">
      <w:pPr>
        <w:pStyle w:val="wpsoffice1"/>
        <w:tabs>
          <w:tab w:val="right" w:leader="dot" w:pos="8306"/>
        </w:tabs>
        <w:jc w:val="center"/>
        <w:rPr>
          <w:rFonts w:ascii="黑体" w:eastAsia="黑体" w:hAnsi="ˎ̥"/>
          <w:b/>
          <w:sz w:val="32"/>
          <w:szCs w:val="32"/>
        </w:rPr>
      </w:pPr>
      <w:r>
        <w:rPr>
          <w:rFonts w:ascii="黑体" w:eastAsia="黑体" w:hAnsi="ˎ̥" w:hint="eastAsia"/>
          <w:sz w:val="32"/>
          <w:szCs w:val="32"/>
        </w:rPr>
        <w:t>第四部分  名词解释</w:t>
      </w:r>
      <w:r>
        <w:rPr>
          <w:rFonts w:hint="eastAsia"/>
          <w:sz w:val="32"/>
          <w:szCs w:val="32"/>
        </w:rPr>
        <w:tab/>
      </w:r>
      <w:bookmarkEnd w:id="0"/>
      <w:r>
        <w:rPr>
          <w:rFonts w:hint="eastAsia"/>
          <w:sz w:val="32"/>
          <w:szCs w:val="32"/>
        </w:rPr>
        <w:t>21</w:t>
      </w:r>
    </w:p>
    <w:p w:rsidR="007B3C7A" w:rsidRDefault="007B3C7A">
      <w:pPr>
        <w:spacing w:before="100" w:beforeAutospacing="1" w:after="100" w:afterAutospacing="1"/>
        <w:jc w:val="center"/>
        <w:rPr>
          <w:rFonts w:ascii="黑体" w:eastAsia="黑体" w:hAnsi="ˎ̥"/>
          <w:sz w:val="32"/>
          <w:szCs w:val="32"/>
        </w:rPr>
      </w:pPr>
      <w:bookmarkStart w:id="1" w:name="_Toc22941_WPSOffice_Level1"/>
      <w:bookmarkStart w:id="2" w:name="_Toc1704_WPSOffice_Level1"/>
      <w:bookmarkStart w:id="3" w:name="_Toc10049_WPSOffice_Level1"/>
      <w:bookmarkStart w:id="4" w:name="_Toc10720_WPSOffice_Level1"/>
      <w:bookmarkStart w:id="5" w:name="_Toc23465_WPSOffice_Level1"/>
      <w:bookmarkStart w:id="6" w:name="_Toc32433_WPSOffice_Level1"/>
      <w:bookmarkStart w:id="7" w:name="_Toc24238_WPSOffice_Level2"/>
      <w:bookmarkStart w:id="8" w:name="_Toc14159_WPSOffice_Level2"/>
      <w:bookmarkStart w:id="9" w:name="_Toc32622_WPSOffice_Level2"/>
      <w:bookmarkStart w:id="10" w:name="_Toc20274_WPSOffice_Level2"/>
      <w:bookmarkStart w:id="11" w:name="_Toc20205_WPSOffice_Level2"/>
      <w:bookmarkStart w:id="12" w:name="_Toc26580_WPSOffice_Level2"/>
    </w:p>
    <w:p w:rsidR="007B3C7A" w:rsidRDefault="007B3C7A">
      <w:pPr>
        <w:spacing w:before="100" w:beforeAutospacing="1" w:after="100" w:afterAutospacing="1"/>
        <w:jc w:val="center"/>
        <w:rPr>
          <w:rFonts w:ascii="黑体" w:eastAsia="黑体" w:hAnsi="ˎ̥"/>
          <w:sz w:val="32"/>
          <w:szCs w:val="32"/>
        </w:rPr>
      </w:pPr>
    </w:p>
    <w:p w:rsidR="007B3C7A" w:rsidRDefault="007B3C7A">
      <w:pPr>
        <w:spacing w:before="100" w:beforeAutospacing="1" w:after="100" w:afterAutospacing="1"/>
        <w:jc w:val="center"/>
        <w:rPr>
          <w:rFonts w:ascii="黑体" w:eastAsia="黑体" w:hAnsi="ˎ̥"/>
          <w:sz w:val="32"/>
          <w:szCs w:val="32"/>
        </w:rPr>
      </w:pPr>
    </w:p>
    <w:p w:rsidR="007B3C7A" w:rsidRDefault="007B3C7A">
      <w:pPr>
        <w:spacing w:before="100" w:beforeAutospacing="1" w:after="100" w:afterAutospacing="1"/>
        <w:jc w:val="center"/>
        <w:rPr>
          <w:rFonts w:ascii="黑体" w:eastAsia="黑体" w:hAnsi="ˎ̥"/>
          <w:sz w:val="32"/>
          <w:szCs w:val="32"/>
        </w:rPr>
      </w:pPr>
    </w:p>
    <w:p w:rsidR="007B3C7A" w:rsidRDefault="007B3C7A">
      <w:pPr>
        <w:spacing w:before="100" w:beforeAutospacing="1" w:after="100" w:afterAutospacing="1"/>
        <w:jc w:val="center"/>
        <w:rPr>
          <w:rFonts w:ascii="黑体" w:eastAsia="黑体" w:hAnsi="ˎ̥"/>
          <w:sz w:val="32"/>
          <w:szCs w:val="32"/>
        </w:rPr>
      </w:pPr>
    </w:p>
    <w:p w:rsidR="007B3C7A" w:rsidRDefault="007B3C7A">
      <w:pPr>
        <w:spacing w:before="100" w:beforeAutospacing="1" w:after="100" w:afterAutospacing="1"/>
        <w:jc w:val="center"/>
        <w:rPr>
          <w:rFonts w:ascii="黑体" w:eastAsia="黑体" w:hAnsi="ˎ̥"/>
          <w:sz w:val="32"/>
          <w:szCs w:val="32"/>
        </w:rPr>
      </w:pPr>
    </w:p>
    <w:p w:rsidR="007B3C7A" w:rsidRDefault="007B3C7A">
      <w:pPr>
        <w:spacing w:before="100" w:beforeAutospacing="1" w:after="100" w:afterAutospacing="1"/>
        <w:jc w:val="center"/>
        <w:rPr>
          <w:rFonts w:ascii="黑体" w:eastAsia="黑体" w:hAnsi="ˎ̥"/>
          <w:sz w:val="32"/>
          <w:szCs w:val="32"/>
        </w:rPr>
      </w:pPr>
    </w:p>
    <w:p w:rsidR="007B3C7A" w:rsidRDefault="001F115A">
      <w:pPr>
        <w:spacing w:before="100" w:beforeAutospacing="1" w:after="100" w:afterAutospacing="1"/>
        <w:jc w:val="center"/>
        <w:rPr>
          <w:rFonts w:ascii="黑体" w:eastAsia="黑体" w:hAnsi="ˎ̥"/>
          <w:sz w:val="32"/>
          <w:szCs w:val="32"/>
        </w:rPr>
      </w:pPr>
      <w:r>
        <w:rPr>
          <w:rFonts w:ascii="黑体" w:eastAsia="黑体" w:hAnsi="ˎ̥" w:hint="eastAsia"/>
          <w:sz w:val="32"/>
          <w:szCs w:val="32"/>
        </w:rPr>
        <w:lastRenderedPageBreak/>
        <w:t xml:space="preserve">第一部分  </w:t>
      </w:r>
      <w:bookmarkEnd w:id="1"/>
      <w:bookmarkEnd w:id="2"/>
      <w:bookmarkEnd w:id="3"/>
      <w:bookmarkEnd w:id="4"/>
      <w:bookmarkEnd w:id="5"/>
      <w:bookmarkEnd w:id="6"/>
      <w:r>
        <w:rPr>
          <w:rFonts w:ascii="黑体" w:eastAsia="黑体" w:hAnsi="ˎ̥" w:hint="eastAsia"/>
          <w:sz w:val="32"/>
          <w:szCs w:val="32"/>
        </w:rPr>
        <w:t>基本情况</w:t>
      </w:r>
    </w:p>
    <w:p w:rsidR="007B3C7A" w:rsidRDefault="001F115A">
      <w:pPr>
        <w:spacing w:before="100" w:beforeAutospacing="1" w:after="100" w:afterAutospacing="1"/>
        <w:ind w:firstLineChars="200" w:firstLine="640"/>
        <w:rPr>
          <w:rFonts w:ascii="黑体" w:eastAsia="黑体" w:hAnsi="黑体" w:cs="黑体"/>
          <w:sz w:val="32"/>
          <w:szCs w:val="32"/>
        </w:rPr>
      </w:pPr>
      <w:r>
        <w:rPr>
          <w:rFonts w:ascii="黑体" w:eastAsia="黑体" w:hAnsi="黑体" w:cs="黑体" w:hint="eastAsia"/>
          <w:sz w:val="32"/>
          <w:szCs w:val="32"/>
        </w:rPr>
        <w:t>一、</w:t>
      </w:r>
      <w:bookmarkEnd w:id="7"/>
      <w:r>
        <w:rPr>
          <w:rFonts w:ascii="黑体" w:eastAsia="黑体" w:hAnsi="黑体" w:cs="黑体" w:hint="eastAsia"/>
          <w:sz w:val="32"/>
          <w:szCs w:val="32"/>
        </w:rPr>
        <w:t>单位职责</w:t>
      </w:r>
      <w:bookmarkEnd w:id="8"/>
      <w:bookmarkEnd w:id="9"/>
      <w:bookmarkEnd w:id="10"/>
      <w:bookmarkEnd w:id="11"/>
      <w:bookmarkEnd w:id="12"/>
    </w:p>
    <w:p w:rsidR="00DD5BA7" w:rsidRPr="00DD5BA7" w:rsidRDefault="00DD5BA7" w:rsidP="00DD5BA7">
      <w:pPr>
        <w:spacing w:before="100" w:beforeAutospacing="1" w:after="100" w:afterAutospacing="1"/>
        <w:ind w:firstLineChars="200" w:firstLine="640"/>
        <w:rPr>
          <w:rFonts w:ascii="仿宋_GB2312" w:eastAsia="仿宋_GB2312" w:hAnsi="ˎ̥" w:cs="仿宋_GB2312"/>
          <w:sz w:val="32"/>
          <w:szCs w:val="32"/>
          <w:shd w:val="clear" w:color="auto" w:fill="FFFFFF"/>
        </w:rPr>
      </w:pPr>
      <w:bookmarkStart w:id="13" w:name="_Toc6572_WPSOffice_Level2"/>
      <w:bookmarkStart w:id="14" w:name="_Toc24059_WPSOffice_Level2"/>
      <w:bookmarkStart w:id="15" w:name="_Toc24474_WPSOffice_Level2"/>
      <w:bookmarkStart w:id="16" w:name="_Toc4833_WPSOffice_Level2"/>
      <w:bookmarkStart w:id="17" w:name="_Toc17796_WPSOffice_Level2"/>
      <w:r w:rsidRPr="00DD5BA7">
        <w:rPr>
          <w:rFonts w:ascii="仿宋_GB2312" w:eastAsia="仿宋_GB2312" w:hAnsi="ˎ̥" w:cs="仿宋_GB2312" w:hint="eastAsia"/>
          <w:sz w:val="32"/>
          <w:szCs w:val="32"/>
          <w:shd w:val="clear" w:color="auto" w:fill="FFFFFF"/>
        </w:rPr>
        <w:t>（一）按照《中华人民共和国高等教育法》《中华人民共和国职业教育法》等法律法规规定开展高等教育工作。</w:t>
      </w:r>
    </w:p>
    <w:p w:rsidR="00DD5BA7" w:rsidRPr="00DD5BA7" w:rsidRDefault="00DD5BA7" w:rsidP="00DD5BA7">
      <w:pPr>
        <w:spacing w:before="100" w:beforeAutospacing="1" w:after="100" w:afterAutospacing="1"/>
        <w:ind w:firstLineChars="200" w:firstLine="640"/>
        <w:rPr>
          <w:rFonts w:ascii="仿宋_GB2312" w:eastAsia="仿宋_GB2312" w:hAnsi="ˎ̥" w:cs="仿宋_GB2312"/>
          <w:sz w:val="32"/>
          <w:szCs w:val="32"/>
          <w:shd w:val="clear" w:color="auto" w:fill="FFFFFF"/>
        </w:rPr>
      </w:pPr>
      <w:r w:rsidRPr="00DD5BA7">
        <w:rPr>
          <w:rFonts w:ascii="仿宋_GB2312" w:eastAsia="仿宋_GB2312" w:hAnsi="ˎ̥" w:cs="仿宋_GB2312" w:hint="eastAsia"/>
          <w:sz w:val="32"/>
          <w:szCs w:val="32"/>
          <w:shd w:val="clear" w:color="auto" w:fill="FFFFFF"/>
        </w:rPr>
        <w:t>（二）承担软件技术人才和我省小学信息技术教师师资的培养、培训工作。</w:t>
      </w:r>
    </w:p>
    <w:p w:rsidR="006C5CEB" w:rsidRDefault="00DD5BA7" w:rsidP="00DD5BA7">
      <w:pPr>
        <w:spacing w:before="100" w:beforeAutospacing="1" w:after="100" w:afterAutospacing="1"/>
        <w:ind w:firstLineChars="200" w:firstLine="640"/>
        <w:rPr>
          <w:rFonts w:ascii="仿宋_GB2312" w:eastAsia="仿宋_GB2312" w:hAnsi="ˎ̥" w:cs="仿宋_GB2312"/>
          <w:sz w:val="32"/>
          <w:szCs w:val="32"/>
          <w:shd w:val="clear" w:color="auto" w:fill="FFFFFF"/>
        </w:rPr>
      </w:pPr>
      <w:r w:rsidRPr="00DD5BA7">
        <w:rPr>
          <w:rFonts w:ascii="仿宋_GB2312" w:eastAsia="仿宋_GB2312" w:hAnsi="ˎ̥" w:cs="仿宋_GB2312" w:hint="eastAsia"/>
          <w:sz w:val="32"/>
          <w:szCs w:val="32"/>
          <w:shd w:val="clear" w:color="auto" w:fill="FFFFFF"/>
        </w:rPr>
        <w:t>（三）承办上级主管部门交办的其他工作。</w:t>
      </w:r>
    </w:p>
    <w:p w:rsidR="007B3C7A" w:rsidRDefault="001F115A" w:rsidP="006C5CEB">
      <w:pPr>
        <w:spacing w:before="100" w:beforeAutospacing="1" w:after="100" w:afterAutospacing="1"/>
        <w:ind w:firstLineChars="200" w:firstLine="640"/>
        <w:rPr>
          <w:rFonts w:ascii="黑体" w:eastAsia="黑体" w:hAnsi="黑体" w:cs="黑体"/>
          <w:sz w:val="32"/>
          <w:szCs w:val="32"/>
        </w:rPr>
      </w:pPr>
      <w:r>
        <w:rPr>
          <w:rFonts w:ascii="黑体" w:eastAsia="黑体" w:hAnsi="黑体" w:cs="黑体" w:hint="eastAsia"/>
          <w:sz w:val="32"/>
          <w:szCs w:val="32"/>
        </w:rPr>
        <w:t>二、机构设置</w:t>
      </w:r>
      <w:bookmarkEnd w:id="13"/>
      <w:bookmarkEnd w:id="14"/>
      <w:bookmarkEnd w:id="15"/>
      <w:bookmarkEnd w:id="16"/>
      <w:bookmarkEnd w:id="17"/>
    </w:p>
    <w:p w:rsidR="00E553A0" w:rsidRDefault="001F115A" w:rsidP="00E553A0">
      <w:pPr>
        <w:snapToGrid w:val="0"/>
        <w:spacing w:line="560" w:lineRule="exact"/>
        <w:ind w:firstLineChars="200" w:firstLine="640"/>
        <w:rPr>
          <w:rFonts w:ascii="仿宋_GB2312" w:eastAsia="仿宋_GB2312" w:hAnsi="ˎ̥" w:cs="仿宋_GB2312"/>
          <w:sz w:val="32"/>
          <w:szCs w:val="32"/>
          <w:shd w:val="clear" w:color="auto" w:fill="FFFFFF"/>
        </w:rPr>
      </w:pPr>
      <w:r w:rsidRPr="006C5CEB">
        <w:rPr>
          <w:rFonts w:ascii="仿宋_GB2312" w:eastAsia="仿宋_GB2312" w:hAnsi="ˎ̥" w:cs="仿宋_GB2312" w:hint="eastAsia"/>
          <w:sz w:val="32"/>
          <w:szCs w:val="32"/>
          <w:shd w:val="clear" w:color="auto" w:fill="FFFFFF"/>
        </w:rPr>
        <w:t>纳入2022年度部门决算编制范围的单位共1个：海南软件职业技术学院</w:t>
      </w:r>
      <w:r w:rsidR="00E553A0">
        <w:rPr>
          <w:rFonts w:ascii="仿宋_GB2312" w:eastAsia="仿宋_GB2312" w:hAnsi="ˎ̥" w:cs="仿宋_GB2312" w:hint="eastAsia"/>
          <w:sz w:val="32"/>
          <w:szCs w:val="32"/>
          <w:shd w:val="clear" w:color="auto" w:fill="FFFFFF"/>
        </w:rPr>
        <w:t>。</w:t>
      </w:r>
    </w:p>
    <w:p w:rsidR="007B3C7A" w:rsidRPr="00036438" w:rsidRDefault="00E553A0" w:rsidP="00E553A0">
      <w:pPr>
        <w:snapToGrid w:val="0"/>
        <w:spacing w:line="560" w:lineRule="exact"/>
        <w:ind w:firstLineChars="200" w:firstLine="640"/>
        <w:rPr>
          <w:rFonts w:ascii="仿宋_GB2312" w:eastAsia="仿宋_GB2312" w:hAnsi="ˎ̥" w:cs="仿宋_GB2312"/>
          <w:sz w:val="32"/>
          <w:szCs w:val="32"/>
          <w:shd w:val="clear" w:color="auto" w:fill="FFFFFF"/>
        </w:rPr>
      </w:pPr>
      <w:r w:rsidRPr="00036438">
        <w:rPr>
          <w:rFonts w:ascii="仿宋_GB2312" w:eastAsia="仿宋_GB2312" w:hAnsi="ˎ̥" w:cs="仿宋_GB2312" w:hint="eastAsia"/>
          <w:sz w:val="32"/>
          <w:szCs w:val="32"/>
          <w:shd w:val="clear" w:color="auto" w:fill="FFFFFF"/>
        </w:rPr>
        <w:t xml:space="preserve">学校内设管理机构数为 10 个，分别为党政办公室（审计处）、组织人事处（教师发展中心）、宣传统战部、学生工作部（学生工作处、人民武装部、学生资助管理中心）、纪检监察处、教务处、财务处、招生与就业创业处（校友办公室、就业指导中心、创业中心）、产学研合作处、后勤处。群团组织为2个，分别为工会和团委。学校教辅机构为 7 </w:t>
      </w:r>
      <w:proofErr w:type="gramStart"/>
      <w:r w:rsidRPr="00036438">
        <w:rPr>
          <w:rFonts w:ascii="仿宋_GB2312" w:eastAsia="仿宋_GB2312" w:hAnsi="ˎ̥" w:cs="仿宋_GB2312" w:hint="eastAsia"/>
          <w:sz w:val="32"/>
          <w:szCs w:val="32"/>
          <w:shd w:val="clear" w:color="auto" w:fill="FFFFFF"/>
        </w:rPr>
        <w:t>个</w:t>
      </w:r>
      <w:proofErr w:type="gramEnd"/>
      <w:r w:rsidRPr="00036438">
        <w:rPr>
          <w:rFonts w:ascii="仿宋_GB2312" w:eastAsia="仿宋_GB2312" w:hAnsi="ˎ̥" w:cs="仿宋_GB2312" w:hint="eastAsia"/>
          <w:sz w:val="32"/>
          <w:szCs w:val="32"/>
          <w:shd w:val="clear" w:color="auto" w:fill="FFFFFF"/>
        </w:rPr>
        <w:t>，分别为发展规划中心、质量监控中心（高等职业教育研究所）、继续教</w:t>
      </w:r>
      <w:r w:rsidRPr="00036438">
        <w:rPr>
          <w:rFonts w:ascii="仿宋_GB2312" w:eastAsia="仿宋_GB2312" w:hAnsi="ˎ̥" w:cs="仿宋_GB2312" w:hint="eastAsia"/>
          <w:sz w:val="32"/>
          <w:szCs w:val="32"/>
          <w:shd w:val="clear" w:color="auto" w:fill="FFFFFF"/>
        </w:rPr>
        <w:lastRenderedPageBreak/>
        <w:t>育部、信息技术中心、资产管理中心（采购管理办公室）、图书馆、国际合作交流中心。</w:t>
      </w:r>
    </w:p>
    <w:p w:rsidR="007B3C7A" w:rsidRDefault="001F115A">
      <w:pPr>
        <w:spacing w:before="100" w:beforeAutospacing="1" w:after="100" w:afterAutospacing="1"/>
        <w:jc w:val="center"/>
        <w:rPr>
          <w:rFonts w:ascii="黑体" w:eastAsia="黑体" w:hAnsi="ˎ̥"/>
          <w:sz w:val="32"/>
          <w:szCs w:val="32"/>
        </w:rPr>
      </w:pPr>
      <w:bookmarkStart w:id="18" w:name="_Toc30690_WPSOffice_Level1"/>
      <w:bookmarkStart w:id="19" w:name="_Toc6234_WPSOffice_Level1"/>
      <w:bookmarkStart w:id="20" w:name="_Toc28253_WPSOffice_Level1"/>
      <w:bookmarkStart w:id="21" w:name="_Toc30451_WPSOffice_Level1"/>
      <w:bookmarkStart w:id="22" w:name="_Toc15521_WPSOffice_Level1"/>
      <w:bookmarkStart w:id="23" w:name="_Toc8164_WPSOffice_Level1"/>
      <w:bookmarkStart w:id="24" w:name="_Toc32695_WPSOffice_Level2"/>
      <w:bookmarkStart w:id="25" w:name="_Toc4029_WPSOffice_Level2"/>
      <w:bookmarkStart w:id="26" w:name="_Toc32472_WPSOffice_Level2"/>
      <w:bookmarkStart w:id="27" w:name="_Toc11518_WPSOffice_Level2"/>
      <w:bookmarkStart w:id="28" w:name="_Toc6211_WPSOffice_Level2"/>
      <w:bookmarkStart w:id="29" w:name="_Toc8867_WPSOffice_Level2"/>
      <w:r>
        <w:rPr>
          <w:rFonts w:ascii="黑体" w:eastAsia="黑体" w:hAnsi="ˎ̥" w:hint="eastAsia"/>
          <w:sz w:val="32"/>
          <w:szCs w:val="32"/>
        </w:rPr>
        <w:t>第二部分  2022年度部门决算公开报表</w:t>
      </w:r>
      <w:bookmarkEnd w:id="18"/>
      <w:bookmarkEnd w:id="19"/>
      <w:bookmarkEnd w:id="20"/>
      <w:bookmarkEnd w:id="21"/>
      <w:bookmarkEnd w:id="22"/>
      <w:bookmarkEnd w:id="23"/>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一、收入支出决算公开表</w:t>
      </w:r>
      <w:bookmarkEnd w:id="24"/>
      <w:bookmarkEnd w:id="25"/>
      <w:bookmarkEnd w:id="26"/>
      <w:bookmarkEnd w:id="27"/>
      <w:bookmarkEnd w:id="28"/>
      <w:bookmarkEnd w:id="29"/>
    </w:p>
    <w:p w:rsidR="007B3C7A" w:rsidRDefault="001F115A">
      <w:pPr>
        <w:spacing w:before="100" w:beforeAutospacing="1" w:after="100" w:afterAutospacing="1"/>
        <w:ind w:firstLine="645"/>
        <w:rPr>
          <w:rFonts w:ascii="黑体" w:eastAsia="黑体" w:hAnsi="黑体" w:cs="黑体"/>
          <w:sz w:val="32"/>
          <w:szCs w:val="32"/>
        </w:rPr>
      </w:pPr>
      <w:bookmarkStart w:id="30" w:name="_Toc30334_WPSOffice_Level2"/>
      <w:bookmarkStart w:id="31" w:name="_Toc23139_WPSOffice_Level2"/>
      <w:bookmarkStart w:id="32" w:name="_Toc28622_WPSOffice_Level2"/>
      <w:bookmarkStart w:id="33" w:name="_Toc14349_WPSOffice_Level2"/>
      <w:bookmarkStart w:id="34" w:name="_Toc26621_WPSOffice_Level2"/>
      <w:bookmarkStart w:id="35" w:name="_Toc25608_WPSOffice_Level2"/>
      <w:r>
        <w:rPr>
          <w:rFonts w:ascii="黑体" w:eastAsia="黑体" w:hAnsi="黑体" w:cs="黑体" w:hint="eastAsia"/>
          <w:sz w:val="32"/>
          <w:szCs w:val="32"/>
        </w:rPr>
        <w:t>二、收入决算公开表</w:t>
      </w:r>
      <w:bookmarkStart w:id="36" w:name="_Toc17626_WPSOffice_Level2"/>
      <w:bookmarkStart w:id="37" w:name="_Toc14658_WPSOffice_Level2"/>
      <w:bookmarkStart w:id="38" w:name="_Toc3262_WPSOffice_Level2"/>
      <w:bookmarkStart w:id="39" w:name="_Toc17858_WPSOffice_Level2"/>
      <w:bookmarkStart w:id="40" w:name="_Toc13854_WPSOffice_Level2"/>
      <w:bookmarkStart w:id="41" w:name="_Toc5489_WPSOffice_Level2"/>
      <w:bookmarkStart w:id="42" w:name="_GoBack"/>
      <w:bookmarkEnd w:id="30"/>
      <w:bookmarkEnd w:id="31"/>
      <w:bookmarkEnd w:id="32"/>
      <w:bookmarkEnd w:id="33"/>
      <w:bookmarkEnd w:id="34"/>
      <w:bookmarkEnd w:id="35"/>
      <w:bookmarkEnd w:id="42"/>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三、支出决算公开表</w:t>
      </w:r>
      <w:bookmarkStart w:id="43" w:name="_Toc23591_WPSOffice_Level2"/>
      <w:bookmarkStart w:id="44" w:name="_Toc21415_WPSOffice_Level2"/>
      <w:bookmarkStart w:id="45" w:name="_Toc7988_WPSOffice_Level2"/>
      <w:bookmarkStart w:id="46" w:name="_Toc23493_WPSOffice_Level2"/>
      <w:bookmarkStart w:id="47" w:name="_Toc4265_WPSOffice_Level2"/>
      <w:bookmarkStart w:id="48" w:name="_Toc13701_WPSOffice_Level2"/>
      <w:bookmarkEnd w:id="36"/>
      <w:bookmarkEnd w:id="37"/>
      <w:bookmarkEnd w:id="38"/>
      <w:bookmarkEnd w:id="39"/>
      <w:bookmarkEnd w:id="40"/>
      <w:bookmarkEnd w:id="41"/>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四、财政拨款收入支出决算公开表</w:t>
      </w:r>
      <w:bookmarkEnd w:id="43"/>
      <w:bookmarkEnd w:id="44"/>
      <w:bookmarkEnd w:id="45"/>
      <w:bookmarkEnd w:id="46"/>
      <w:bookmarkEnd w:id="47"/>
      <w:bookmarkEnd w:id="48"/>
    </w:p>
    <w:p w:rsidR="007B3C7A" w:rsidRDefault="001F115A">
      <w:pPr>
        <w:spacing w:before="100" w:beforeAutospacing="1" w:after="100" w:afterAutospacing="1"/>
        <w:ind w:firstLine="645"/>
        <w:rPr>
          <w:rFonts w:ascii="黑体" w:eastAsia="黑体" w:hAnsi="黑体" w:cs="黑体"/>
          <w:sz w:val="32"/>
          <w:szCs w:val="32"/>
        </w:rPr>
      </w:pPr>
      <w:bookmarkStart w:id="49" w:name="_Toc22783_WPSOffice_Level2"/>
      <w:bookmarkStart w:id="50" w:name="_Toc25166_WPSOffice_Level2"/>
      <w:bookmarkStart w:id="51" w:name="_Toc7879_WPSOffice_Level2"/>
      <w:bookmarkStart w:id="52" w:name="_Toc23829_WPSOffice_Level2"/>
      <w:bookmarkStart w:id="53" w:name="_Toc2158_WPSOffice_Level2"/>
      <w:bookmarkStart w:id="54" w:name="_Toc13516_WPSOffice_Level2"/>
      <w:r>
        <w:rPr>
          <w:rFonts w:ascii="黑体" w:eastAsia="黑体" w:hAnsi="黑体" w:cs="黑体" w:hint="eastAsia"/>
          <w:sz w:val="32"/>
          <w:szCs w:val="32"/>
        </w:rPr>
        <w:t>五、一般公共预算财政拨款收入支出决算</w:t>
      </w:r>
      <w:bookmarkEnd w:id="49"/>
      <w:bookmarkEnd w:id="50"/>
      <w:bookmarkEnd w:id="51"/>
      <w:bookmarkEnd w:id="52"/>
      <w:r>
        <w:rPr>
          <w:rFonts w:ascii="黑体" w:eastAsia="黑体" w:hAnsi="黑体" w:cs="黑体" w:hint="eastAsia"/>
          <w:sz w:val="32"/>
          <w:szCs w:val="32"/>
        </w:rPr>
        <w:t>公开表</w:t>
      </w:r>
      <w:bookmarkStart w:id="55" w:name="_Toc5343_WPSOffice_Level2"/>
      <w:bookmarkStart w:id="56" w:name="_Toc17833_WPSOffice_Level2"/>
      <w:bookmarkStart w:id="57" w:name="_Toc25362_WPSOffice_Level2"/>
      <w:bookmarkStart w:id="58" w:name="_Toc17283_WPSOffice_Level2"/>
      <w:bookmarkStart w:id="59" w:name="_Toc8373_WPSOffice_Level2"/>
      <w:bookmarkStart w:id="60" w:name="_Toc2632_WPSOffice_Level2"/>
      <w:bookmarkEnd w:id="53"/>
      <w:bookmarkEnd w:id="54"/>
    </w:p>
    <w:p w:rsidR="007B3C7A" w:rsidRDefault="001F115A">
      <w:pPr>
        <w:spacing w:before="100" w:beforeAutospacing="1" w:after="100" w:afterAutospacing="1"/>
        <w:ind w:firstLine="645"/>
        <w:rPr>
          <w:rFonts w:ascii="黑体" w:eastAsia="黑体" w:hAnsi="黑体" w:cs="黑体"/>
          <w:sz w:val="32"/>
          <w:szCs w:val="32"/>
        </w:rPr>
      </w:pPr>
      <w:r>
        <w:rPr>
          <w:rFonts w:ascii="黑体" w:eastAsia="黑体" w:hAnsi="黑体" w:cs="黑体" w:hint="eastAsia"/>
          <w:sz w:val="32"/>
          <w:szCs w:val="32"/>
        </w:rPr>
        <w:t>六、一般公共预算财政拨款基本支出决算</w:t>
      </w:r>
      <w:bookmarkEnd w:id="55"/>
      <w:bookmarkEnd w:id="56"/>
      <w:bookmarkEnd w:id="57"/>
      <w:bookmarkEnd w:id="58"/>
      <w:bookmarkEnd w:id="59"/>
      <w:bookmarkEnd w:id="60"/>
      <w:r>
        <w:rPr>
          <w:rFonts w:ascii="黑体" w:eastAsia="黑体" w:hAnsi="黑体" w:cs="黑体" w:hint="eastAsia"/>
          <w:sz w:val="32"/>
          <w:szCs w:val="32"/>
        </w:rPr>
        <w:t>公开表</w:t>
      </w:r>
    </w:p>
    <w:p w:rsidR="007B3C7A" w:rsidRDefault="001F115A">
      <w:pPr>
        <w:spacing w:before="100" w:beforeAutospacing="1" w:after="100" w:afterAutospacing="1"/>
        <w:ind w:leftChars="304" w:left="1210" w:hangingChars="150" w:hanging="480"/>
        <w:rPr>
          <w:rFonts w:ascii="黑体" w:eastAsia="黑体" w:hAnsi="黑体" w:cs="黑体"/>
          <w:sz w:val="32"/>
          <w:szCs w:val="32"/>
        </w:rPr>
      </w:pPr>
      <w:bookmarkStart w:id="61" w:name="_Toc6020_WPSOffice_Level2"/>
      <w:bookmarkStart w:id="62" w:name="_Toc21310_WPSOffice_Level2"/>
      <w:bookmarkStart w:id="63" w:name="_Toc11799_WPSOffice_Level2"/>
      <w:bookmarkStart w:id="64" w:name="_Toc13345_WPSOffice_Level2"/>
      <w:bookmarkStart w:id="65" w:name="_Toc5594_WPSOffice_Level2"/>
      <w:bookmarkStart w:id="66" w:name="_Toc1533_WPSOffice_Level2"/>
      <w:r>
        <w:rPr>
          <w:rFonts w:ascii="黑体" w:eastAsia="黑体" w:hAnsi="黑体" w:cs="黑体" w:hint="eastAsia"/>
          <w:sz w:val="32"/>
          <w:szCs w:val="32"/>
        </w:rPr>
        <w:t>七、政府性基金预算财政拨款收入支出决算</w:t>
      </w:r>
      <w:bookmarkEnd w:id="61"/>
      <w:bookmarkEnd w:id="62"/>
      <w:bookmarkEnd w:id="63"/>
      <w:bookmarkEnd w:id="64"/>
      <w:bookmarkEnd w:id="65"/>
      <w:bookmarkEnd w:id="66"/>
      <w:r>
        <w:rPr>
          <w:rFonts w:ascii="黑体" w:eastAsia="黑体" w:hAnsi="黑体" w:cs="黑体" w:hint="eastAsia"/>
          <w:sz w:val="32"/>
          <w:szCs w:val="32"/>
        </w:rPr>
        <w:t>公开表</w:t>
      </w:r>
    </w:p>
    <w:p w:rsidR="007B3C7A" w:rsidRDefault="001F115A">
      <w:pPr>
        <w:spacing w:before="100" w:beforeAutospacing="1" w:after="100" w:afterAutospacing="1"/>
        <w:ind w:leftChars="304" w:left="1210" w:hangingChars="150" w:hanging="480"/>
        <w:rPr>
          <w:rFonts w:ascii="黑体" w:eastAsia="黑体" w:hAnsi="黑体" w:cs="黑体"/>
          <w:sz w:val="32"/>
          <w:szCs w:val="32"/>
        </w:rPr>
      </w:pPr>
      <w:r>
        <w:rPr>
          <w:rFonts w:ascii="黑体" w:eastAsia="黑体" w:hAnsi="黑体" w:cs="黑体" w:hint="eastAsia"/>
          <w:sz w:val="32"/>
          <w:szCs w:val="32"/>
        </w:rPr>
        <w:t>八、国有资本经营预算财政拨款收入支出决算公开表</w:t>
      </w:r>
    </w:p>
    <w:p w:rsidR="007B3C7A" w:rsidRDefault="001F115A">
      <w:pPr>
        <w:spacing w:before="100" w:beforeAutospacing="1" w:after="100" w:afterAutospacing="1"/>
        <w:ind w:firstLine="640"/>
        <w:rPr>
          <w:rFonts w:ascii="黑体" w:eastAsia="黑体" w:hAnsi="黑体" w:cs="黑体"/>
          <w:sz w:val="32"/>
          <w:szCs w:val="32"/>
        </w:rPr>
      </w:pPr>
      <w:bookmarkStart w:id="67" w:name="_Toc1820_WPSOffice_Level2"/>
      <w:bookmarkStart w:id="68" w:name="_Toc29886_WPSOffice_Level2"/>
      <w:bookmarkStart w:id="69" w:name="_Toc19961_WPSOffice_Level2"/>
      <w:bookmarkStart w:id="70" w:name="_Toc9377_WPSOffice_Level2"/>
      <w:r>
        <w:rPr>
          <w:rFonts w:ascii="黑体" w:eastAsia="黑体" w:hAnsi="黑体" w:cs="黑体" w:hint="eastAsia"/>
          <w:sz w:val="32"/>
          <w:szCs w:val="32"/>
        </w:rPr>
        <w:t>九、财政拨款“三公”经费支出决算</w:t>
      </w:r>
      <w:bookmarkEnd w:id="67"/>
      <w:bookmarkEnd w:id="68"/>
      <w:bookmarkEnd w:id="69"/>
      <w:bookmarkEnd w:id="70"/>
      <w:r>
        <w:rPr>
          <w:rFonts w:ascii="黑体" w:eastAsia="黑体" w:hAnsi="黑体" w:cs="黑体" w:hint="eastAsia"/>
          <w:sz w:val="32"/>
          <w:szCs w:val="32"/>
        </w:rPr>
        <w:t>公开表</w:t>
      </w:r>
    </w:p>
    <w:p w:rsidR="006C5CEB" w:rsidRDefault="001F115A">
      <w:pPr>
        <w:spacing w:before="100" w:beforeAutospacing="1" w:after="100" w:afterAutospacing="1"/>
        <w:ind w:firstLine="640"/>
        <w:rPr>
          <w:rFonts w:ascii="黑体" w:eastAsia="黑体" w:hAnsi="黑体" w:cs="黑体"/>
          <w:w w:val="96"/>
          <w:sz w:val="32"/>
          <w:szCs w:val="32"/>
        </w:rPr>
      </w:pPr>
      <w:r>
        <w:rPr>
          <w:rFonts w:ascii="黑体" w:eastAsia="黑体" w:hAnsi="黑体" w:cs="黑体" w:hint="eastAsia"/>
          <w:w w:val="96"/>
          <w:sz w:val="32"/>
          <w:szCs w:val="32"/>
        </w:rPr>
        <w:t xml:space="preserve">以上报表见附件1。  </w:t>
      </w:r>
    </w:p>
    <w:p w:rsidR="007B3C7A" w:rsidRDefault="001F115A">
      <w:pPr>
        <w:spacing w:before="100" w:beforeAutospacing="1" w:after="100" w:afterAutospacing="1"/>
        <w:ind w:firstLine="640"/>
        <w:rPr>
          <w:rFonts w:ascii="黑体" w:eastAsia="黑体" w:hAnsi="黑体" w:cs="黑体"/>
          <w:w w:val="96"/>
          <w:sz w:val="32"/>
          <w:szCs w:val="32"/>
        </w:rPr>
      </w:pPr>
      <w:r>
        <w:rPr>
          <w:rFonts w:ascii="黑体" w:eastAsia="黑体" w:hAnsi="黑体" w:cs="黑体" w:hint="eastAsia"/>
          <w:w w:val="96"/>
          <w:sz w:val="32"/>
          <w:szCs w:val="32"/>
        </w:rPr>
        <w:t xml:space="preserve"> </w:t>
      </w:r>
    </w:p>
    <w:p w:rsidR="007B3C7A" w:rsidRDefault="001F115A">
      <w:pPr>
        <w:spacing w:before="100" w:beforeAutospacing="1" w:after="100" w:afterAutospacing="1"/>
        <w:jc w:val="center"/>
        <w:rPr>
          <w:rFonts w:ascii="黑体" w:eastAsia="黑体" w:hAnsi="ˎ̥"/>
          <w:sz w:val="32"/>
          <w:szCs w:val="32"/>
        </w:rPr>
      </w:pPr>
      <w:bookmarkStart w:id="71" w:name="_Toc16686_WPSOffice_Level1"/>
      <w:bookmarkStart w:id="72" w:name="_Toc29683_WPSOffice_Level1"/>
      <w:bookmarkStart w:id="73" w:name="_Toc31264_WPSOffice_Level1"/>
      <w:bookmarkStart w:id="74" w:name="_Toc28629_WPSOffice_Level1"/>
      <w:bookmarkStart w:id="75" w:name="_Toc4402_WPSOffice_Level1"/>
      <w:bookmarkStart w:id="76" w:name="_Toc27590_WPSOffice_Level1"/>
      <w:r>
        <w:rPr>
          <w:rFonts w:ascii="黑体" w:eastAsia="黑体" w:hAnsi="ˎ̥" w:hint="eastAsia"/>
          <w:sz w:val="32"/>
          <w:szCs w:val="32"/>
        </w:rPr>
        <w:lastRenderedPageBreak/>
        <w:t>第三部分  2022年度部门决算情况说明</w:t>
      </w:r>
      <w:bookmarkEnd w:id="71"/>
      <w:bookmarkEnd w:id="72"/>
      <w:bookmarkEnd w:id="73"/>
      <w:bookmarkEnd w:id="74"/>
      <w:bookmarkEnd w:id="75"/>
      <w:bookmarkEnd w:id="76"/>
    </w:p>
    <w:p w:rsidR="007B3C7A" w:rsidRDefault="001F115A">
      <w:pPr>
        <w:spacing w:before="100" w:beforeAutospacing="1" w:after="100" w:afterAutospacing="1"/>
        <w:ind w:firstLineChars="200" w:firstLine="640"/>
        <w:rPr>
          <w:rFonts w:ascii="仿宋_GB2312" w:eastAsia="仿宋_GB2312" w:hAnsi="ˎ̥"/>
          <w:sz w:val="32"/>
          <w:szCs w:val="32"/>
        </w:rPr>
      </w:pPr>
      <w:r>
        <w:rPr>
          <w:rFonts w:ascii="黑体" w:eastAsia="黑体" w:hAnsi="黑体" w:cs="黑体" w:hint="eastAsia"/>
          <w:bCs/>
          <w:sz w:val="32"/>
          <w:szCs w:val="32"/>
        </w:rPr>
        <w:t>一、收入支出总体情况说明</w:t>
      </w:r>
      <w:r>
        <w:rPr>
          <w:rFonts w:ascii="黑体" w:eastAsia="黑体" w:hAnsi="黑体" w:cs="黑体" w:hint="eastAsia"/>
          <w:bCs/>
          <w:sz w:val="32"/>
          <w:szCs w:val="32"/>
        </w:rPr>
        <w:br/>
      </w:r>
      <w:r>
        <w:rPr>
          <w:rFonts w:ascii="楷体_GB2312" w:eastAsia="楷体_GB2312" w:hAnsi="ˎ̥" w:hint="eastAsia"/>
          <w:sz w:val="32"/>
          <w:szCs w:val="32"/>
        </w:rPr>
        <w:t xml:space="preserve">    </w:t>
      </w:r>
      <w:r w:rsidRPr="00CF7C07">
        <w:rPr>
          <w:rFonts w:ascii="仿宋_GB2312" w:eastAsia="仿宋_GB2312" w:hAnsi="ˎ̥" w:hint="eastAsia"/>
          <w:sz w:val="32"/>
          <w:szCs w:val="32"/>
        </w:rPr>
        <w:t>2022年度收入总计</w:t>
      </w:r>
      <w:r w:rsidRPr="00CF7C07">
        <w:rPr>
          <w:rFonts w:ascii="仿宋_GB2312" w:eastAsia="仿宋_GB2312" w:hint="eastAsia"/>
          <w:sz w:val="32"/>
          <w:szCs w:val="32"/>
        </w:rPr>
        <w:t>19,458.25</w:t>
      </w:r>
      <w:r w:rsidRPr="00CF7C07">
        <w:rPr>
          <w:rFonts w:ascii="仿宋_GB2312" w:eastAsia="仿宋_GB2312" w:hAnsi="ˎ̥" w:hint="eastAsia"/>
          <w:sz w:val="32"/>
          <w:szCs w:val="32"/>
        </w:rPr>
        <w:t>万元，支出总计</w:t>
      </w:r>
      <w:r w:rsidRPr="00CF7C07">
        <w:rPr>
          <w:rFonts w:ascii="仿宋_GB2312" w:eastAsia="仿宋_GB2312" w:hint="eastAsia"/>
          <w:sz w:val="32"/>
          <w:szCs w:val="32"/>
        </w:rPr>
        <w:t>19,458.25</w:t>
      </w:r>
      <w:r w:rsidRPr="00CF7C07">
        <w:rPr>
          <w:rFonts w:ascii="仿宋_GB2312" w:eastAsia="仿宋_GB2312" w:hAnsi="ˎ̥" w:hint="eastAsia"/>
          <w:sz w:val="32"/>
          <w:szCs w:val="32"/>
        </w:rPr>
        <w:t>万元，与2021年度相比，收入、支出总计各减少2</w:t>
      </w:r>
      <w:r w:rsidRPr="00CF7C07">
        <w:rPr>
          <w:rFonts w:ascii="仿宋_GB2312" w:eastAsia="仿宋_GB2312" w:hint="eastAsia"/>
          <w:sz w:val="32"/>
          <w:szCs w:val="32"/>
        </w:rPr>
        <w:t>,</w:t>
      </w:r>
      <w:r w:rsidRPr="00CF7C07">
        <w:rPr>
          <w:rFonts w:ascii="仿宋_GB2312" w:eastAsia="仿宋_GB2312" w:hAnsi="ˎ̥" w:hint="eastAsia"/>
          <w:sz w:val="32"/>
          <w:szCs w:val="32"/>
        </w:rPr>
        <w:t>884.21万元，下降12.91%。主要原因是</w:t>
      </w:r>
      <w:r w:rsidRPr="00CF7C07">
        <w:rPr>
          <w:rFonts w:ascii="仿宋_GB2312" w:eastAsia="仿宋_GB2312" w:hAnsi="仿宋" w:hint="eastAsia"/>
          <w:sz w:val="32"/>
          <w:szCs w:val="32"/>
        </w:rPr>
        <w:t>2021年度预算项目执行较好，结转结余项目资金减少</w:t>
      </w:r>
      <w:r w:rsidRPr="00CF7C07">
        <w:rPr>
          <w:rFonts w:ascii="仿宋_GB2312" w:eastAsia="仿宋_GB2312" w:hAnsi="ˎ̥" w:hint="eastAsia"/>
          <w:sz w:val="32"/>
          <w:szCs w:val="32"/>
        </w:rPr>
        <w:t>。使用非财政拨款结余</w:t>
      </w:r>
      <w:r w:rsidRPr="00CF7C07">
        <w:rPr>
          <w:rFonts w:ascii="仿宋_GB2312" w:eastAsia="仿宋_GB2312" w:hint="eastAsia"/>
          <w:sz w:val="32"/>
          <w:szCs w:val="32"/>
        </w:rPr>
        <w:t>0</w:t>
      </w:r>
      <w:r w:rsidRPr="00CF7C07">
        <w:rPr>
          <w:rFonts w:ascii="仿宋_GB2312" w:eastAsia="仿宋_GB2312" w:hAnsi="ˎ̥" w:hint="eastAsia"/>
          <w:sz w:val="32"/>
          <w:szCs w:val="32"/>
        </w:rPr>
        <w:t>万元，较2021年度</w:t>
      </w:r>
      <w:proofErr w:type="gramStart"/>
      <w:r w:rsidRPr="00CF7C07">
        <w:rPr>
          <w:rFonts w:ascii="仿宋_GB2312" w:eastAsia="仿宋_GB2312" w:hAnsi="ˎ̥" w:hint="eastAsia"/>
          <w:sz w:val="32"/>
          <w:szCs w:val="32"/>
        </w:rPr>
        <w:t>决算数无增减</w:t>
      </w:r>
      <w:proofErr w:type="gramEnd"/>
      <w:r w:rsidRPr="00CF7C07">
        <w:rPr>
          <w:rFonts w:ascii="仿宋_GB2312" w:eastAsia="仿宋_GB2312" w:hAnsi="ˎ̥" w:hint="eastAsia"/>
          <w:sz w:val="32"/>
          <w:szCs w:val="32"/>
        </w:rPr>
        <w:t>变化。年初结转结余</w:t>
      </w:r>
      <w:r w:rsidRPr="00CF7C07">
        <w:rPr>
          <w:rFonts w:ascii="仿宋_GB2312" w:eastAsia="仿宋_GB2312" w:hint="eastAsia"/>
          <w:sz w:val="32"/>
          <w:szCs w:val="32"/>
        </w:rPr>
        <w:t>147.38</w:t>
      </w:r>
      <w:r w:rsidRPr="00CF7C07">
        <w:rPr>
          <w:rFonts w:ascii="仿宋_GB2312" w:eastAsia="仿宋_GB2312" w:hAnsi="ˎ̥" w:hint="eastAsia"/>
          <w:sz w:val="32"/>
          <w:szCs w:val="32"/>
        </w:rPr>
        <w:t>万元，主要是财政拨款结转127.01万元和非财政拨款结转20.37万元，较2021年度决算数增加53.75万元，增长57.41%，主要原因是项目支出结转和结余较上年有所增加。2022年末结余分配</w:t>
      </w:r>
      <w:r w:rsidRPr="00CF7C07">
        <w:rPr>
          <w:rFonts w:ascii="仿宋_GB2312" w:eastAsia="仿宋_GB2312" w:hint="eastAsia"/>
          <w:sz w:val="32"/>
          <w:szCs w:val="32"/>
        </w:rPr>
        <w:t>41.42</w:t>
      </w:r>
      <w:r w:rsidRPr="00CF7C07">
        <w:rPr>
          <w:rFonts w:ascii="仿宋_GB2312" w:eastAsia="仿宋_GB2312" w:hAnsi="ˎ̥" w:hint="eastAsia"/>
          <w:sz w:val="32"/>
          <w:szCs w:val="32"/>
        </w:rPr>
        <w:t>万元，主要是年终将其他结余转非财政拨款结余分配，较2021年度决算数增加37.34万元，增长915.20%，主要为其他收入增加。年末结转结余</w:t>
      </w:r>
      <w:r w:rsidRPr="00CF7C07">
        <w:rPr>
          <w:rFonts w:ascii="仿宋_GB2312" w:eastAsia="仿宋_GB2312" w:hint="eastAsia"/>
          <w:sz w:val="32"/>
          <w:szCs w:val="32"/>
        </w:rPr>
        <w:t>86.42</w:t>
      </w:r>
      <w:r w:rsidRPr="00CF7C07">
        <w:rPr>
          <w:rFonts w:ascii="仿宋_GB2312" w:eastAsia="仿宋_GB2312" w:hAnsi="ˎ̥" w:hint="eastAsia"/>
          <w:sz w:val="32"/>
          <w:szCs w:val="32"/>
        </w:rPr>
        <w:t>万元，主要是财政拨款结转71.12万元，非财政拨款结转15.3万元，较2021年度决算数减少60.96万元，下降41.36%，主要为项</w:t>
      </w:r>
      <w:r>
        <w:rPr>
          <w:rFonts w:ascii="仿宋_GB2312" w:eastAsia="仿宋_GB2312" w:hAnsi="ˎ̥" w:hint="eastAsia"/>
          <w:sz w:val="32"/>
          <w:szCs w:val="32"/>
        </w:rPr>
        <w:t>目结转减少。</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本年收入合计</w:t>
      </w:r>
      <w:r>
        <w:rPr>
          <w:rFonts w:ascii="仿宋_GB2312" w:eastAsia="仿宋_GB2312" w:hint="eastAsia"/>
          <w:sz w:val="32"/>
          <w:szCs w:val="32"/>
        </w:rPr>
        <w:t>19,310.87</w:t>
      </w:r>
      <w:r>
        <w:rPr>
          <w:rFonts w:ascii="仿宋_GB2312" w:eastAsia="仿宋_GB2312" w:hAnsi="ˎ̥" w:hint="eastAsia"/>
          <w:sz w:val="32"/>
          <w:szCs w:val="32"/>
        </w:rPr>
        <w:t>万元，其中：财政拨款收入</w:t>
      </w:r>
      <w:r>
        <w:rPr>
          <w:rFonts w:ascii="仿宋_GB2312" w:eastAsia="仿宋_GB2312" w:hAnsi="仿宋" w:hint="eastAsia"/>
          <w:sz w:val="32"/>
          <w:szCs w:val="32"/>
        </w:rPr>
        <w:t>14,840.08</w:t>
      </w:r>
      <w:r>
        <w:rPr>
          <w:rFonts w:ascii="仿宋_GB2312" w:eastAsia="仿宋_GB2312" w:hAnsi="ˎ̥" w:hint="eastAsia"/>
          <w:sz w:val="32"/>
          <w:szCs w:val="32"/>
        </w:rPr>
        <w:t>万元，占76.85%；上级补助收入</w:t>
      </w:r>
      <w:r>
        <w:rPr>
          <w:rFonts w:ascii="仿宋_GB2312" w:eastAsia="仿宋_GB2312" w:hint="eastAsia"/>
          <w:sz w:val="32"/>
          <w:szCs w:val="32"/>
        </w:rPr>
        <w:t>0</w:t>
      </w:r>
      <w:r>
        <w:rPr>
          <w:rFonts w:ascii="仿宋_GB2312" w:eastAsia="仿宋_GB2312" w:hAnsi="ˎ̥" w:hint="eastAsia"/>
          <w:sz w:val="32"/>
          <w:szCs w:val="32"/>
        </w:rPr>
        <w:t>万元，占0.00%；事业收入</w:t>
      </w:r>
      <w:r>
        <w:rPr>
          <w:rFonts w:ascii="仿宋_GB2312" w:eastAsia="仿宋_GB2312" w:hAnsi="仿宋" w:hint="eastAsia"/>
          <w:sz w:val="32"/>
          <w:szCs w:val="32"/>
        </w:rPr>
        <w:t>4,096.14</w:t>
      </w:r>
      <w:r>
        <w:rPr>
          <w:rFonts w:ascii="仿宋_GB2312" w:eastAsia="仿宋_GB2312" w:hAnsi="ˎ̥" w:hint="eastAsia"/>
          <w:sz w:val="32"/>
          <w:szCs w:val="32"/>
        </w:rPr>
        <w:t>万元，占</w:t>
      </w:r>
      <w:r>
        <w:rPr>
          <w:rFonts w:ascii="仿宋_GB2312" w:eastAsia="仿宋_GB2312" w:hAnsi="仿宋" w:hint="eastAsia"/>
          <w:sz w:val="32"/>
          <w:szCs w:val="32"/>
        </w:rPr>
        <w:t>21.21</w:t>
      </w:r>
      <w:r>
        <w:rPr>
          <w:rFonts w:ascii="仿宋_GB2312" w:eastAsia="仿宋_GB2312" w:hAnsi="ˎ̥" w:hint="eastAsia"/>
          <w:sz w:val="32"/>
          <w:szCs w:val="32"/>
        </w:rPr>
        <w:t>%；经营收入</w:t>
      </w:r>
      <w:r>
        <w:rPr>
          <w:rFonts w:ascii="仿宋_GB2312" w:eastAsia="仿宋_GB2312" w:hint="eastAsia"/>
          <w:sz w:val="32"/>
          <w:szCs w:val="32"/>
        </w:rPr>
        <w:t>0</w:t>
      </w:r>
      <w:r>
        <w:rPr>
          <w:rFonts w:ascii="仿宋_GB2312" w:eastAsia="仿宋_GB2312" w:hAnsi="ˎ̥" w:hint="eastAsia"/>
          <w:sz w:val="32"/>
          <w:szCs w:val="32"/>
        </w:rPr>
        <w:t>万元，占</w:t>
      </w:r>
      <w:r>
        <w:rPr>
          <w:rFonts w:ascii="仿宋_GB2312" w:eastAsia="仿宋_GB2312" w:hAnsi="ˎ̥" w:hint="eastAsia"/>
          <w:sz w:val="32"/>
          <w:szCs w:val="32"/>
        </w:rPr>
        <w:lastRenderedPageBreak/>
        <w:t>0.00%；附属单位上缴收入</w:t>
      </w:r>
      <w:r>
        <w:rPr>
          <w:rFonts w:ascii="仿宋_GB2312" w:eastAsia="仿宋_GB2312" w:hint="eastAsia"/>
          <w:sz w:val="32"/>
          <w:szCs w:val="32"/>
        </w:rPr>
        <w:t>0</w:t>
      </w:r>
      <w:r>
        <w:rPr>
          <w:rFonts w:ascii="仿宋_GB2312" w:eastAsia="仿宋_GB2312" w:hAnsi="ˎ̥" w:hint="eastAsia"/>
          <w:sz w:val="32"/>
          <w:szCs w:val="32"/>
        </w:rPr>
        <w:t>万元，占0.00%；其他收入</w:t>
      </w:r>
      <w:r>
        <w:rPr>
          <w:rFonts w:ascii="仿宋_GB2312" w:eastAsia="仿宋_GB2312" w:hAnsi="仿宋" w:hint="eastAsia"/>
          <w:sz w:val="32"/>
          <w:szCs w:val="32"/>
        </w:rPr>
        <w:t>374.65</w:t>
      </w:r>
      <w:r>
        <w:rPr>
          <w:rFonts w:ascii="仿宋_GB2312" w:eastAsia="仿宋_GB2312" w:hAnsi="ˎ̥" w:hint="eastAsia"/>
          <w:sz w:val="32"/>
          <w:szCs w:val="32"/>
        </w:rPr>
        <w:t>万元，占1.94%。</w:t>
      </w:r>
    </w:p>
    <w:p w:rsidR="007B3C7A" w:rsidRDefault="001F115A">
      <w:pPr>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三、支出决算情况说明</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本年支出合计</w:t>
      </w:r>
      <w:r>
        <w:rPr>
          <w:rFonts w:ascii="仿宋_GB2312" w:eastAsia="仿宋_GB2312" w:hAnsi="仿宋" w:hint="eastAsia"/>
          <w:sz w:val="32"/>
          <w:szCs w:val="32"/>
        </w:rPr>
        <w:t>19,330.4</w:t>
      </w:r>
      <w:r>
        <w:rPr>
          <w:rFonts w:ascii="仿宋_GB2312" w:eastAsia="仿宋_GB2312" w:hAnsi="ˎ̥" w:hint="eastAsia"/>
          <w:sz w:val="32"/>
          <w:szCs w:val="32"/>
        </w:rPr>
        <w:t>万元，其中：基本支出</w:t>
      </w:r>
      <w:r>
        <w:rPr>
          <w:rFonts w:ascii="仿宋_GB2312" w:eastAsia="仿宋_GB2312" w:hAnsi="仿宋" w:hint="eastAsia"/>
          <w:sz w:val="32"/>
          <w:szCs w:val="32"/>
        </w:rPr>
        <w:t>11,699.41</w:t>
      </w:r>
      <w:r>
        <w:rPr>
          <w:rFonts w:ascii="仿宋_GB2312" w:eastAsia="仿宋_GB2312" w:hAnsi="ˎ̥" w:hint="eastAsia"/>
          <w:sz w:val="32"/>
          <w:szCs w:val="32"/>
        </w:rPr>
        <w:t>万元，占60.52%；项目支出</w:t>
      </w:r>
      <w:r>
        <w:rPr>
          <w:rFonts w:ascii="仿宋_GB2312" w:eastAsia="仿宋_GB2312" w:hAnsi="仿宋" w:hint="eastAsia"/>
          <w:sz w:val="32"/>
          <w:szCs w:val="32"/>
        </w:rPr>
        <w:t>7,630.99</w:t>
      </w:r>
      <w:r>
        <w:rPr>
          <w:rFonts w:ascii="仿宋_GB2312" w:eastAsia="仿宋_GB2312" w:hAnsi="ˎ̥" w:hint="eastAsia"/>
          <w:sz w:val="32"/>
          <w:szCs w:val="32"/>
        </w:rPr>
        <w:t>万元，占39.48%；上缴上级支出</w:t>
      </w:r>
      <w:r>
        <w:rPr>
          <w:rFonts w:ascii="仿宋_GB2312" w:eastAsia="仿宋_GB2312" w:hint="eastAsia"/>
          <w:sz w:val="32"/>
          <w:szCs w:val="32"/>
        </w:rPr>
        <w:t>0</w:t>
      </w:r>
      <w:r>
        <w:rPr>
          <w:rFonts w:ascii="仿宋_GB2312" w:eastAsia="仿宋_GB2312" w:hAnsi="ˎ̥" w:hint="eastAsia"/>
          <w:sz w:val="32"/>
          <w:szCs w:val="32"/>
        </w:rPr>
        <w:t>万元，占0.00%；经营支出</w:t>
      </w:r>
      <w:r>
        <w:rPr>
          <w:rFonts w:ascii="仿宋_GB2312" w:eastAsia="仿宋_GB2312" w:hint="eastAsia"/>
          <w:sz w:val="32"/>
          <w:szCs w:val="32"/>
        </w:rPr>
        <w:t>0</w:t>
      </w:r>
      <w:r>
        <w:rPr>
          <w:rFonts w:ascii="仿宋_GB2312" w:eastAsia="仿宋_GB2312" w:hAnsi="ˎ̥" w:hint="eastAsia"/>
          <w:sz w:val="32"/>
          <w:szCs w:val="32"/>
        </w:rPr>
        <w:t>万元，占0.00%；对附属单位补助支出</w:t>
      </w:r>
      <w:r>
        <w:rPr>
          <w:rFonts w:ascii="仿宋_GB2312" w:eastAsia="仿宋_GB2312" w:hint="eastAsia"/>
          <w:sz w:val="32"/>
          <w:szCs w:val="32"/>
        </w:rPr>
        <w:t>0</w:t>
      </w:r>
      <w:r>
        <w:rPr>
          <w:rFonts w:ascii="仿宋_GB2312" w:eastAsia="仿宋_GB2312" w:hAnsi="ˎ̥" w:hint="eastAsia"/>
          <w:sz w:val="32"/>
          <w:szCs w:val="32"/>
        </w:rPr>
        <w:t>万元，占0.00%。</w:t>
      </w:r>
    </w:p>
    <w:p w:rsidR="007B3C7A" w:rsidRDefault="001F115A">
      <w:pPr>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2022年度财政拨款收入</w:t>
      </w:r>
      <w:r>
        <w:rPr>
          <w:rFonts w:ascii="仿宋_GB2312" w:eastAsia="仿宋_GB2312" w:hint="eastAsia"/>
          <w:sz w:val="32"/>
          <w:szCs w:val="32"/>
        </w:rPr>
        <w:t>14,967.09</w:t>
      </w:r>
      <w:r>
        <w:rPr>
          <w:rFonts w:ascii="仿宋_GB2312" w:eastAsia="仿宋_GB2312" w:hAnsi="ˎ̥" w:hint="eastAsia"/>
          <w:sz w:val="32"/>
          <w:szCs w:val="32"/>
        </w:rPr>
        <w:t>万元，支出</w:t>
      </w:r>
      <w:r>
        <w:rPr>
          <w:rFonts w:ascii="仿宋_GB2312" w:eastAsia="仿宋_GB2312" w:hint="eastAsia"/>
          <w:sz w:val="32"/>
          <w:szCs w:val="32"/>
        </w:rPr>
        <w:t>14,967.09</w:t>
      </w:r>
      <w:r>
        <w:rPr>
          <w:rFonts w:ascii="仿宋_GB2312" w:eastAsia="仿宋_GB2312" w:hAnsi="ˎ̥" w:hint="eastAsia"/>
          <w:sz w:val="32"/>
          <w:szCs w:val="32"/>
        </w:rPr>
        <w:t>万元。与2021年度相比，财政拨款收入、支出各减少3</w:t>
      </w:r>
      <w:r>
        <w:rPr>
          <w:rFonts w:ascii="仿宋_GB2312" w:eastAsia="仿宋_GB2312" w:hint="eastAsia"/>
          <w:sz w:val="32"/>
          <w:szCs w:val="32"/>
        </w:rPr>
        <w:t>,</w:t>
      </w:r>
      <w:r>
        <w:rPr>
          <w:rFonts w:ascii="仿宋_GB2312" w:eastAsia="仿宋_GB2312" w:hAnsi="ˎ̥" w:hint="eastAsia"/>
          <w:sz w:val="32"/>
          <w:szCs w:val="32"/>
        </w:rPr>
        <w:t>222.65万元，下降17.72%。主要原因是</w:t>
      </w:r>
      <w:r>
        <w:rPr>
          <w:rFonts w:ascii="仿宋_GB2312" w:eastAsia="仿宋_GB2312" w:hAnsi="仿宋" w:hint="eastAsia"/>
          <w:sz w:val="32"/>
          <w:szCs w:val="32"/>
        </w:rPr>
        <w:t>2021年度预算项目执行较好，结转结余项目资金减少</w:t>
      </w:r>
      <w:r>
        <w:rPr>
          <w:rFonts w:ascii="仿宋_GB2312" w:eastAsia="仿宋_GB2312" w:hAnsi="ˎ̥" w:hint="eastAsia"/>
          <w:sz w:val="32"/>
          <w:szCs w:val="32"/>
        </w:rPr>
        <w:t>。</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财政拨款年初结转结余</w:t>
      </w:r>
      <w:r>
        <w:rPr>
          <w:rFonts w:ascii="仿宋_GB2312" w:eastAsia="仿宋_GB2312" w:hint="eastAsia"/>
          <w:sz w:val="32"/>
          <w:szCs w:val="32"/>
        </w:rPr>
        <w:t>127.01</w:t>
      </w:r>
      <w:r>
        <w:rPr>
          <w:rFonts w:ascii="仿宋_GB2312" w:eastAsia="仿宋_GB2312" w:hAnsi="ˎ̥" w:hint="eastAsia"/>
          <w:sz w:val="32"/>
          <w:szCs w:val="32"/>
        </w:rPr>
        <w:t>万元，主要是现代职业教育质量提升专项资金99.78万元、学生资助补助经费3.96万元、自然科学基金5.35万元、高新技术产业发展专项资金6.89万元、科技创新发展计划专项资金11.03万元，较2021年度决算数增加70.89万元，增长126.32%，主要原因是项目支出结转和结余增加。</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财政拨款年末结转结余</w:t>
      </w:r>
      <w:r>
        <w:rPr>
          <w:rFonts w:ascii="仿宋_GB2312" w:eastAsia="仿宋_GB2312" w:hint="eastAsia"/>
          <w:sz w:val="32"/>
          <w:szCs w:val="32"/>
        </w:rPr>
        <w:t>71.12</w:t>
      </w:r>
      <w:r>
        <w:rPr>
          <w:rFonts w:ascii="仿宋_GB2312" w:eastAsia="仿宋_GB2312" w:hAnsi="ˎ̥" w:hint="eastAsia"/>
          <w:sz w:val="32"/>
          <w:szCs w:val="32"/>
        </w:rPr>
        <w:t>万元，主要是</w:t>
      </w:r>
      <w:r>
        <w:rPr>
          <w:rFonts w:ascii="仿宋_GB2312" w:eastAsia="仿宋_GB2312" w:hAnsi="仿宋" w:hint="eastAsia"/>
          <w:sz w:val="32"/>
          <w:szCs w:val="32"/>
        </w:rPr>
        <w:t>省重点研发计划10.00万元、自然科学基金45.43万元、高新技术产业发展专项资金6.14万元、科技创新发展计划专项资金9.55万元</w:t>
      </w:r>
      <w:r>
        <w:rPr>
          <w:rFonts w:ascii="仿宋_GB2312" w:eastAsia="仿宋_GB2312" w:hAnsi="ˎ̥" w:hint="eastAsia"/>
          <w:sz w:val="32"/>
          <w:szCs w:val="32"/>
        </w:rPr>
        <w:t>，较2021年度年</w:t>
      </w:r>
      <w:proofErr w:type="gramStart"/>
      <w:r>
        <w:rPr>
          <w:rFonts w:ascii="仿宋_GB2312" w:eastAsia="仿宋_GB2312" w:hAnsi="ˎ̥" w:hint="eastAsia"/>
          <w:sz w:val="32"/>
          <w:szCs w:val="32"/>
        </w:rPr>
        <w:t>末决</w:t>
      </w:r>
      <w:proofErr w:type="gramEnd"/>
      <w:r>
        <w:rPr>
          <w:rFonts w:ascii="仿宋_GB2312" w:eastAsia="仿宋_GB2312" w:hAnsi="ˎ̥" w:hint="eastAsia"/>
          <w:sz w:val="32"/>
          <w:szCs w:val="32"/>
        </w:rPr>
        <w:t>算数减少55.89万元，下降44%，主要原因是项目支出结转和结余减少。</w:t>
      </w:r>
    </w:p>
    <w:p w:rsidR="007B3C7A" w:rsidRDefault="001F115A">
      <w:pPr>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rsidR="007B3C7A" w:rsidRDefault="001F115A">
      <w:pPr>
        <w:spacing w:before="100" w:beforeAutospacing="1" w:after="100" w:afterAutospacing="1"/>
        <w:ind w:firstLineChars="200" w:firstLine="640"/>
        <w:rPr>
          <w:rFonts w:ascii="楷体" w:eastAsia="楷体" w:hAnsi="楷体" w:cs="楷体"/>
          <w:sz w:val="32"/>
          <w:szCs w:val="32"/>
        </w:rPr>
      </w:pPr>
      <w:bookmarkStart w:id="77" w:name="_Toc17398_WPSOffice_Level2"/>
      <w:bookmarkStart w:id="78" w:name="_Toc13694_WPSOffice_Level2"/>
      <w:bookmarkStart w:id="79" w:name="_Toc19665_WPSOffice_Level2"/>
      <w:bookmarkStart w:id="80" w:name="_Toc9989_WPSOffice_Level2"/>
      <w:bookmarkStart w:id="81" w:name="_Toc21737_WPSOffice_Level2"/>
      <w:bookmarkStart w:id="82" w:name="_Toc23005_WPSOffice_Level2"/>
      <w:r>
        <w:rPr>
          <w:rFonts w:ascii="楷体" w:eastAsia="楷体" w:hAnsi="楷体" w:cs="楷体" w:hint="eastAsia"/>
          <w:sz w:val="32"/>
          <w:szCs w:val="32"/>
        </w:rPr>
        <w:t>（一）一般公共预算财政拨款支出决算总体情况</w:t>
      </w:r>
      <w:bookmarkEnd w:id="77"/>
      <w:bookmarkEnd w:id="78"/>
      <w:r>
        <w:rPr>
          <w:rFonts w:ascii="楷体" w:eastAsia="楷体" w:hAnsi="楷体" w:cs="楷体" w:hint="eastAsia"/>
          <w:sz w:val="32"/>
          <w:szCs w:val="32"/>
        </w:rPr>
        <w:t>。</w:t>
      </w:r>
      <w:bookmarkEnd w:id="79"/>
      <w:bookmarkEnd w:id="80"/>
      <w:bookmarkEnd w:id="81"/>
      <w:bookmarkEnd w:id="82"/>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2022年度一般公共预算财政拨款支出</w:t>
      </w:r>
      <w:r>
        <w:rPr>
          <w:rFonts w:ascii="仿宋_GB2312" w:eastAsia="仿宋_GB2312" w:hint="eastAsia"/>
          <w:sz w:val="32"/>
          <w:szCs w:val="32"/>
        </w:rPr>
        <w:t>14,895.97</w:t>
      </w:r>
      <w:r>
        <w:rPr>
          <w:rFonts w:ascii="仿宋_GB2312" w:eastAsia="仿宋_GB2312" w:hAnsi="ˎ̥" w:hint="eastAsia"/>
          <w:sz w:val="32"/>
          <w:szCs w:val="32"/>
        </w:rPr>
        <w:t>万元，占本年支出合计的77.06%。与2021年度相比，一般公共预算财政拨款支出减少3166.76万元，下降17.53%，主要原因是2</w:t>
      </w:r>
      <w:r>
        <w:rPr>
          <w:rFonts w:ascii="仿宋_GB2312" w:eastAsia="仿宋_GB2312" w:hAnsi="仿宋" w:hint="eastAsia"/>
          <w:sz w:val="32"/>
          <w:szCs w:val="32"/>
        </w:rPr>
        <w:t>021年度预算项目执行较好，结转结余项目资金减少</w:t>
      </w:r>
      <w:r>
        <w:rPr>
          <w:rFonts w:ascii="仿宋_GB2312" w:eastAsia="仿宋_GB2312" w:hAnsi="ˎ̥" w:hint="eastAsia"/>
          <w:sz w:val="32"/>
          <w:szCs w:val="32"/>
        </w:rPr>
        <w:t>。</w:t>
      </w:r>
    </w:p>
    <w:p w:rsidR="007B3C7A" w:rsidRDefault="001F115A">
      <w:pPr>
        <w:spacing w:before="100" w:beforeAutospacing="1" w:after="100" w:afterAutospacing="1"/>
        <w:ind w:firstLineChars="200" w:firstLine="640"/>
        <w:rPr>
          <w:rFonts w:ascii="楷体" w:eastAsia="楷体" w:hAnsi="楷体" w:cs="楷体"/>
          <w:sz w:val="32"/>
          <w:szCs w:val="32"/>
        </w:rPr>
      </w:pPr>
      <w:bookmarkStart w:id="83" w:name="_Toc2711_WPSOffice_Level2"/>
      <w:bookmarkStart w:id="84" w:name="_Toc18793_WPSOffice_Level2"/>
      <w:bookmarkStart w:id="85" w:name="_Toc23864_WPSOffice_Level2"/>
      <w:bookmarkStart w:id="86" w:name="_Toc27767_WPSOffice_Level2"/>
      <w:bookmarkStart w:id="87" w:name="_Toc19535_WPSOffice_Level2"/>
      <w:bookmarkStart w:id="88" w:name="_Toc19075_WPSOffice_Level2"/>
      <w:r>
        <w:rPr>
          <w:rFonts w:ascii="楷体" w:eastAsia="楷体" w:hAnsi="楷体" w:cs="楷体" w:hint="eastAsia"/>
          <w:sz w:val="32"/>
          <w:szCs w:val="32"/>
        </w:rPr>
        <w:t>（二）一般公共预算财政拨款支出决算结构情况</w:t>
      </w:r>
      <w:bookmarkEnd w:id="83"/>
      <w:bookmarkEnd w:id="84"/>
      <w:r>
        <w:rPr>
          <w:rFonts w:ascii="楷体" w:eastAsia="楷体" w:hAnsi="楷体" w:cs="楷体" w:hint="eastAsia"/>
          <w:sz w:val="32"/>
          <w:szCs w:val="32"/>
        </w:rPr>
        <w:t>。</w:t>
      </w:r>
      <w:bookmarkEnd w:id="85"/>
      <w:bookmarkEnd w:id="86"/>
      <w:bookmarkEnd w:id="87"/>
      <w:bookmarkEnd w:id="88"/>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2022年度一般公共预算财政拨款支出</w:t>
      </w:r>
      <w:r>
        <w:rPr>
          <w:rFonts w:ascii="仿宋_GB2312" w:eastAsia="仿宋_GB2312" w:hint="eastAsia"/>
          <w:sz w:val="32"/>
          <w:szCs w:val="32"/>
        </w:rPr>
        <w:t>14,895.97</w:t>
      </w:r>
      <w:r>
        <w:rPr>
          <w:rFonts w:ascii="仿宋_GB2312" w:eastAsia="仿宋_GB2312" w:hAnsi="ˎ̥" w:hint="eastAsia"/>
          <w:sz w:val="32"/>
          <w:szCs w:val="32"/>
        </w:rPr>
        <w:t>万元，主要用于以下方面：</w:t>
      </w:r>
      <w:r>
        <w:rPr>
          <w:rFonts w:ascii="仿宋_GB2312" w:eastAsia="仿宋_GB2312" w:hAnsi="ˎ̥" w:hint="eastAsia"/>
          <w:b/>
          <w:sz w:val="32"/>
          <w:szCs w:val="32"/>
        </w:rPr>
        <w:t>教育（类）</w:t>
      </w:r>
      <w:r>
        <w:rPr>
          <w:rFonts w:ascii="仿宋_GB2312" w:eastAsia="仿宋_GB2312" w:hAnsi="ˎ̥" w:hint="eastAsia"/>
          <w:sz w:val="32"/>
          <w:szCs w:val="32"/>
        </w:rPr>
        <w:t>支出</w:t>
      </w:r>
      <w:r>
        <w:rPr>
          <w:rFonts w:ascii="仿宋_GB2312" w:eastAsia="仿宋_GB2312" w:hint="eastAsia"/>
          <w:sz w:val="32"/>
          <w:szCs w:val="32"/>
        </w:rPr>
        <w:t>13,379.55</w:t>
      </w:r>
      <w:r>
        <w:rPr>
          <w:rFonts w:ascii="仿宋_GB2312" w:eastAsia="仿宋_GB2312" w:hAnsi="ˎ̥" w:hint="eastAsia"/>
          <w:sz w:val="32"/>
          <w:szCs w:val="32"/>
        </w:rPr>
        <w:t>万元，占89.82%；</w:t>
      </w:r>
      <w:r>
        <w:rPr>
          <w:rFonts w:ascii="仿宋_GB2312" w:eastAsia="仿宋_GB2312" w:hAnsi="ˎ̥" w:hint="eastAsia"/>
          <w:b/>
          <w:sz w:val="32"/>
          <w:szCs w:val="32"/>
        </w:rPr>
        <w:t>科学技术（类）</w:t>
      </w:r>
      <w:r>
        <w:rPr>
          <w:rFonts w:ascii="仿宋_GB2312" w:eastAsia="仿宋_GB2312" w:hAnsi="ˎ̥" w:hint="eastAsia"/>
          <w:sz w:val="32"/>
          <w:szCs w:val="32"/>
        </w:rPr>
        <w:t>支出54.15万元，占0.36%；</w:t>
      </w:r>
      <w:r>
        <w:rPr>
          <w:rFonts w:ascii="仿宋_GB2312" w:eastAsia="仿宋_GB2312" w:hAnsi="ˎ̥" w:hint="eastAsia"/>
          <w:b/>
          <w:sz w:val="32"/>
          <w:szCs w:val="32"/>
        </w:rPr>
        <w:t>社会保障和就业（类）</w:t>
      </w:r>
      <w:r>
        <w:rPr>
          <w:rFonts w:ascii="仿宋_GB2312" w:eastAsia="仿宋_GB2312" w:hAnsi="ˎ̥" w:hint="eastAsia"/>
          <w:sz w:val="32"/>
          <w:szCs w:val="32"/>
        </w:rPr>
        <w:t>支出806.35万元，占5.41%；</w:t>
      </w:r>
      <w:r>
        <w:rPr>
          <w:rFonts w:ascii="仿宋_GB2312" w:eastAsia="仿宋_GB2312" w:hAnsi="ˎ̥" w:hint="eastAsia"/>
          <w:b/>
          <w:sz w:val="32"/>
          <w:szCs w:val="32"/>
        </w:rPr>
        <w:t>卫生健康（类）</w:t>
      </w:r>
      <w:r>
        <w:rPr>
          <w:rFonts w:ascii="仿宋_GB2312" w:eastAsia="仿宋_GB2312" w:hAnsi="ˎ̥" w:hint="eastAsia"/>
          <w:sz w:val="32"/>
          <w:szCs w:val="32"/>
        </w:rPr>
        <w:t>支出228.50万元，占1.53%；</w:t>
      </w:r>
      <w:r>
        <w:rPr>
          <w:rFonts w:ascii="仿宋_GB2312" w:eastAsia="仿宋_GB2312" w:hAnsi="ˎ̥" w:hint="eastAsia"/>
          <w:b/>
          <w:bCs/>
          <w:sz w:val="32"/>
          <w:szCs w:val="32"/>
        </w:rPr>
        <w:t>住房保障（类）</w:t>
      </w:r>
      <w:r>
        <w:rPr>
          <w:rFonts w:ascii="仿宋_GB2312" w:eastAsia="仿宋_GB2312" w:hAnsi="ˎ̥" w:hint="eastAsia"/>
          <w:sz w:val="32"/>
          <w:szCs w:val="32"/>
        </w:rPr>
        <w:t>支出427.41万元，占2.87%。</w:t>
      </w:r>
    </w:p>
    <w:p w:rsidR="007B3C7A" w:rsidRDefault="001F115A">
      <w:pPr>
        <w:spacing w:before="100" w:beforeAutospacing="1" w:after="100" w:afterAutospacing="1"/>
        <w:ind w:firstLineChars="200" w:firstLine="640"/>
        <w:rPr>
          <w:rFonts w:ascii="楷体" w:eastAsia="楷体" w:hAnsi="楷体" w:cs="楷体"/>
          <w:sz w:val="32"/>
          <w:szCs w:val="32"/>
        </w:rPr>
      </w:pPr>
      <w:bookmarkStart w:id="89" w:name="_Toc21701_WPSOffice_Level2"/>
      <w:bookmarkStart w:id="90" w:name="_Toc9502_WPSOffice_Level2"/>
      <w:bookmarkStart w:id="91" w:name="_Toc25136_WPSOffice_Level2"/>
      <w:bookmarkStart w:id="92" w:name="_Toc15415_WPSOffice_Level2"/>
      <w:bookmarkStart w:id="93" w:name="_Toc29364_WPSOffice_Level2"/>
      <w:bookmarkStart w:id="94" w:name="_Toc22318_WPSOffice_Level2"/>
      <w:r>
        <w:rPr>
          <w:rFonts w:ascii="楷体" w:eastAsia="楷体" w:hAnsi="楷体" w:cs="楷体" w:hint="eastAsia"/>
          <w:sz w:val="32"/>
          <w:szCs w:val="32"/>
        </w:rPr>
        <w:lastRenderedPageBreak/>
        <w:t>（三）一般公共预算财政拨款支出决算具体情况。</w:t>
      </w:r>
      <w:bookmarkEnd w:id="89"/>
      <w:bookmarkEnd w:id="90"/>
      <w:bookmarkEnd w:id="91"/>
      <w:bookmarkEnd w:id="92"/>
      <w:bookmarkEnd w:id="93"/>
      <w:bookmarkEnd w:id="94"/>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2022年度一般公共预算财政拨款支出年初预算为14</w:t>
      </w:r>
      <w:r>
        <w:rPr>
          <w:rFonts w:ascii="仿宋_GB2312" w:eastAsia="仿宋_GB2312" w:hint="eastAsia"/>
          <w:sz w:val="32"/>
          <w:szCs w:val="32"/>
        </w:rPr>
        <w:t>,</w:t>
      </w:r>
      <w:r>
        <w:rPr>
          <w:rFonts w:ascii="仿宋_GB2312" w:eastAsia="仿宋_GB2312" w:hAnsi="ˎ̥" w:hint="eastAsia"/>
          <w:sz w:val="32"/>
          <w:szCs w:val="32"/>
        </w:rPr>
        <w:t>698.45万元，支出决算为</w:t>
      </w:r>
      <w:r>
        <w:rPr>
          <w:rFonts w:ascii="仿宋_GB2312" w:eastAsia="仿宋_GB2312" w:hint="eastAsia"/>
          <w:sz w:val="32"/>
          <w:szCs w:val="32"/>
        </w:rPr>
        <w:t>14,895.97</w:t>
      </w:r>
      <w:r>
        <w:rPr>
          <w:rFonts w:ascii="仿宋_GB2312" w:eastAsia="仿宋_GB2312" w:hAnsi="ˎ̥" w:hint="eastAsia"/>
          <w:sz w:val="32"/>
          <w:szCs w:val="32"/>
        </w:rPr>
        <w:t>万元，完成年初预算的101.34%。其中：</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1. </w:t>
      </w:r>
      <w:r>
        <w:rPr>
          <w:rFonts w:ascii="仿宋_GB2312" w:eastAsia="仿宋_GB2312" w:hAnsi="ˎ̥" w:hint="eastAsia"/>
          <w:b/>
          <w:sz w:val="32"/>
          <w:szCs w:val="32"/>
        </w:rPr>
        <w:t>教育支出（类）职业教育（款）中等职业教育（项）。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年初预算为388.47万元，支出决算为367.50万元，完成年初预算的94.60%。决算数小于预算数的主要原因是部分项目未完成预算数。</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2. </w:t>
      </w:r>
      <w:r>
        <w:rPr>
          <w:rFonts w:ascii="仿宋_GB2312" w:eastAsia="仿宋_GB2312" w:hAnsi="ˎ̥" w:hint="eastAsia"/>
          <w:b/>
          <w:sz w:val="32"/>
          <w:szCs w:val="32"/>
        </w:rPr>
        <w:t>教育支出（类）职业教育（款）高等职业教育（项）。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年初预算为12</w:t>
      </w:r>
      <w:r>
        <w:rPr>
          <w:rFonts w:ascii="仿宋_GB2312" w:eastAsia="仿宋_GB2312" w:hint="eastAsia"/>
          <w:sz w:val="32"/>
          <w:szCs w:val="32"/>
        </w:rPr>
        <w:t>,</w:t>
      </w:r>
      <w:r>
        <w:rPr>
          <w:rFonts w:ascii="仿宋_GB2312" w:eastAsia="仿宋_GB2312" w:hAnsi="ˎ̥" w:hint="eastAsia"/>
          <w:sz w:val="32"/>
          <w:szCs w:val="32"/>
        </w:rPr>
        <w:t>928.81万元，支出决算为13</w:t>
      </w:r>
      <w:r>
        <w:rPr>
          <w:rFonts w:ascii="仿宋_GB2312" w:eastAsia="仿宋_GB2312" w:hint="eastAsia"/>
          <w:sz w:val="32"/>
          <w:szCs w:val="32"/>
        </w:rPr>
        <w:t>,</w:t>
      </w:r>
      <w:r>
        <w:rPr>
          <w:rFonts w:ascii="仿宋_GB2312" w:eastAsia="仿宋_GB2312" w:hAnsi="ˎ̥" w:hint="eastAsia"/>
          <w:sz w:val="32"/>
          <w:szCs w:val="32"/>
        </w:rPr>
        <w:t>012.05万元，完成年初预算的100.64%。决算数大于预算数的主要原因是追加预算资金。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3. </w:t>
      </w:r>
      <w:r>
        <w:rPr>
          <w:rFonts w:ascii="仿宋_GB2312" w:eastAsia="仿宋_GB2312" w:hAnsi="ˎ̥" w:hint="eastAsia"/>
          <w:b/>
          <w:sz w:val="32"/>
          <w:szCs w:val="32"/>
        </w:rPr>
        <w:t>科学技术支出（类）基础研究（款）自然科学基金（项）。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年初预算为59.28万元，支出决算为13.08万元，完成年初预算的22.06%。决算数小于预算数的主要原因是项目未完成预算数。</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lastRenderedPageBreak/>
        <w:t xml:space="preserve">4. </w:t>
      </w:r>
      <w:r>
        <w:rPr>
          <w:rFonts w:ascii="仿宋_GB2312" w:eastAsia="仿宋_GB2312" w:hAnsi="ˎ̥" w:hint="eastAsia"/>
          <w:b/>
          <w:sz w:val="32"/>
          <w:szCs w:val="32"/>
        </w:rPr>
        <w:t>科学技术支出（类）应用研究（款）社会公益研究（项）。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年初预算为8万元，支出决算为1.07万元，完成年初预算的13.38%。决算数小于预算数的主要原因是项目未完成预算数。</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5.</w:t>
      </w:r>
      <w:r>
        <w:rPr>
          <w:rFonts w:ascii="仿宋_GB2312" w:eastAsia="仿宋_GB2312" w:hAnsi="ˎ̥" w:hint="eastAsia"/>
          <w:b/>
          <w:sz w:val="32"/>
          <w:szCs w:val="32"/>
        </w:rPr>
        <w:t xml:space="preserve"> 科学技术支出（类）科技重大项目（款）重点研发计划（项）。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年初预算为50万元，支出决算为40万元，完成年初预算的80%。决算数小于预算数的主要原因是项目未完成预算数。</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6. </w:t>
      </w:r>
      <w:r>
        <w:rPr>
          <w:rFonts w:ascii="仿宋_GB2312" w:eastAsia="仿宋_GB2312" w:hAnsi="ˎ̥" w:hint="eastAsia"/>
          <w:b/>
          <w:sz w:val="32"/>
          <w:szCs w:val="32"/>
        </w:rPr>
        <w:t>社会保障和就业支出（类）行政事业单位养老支出（款）事业单位离退休（项）。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年初预算为32.41万元，支出决算为20.29万元，完成年初预算的62.6%。决算数小于预算数的主要原因是1名离休人员离世停止支出。</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7. </w:t>
      </w:r>
      <w:r>
        <w:rPr>
          <w:rFonts w:ascii="仿宋_GB2312" w:eastAsia="仿宋_GB2312" w:hAnsi="ˎ̥" w:hint="eastAsia"/>
          <w:b/>
          <w:sz w:val="32"/>
          <w:szCs w:val="32"/>
        </w:rPr>
        <w:t>社会保障和就业支出（类）行政事业单位养老支出（款）机关事业单位基本养老保险缴费支出（项）。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年初预算为430.11万元，支出决算为496.41万元，完成年初预算的115.41%。决算数大于预算数的主要原因是追加预算资金。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8. </w:t>
      </w:r>
      <w:r>
        <w:rPr>
          <w:rFonts w:ascii="仿宋_GB2312" w:eastAsia="仿宋_GB2312" w:hAnsi="ˎ̥" w:hint="eastAsia"/>
          <w:b/>
          <w:sz w:val="32"/>
          <w:szCs w:val="32"/>
        </w:rPr>
        <w:t>社会保障和就业支出（类）行政事业单位养老支出（款）机关事业单位职业年金缴费支出（项）。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年初预算为215.05万元，支出决算为248.21万元，完成年初预算的115.42%。决算数大于预算数的主要原因是追加预算资金。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9. </w:t>
      </w:r>
      <w:r>
        <w:rPr>
          <w:rFonts w:ascii="仿宋_GB2312" w:eastAsia="仿宋_GB2312" w:hAnsi="ˎ̥" w:hint="eastAsia"/>
          <w:b/>
          <w:sz w:val="32"/>
          <w:szCs w:val="32"/>
        </w:rPr>
        <w:t>社会保障和就业支出（类）抚恤（款）死亡抚恤（项）。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年初预算为0万元，支出决算为36.74万元。决算数大于预算数的主要原因是追加预算资金。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 xml:space="preserve">10. </w:t>
      </w:r>
      <w:r>
        <w:rPr>
          <w:rFonts w:ascii="仿宋_GB2312" w:eastAsia="仿宋_GB2312" w:hAnsi="ˎ̥" w:hint="eastAsia"/>
          <w:b/>
          <w:sz w:val="32"/>
          <w:szCs w:val="32"/>
        </w:rPr>
        <w:t>社会保障和就业支出（类）抚恤（款）其他优抚支出（项）。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年初预算为4万元，支出决算为4.7万元，完成年初预算的117.5%。决算数大于预算数的主要原因是追加预算资金。</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11. </w:t>
      </w:r>
      <w:r>
        <w:rPr>
          <w:rFonts w:ascii="仿宋_GB2312" w:eastAsia="仿宋_GB2312" w:hAnsi="ˎ̥" w:hint="eastAsia"/>
          <w:b/>
          <w:sz w:val="32"/>
          <w:szCs w:val="32"/>
        </w:rPr>
        <w:t>卫生健康支出（类）行政事业单位医疗（款）事业单位医疗（项）。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年初预算为228.5万元，支出决算为228.50万元，完成年初预算的100%。</w:t>
      </w:r>
    </w:p>
    <w:p w:rsidR="007B3C7A" w:rsidRDefault="001F115A">
      <w:pPr>
        <w:spacing w:before="100" w:beforeAutospacing="1" w:after="100" w:afterAutospacing="1"/>
        <w:ind w:firstLineChars="200" w:firstLine="640"/>
        <w:rPr>
          <w:rFonts w:ascii="仿宋_GB2312" w:eastAsia="仿宋_GB2312" w:hAnsi="ˎ̥"/>
          <w:b/>
          <w:sz w:val="32"/>
          <w:szCs w:val="32"/>
        </w:rPr>
      </w:pPr>
      <w:r>
        <w:rPr>
          <w:rFonts w:ascii="仿宋_GB2312" w:eastAsia="仿宋_GB2312" w:hAnsi="ˎ̥" w:hint="eastAsia"/>
          <w:sz w:val="32"/>
          <w:szCs w:val="32"/>
        </w:rPr>
        <w:t xml:space="preserve">12. </w:t>
      </w:r>
      <w:r>
        <w:rPr>
          <w:rFonts w:ascii="仿宋_GB2312" w:eastAsia="仿宋_GB2312" w:hAnsi="ˎ̥" w:hint="eastAsia"/>
          <w:b/>
          <w:sz w:val="32"/>
          <w:szCs w:val="32"/>
        </w:rPr>
        <w:t>住房保障支出（类）住房改革支出（款）住房公积金（项）。</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年初预算为353.82万元，支出决算为427.41万元，完成年初预算的120.80%。决算数大于预算数的主要原因是追加预算资金。</w:t>
      </w:r>
    </w:p>
    <w:p w:rsidR="007B3C7A" w:rsidRDefault="001F115A">
      <w:pPr>
        <w:spacing w:before="100" w:beforeAutospacing="1" w:after="100" w:afterAutospacing="1"/>
        <w:ind w:firstLineChars="196" w:firstLine="627"/>
        <w:rPr>
          <w:rFonts w:ascii="黑体" w:eastAsia="黑体" w:hAnsi="黑体" w:cs="黑体"/>
          <w:sz w:val="32"/>
          <w:szCs w:val="32"/>
        </w:rPr>
      </w:pPr>
      <w:r>
        <w:rPr>
          <w:rFonts w:ascii="黑体" w:eastAsia="黑体" w:hAnsi="黑体" w:cs="黑体" w:hint="eastAsia"/>
          <w:bCs/>
          <w:sz w:val="32"/>
          <w:szCs w:val="32"/>
        </w:rPr>
        <w:t>六、一般公共预算财政拨款基本支出决算情况说明。</w:t>
      </w:r>
    </w:p>
    <w:p w:rsidR="007B3C7A" w:rsidRDefault="001F115A">
      <w:pPr>
        <w:tabs>
          <w:tab w:val="center" w:pos="4473"/>
        </w:tabs>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2022年度财政拨款基本支出</w:t>
      </w:r>
      <w:r>
        <w:rPr>
          <w:rFonts w:ascii="仿宋_GB2312" w:eastAsia="仿宋_GB2312" w:hint="eastAsia"/>
          <w:sz w:val="32"/>
          <w:szCs w:val="32"/>
        </w:rPr>
        <w:t>7,607.12</w:t>
      </w:r>
      <w:r>
        <w:rPr>
          <w:rFonts w:ascii="仿宋_GB2312" w:eastAsia="仿宋_GB2312" w:hAnsi="ˎ̥" w:hint="eastAsia"/>
          <w:sz w:val="32"/>
          <w:szCs w:val="32"/>
        </w:rPr>
        <w:t>万元，其中：人员经费</w:t>
      </w:r>
      <w:r>
        <w:rPr>
          <w:rFonts w:ascii="仿宋_GB2312" w:eastAsia="仿宋_GB2312" w:hint="eastAsia"/>
          <w:sz w:val="32"/>
          <w:szCs w:val="32"/>
        </w:rPr>
        <w:t>6,153.19</w:t>
      </w:r>
      <w:r>
        <w:rPr>
          <w:rFonts w:ascii="仿宋_GB2312" w:eastAsia="仿宋_GB2312" w:hAnsi="ˎ̥" w:hint="eastAsia"/>
          <w:sz w:val="32"/>
          <w:szCs w:val="32"/>
        </w:rPr>
        <w:t>万元，主要包括：工资福利支出中的基本工资、津贴补贴、绩效工资、机关事业单位基本养老保险缴费、职业年金缴费、职工基本医疗保险缴费、其他社会保障缴费、住房公积金、医疗费、其他工资福利支出；对个人和家庭的补助中的离休费、抚恤金、生活补助、奖励金、其他对个人和家庭的补助。公用经费</w:t>
      </w:r>
      <w:r>
        <w:rPr>
          <w:rFonts w:ascii="仿宋_GB2312" w:eastAsia="仿宋_GB2312" w:hint="eastAsia"/>
          <w:sz w:val="32"/>
          <w:szCs w:val="32"/>
        </w:rPr>
        <w:t>1,453.94</w:t>
      </w:r>
      <w:r>
        <w:rPr>
          <w:rFonts w:ascii="仿宋_GB2312" w:eastAsia="仿宋_GB2312" w:hAnsi="ˎ̥" w:hint="eastAsia"/>
          <w:sz w:val="32"/>
          <w:szCs w:val="32"/>
        </w:rPr>
        <w:t>万元，主要包括：商品和服务支出中的办公费、印刷费、咨询费、手续费、水费、电费、邮电费、物业管理费、差旅费、维修（护）费、租赁费、会议费、培训费、公务接待费、专用材料费、劳务费、工会经费、公务用车</w:t>
      </w:r>
      <w:r>
        <w:rPr>
          <w:rFonts w:ascii="仿宋_GB2312" w:eastAsia="仿宋_GB2312" w:hAnsi="ˎ̥" w:hint="eastAsia"/>
          <w:sz w:val="32"/>
          <w:szCs w:val="32"/>
        </w:rPr>
        <w:lastRenderedPageBreak/>
        <w:t>运行维护费、其他交通费用、税金及附加费用、其他商品和服务支出；资本性支出中的公务用车购置。</w:t>
      </w:r>
    </w:p>
    <w:p w:rsidR="007B3C7A" w:rsidRDefault="001F115A">
      <w:pPr>
        <w:tabs>
          <w:tab w:val="center" w:pos="4473"/>
        </w:tabs>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七、政府性基金预算财政拨款支出决算情况说明</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（一）政府性基金预算财政拨款支出决算总体情况。</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（二）政府性基金预算财政拨款支出决算结构情况。</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（三）政府性基金预算财政拨款支出决算具体情况。</w:t>
      </w:r>
    </w:p>
    <w:p w:rsidR="007B3C7A" w:rsidRDefault="001F115A">
      <w:pPr>
        <w:tabs>
          <w:tab w:val="center" w:pos="4473"/>
        </w:tabs>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无。</w:t>
      </w:r>
    </w:p>
    <w:p w:rsidR="007B3C7A" w:rsidRDefault="001F115A">
      <w:pPr>
        <w:tabs>
          <w:tab w:val="center" w:pos="4473"/>
        </w:tabs>
        <w:spacing w:before="100" w:beforeAutospacing="1" w:after="100" w:afterAutospacing="1"/>
        <w:ind w:firstLineChars="196" w:firstLine="627"/>
        <w:rPr>
          <w:rFonts w:ascii="黑体" w:eastAsia="黑体" w:hAnsi="黑体" w:cs="黑体"/>
          <w:bCs/>
          <w:sz w:val="32"/>
          <w:szCs w:val="32"/>
        </w:rPr>
      </w:pPr>
      <w:r>
        <w:rPr>
          <w:rFonts w:ascii="黑体" w:eastAsia="黑体" w:hAnsi="黑体" w:cs="黑体" w:hint="eastAsia"/>
          <w:bCs/>
          <w:sz w:val="32"/>
          <w:szCs w:val="32"/>
        </w:rPr>
        <w:t>八、国有资本经营预算财政拨款支出决算情况说明</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（一）国有资本经营预算财政拨款支出决算总体情况。</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t>（二）国有资本经营预算财政拨款支出决算结构情况。</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200" w:firstLine="640"/>
        <w:rPr>
          <w:rFonts w:ascii="楷体" w:eastAsia="楷体" w:hAnsi="楷体" w:cs="楷体"/>
          <w:sz w:val="32"/>
          <w:szCs w:val="32"/>
        </w:rPr>
      </w:pPr>
      <w:r>
        <w:rPr>
          <w:rFonts w:ascii="楷体" w:eastAsia="楷体" w:hAnsi="楷体" w:cs="楷体" w:hint="eastAsia"/>
          <w:sz w:val="32"/>
          <w:szCs w:val="32"/>
        </w:rPr>
        <w:lastRenderedPageBreak/>
        <w:t>（三）国有资本经营预算财政拨款支出决算具体情况。</w:t>
      </w:r>
    </w:p>
    <w:p w:rsidR="007B3C7A" w:rsidRDefault="001F115A">
      <w:pPr>
        <w:tabs>
          <w:tab w:val="center" w:pos="4473"/>
        </w:tabs>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无。</w:t>
      </w:r>
    </w:p>
    <w:p w:rsidR="007B3C7A" w:rsidRDefault="001F115A">
      <w:pPr>
        <w:spacing w:before="100" w:beforeAutospacing="1" w:after="100" w:afterAutospacing="1"/>
        <w:ind w:firstLineChars="196" w:firstLine="627"/>
        <w:rPr>
          <w:rFonts w:ascii="仿宋_GB2312" w:eastAsia="楷体_GB2312" w:hAnsi="ˎ̥"/>
          <w:sz w:val="32"/>
          <w:szCs w:val="32"/>
        </w:rPr>
      </w:pPr>
      <w:r>
        <w:rPr>
          <w:rFonts w:ascii="黑体" w:eastAsia="黑体" w:hAnsi="黑体" w:cs="黑体" w:hint="eastAsia"/>
          <w:bCs/>
          <w:sz w:val="32"/>
          <w:szCs w:val="32"/>
        </w:rPr>
        <w:t>九、财政拨款“三公”经费支出决算情况说明</w:t>
      </w:r>
    </w:p>
    <w:p w:rsidR="007B3C7A" w:rsidRDefault="001F115A">
      <w:pPr>
        <w:spacing w:before="100" w:beforeAutospacing="1" w:after="100" w:afterAutospacing="1"/>
        <w:ind w:firstLineChars="200" w:firstLine="640"/>
        <w:rPr>
          <w:rFonts w:ascii="楷体" w:eastAsia="楷体" w:hAnsi="楷体" w:cs="楷体"/>
          <w:bCs/>
          <w:sz w:val="32"/>
          <w:szCs w:val="32"/>
        </w:rPr>
      </w:pPr>
      <w:r>
        <w:rPr>
          <w:rFonts w:ascii="楷体" w:eastAsia="楷体" w:hAnsi="楷体" w:cs="楷体" w:hint="eastAsia"/>
          <w:bCs/>
          <w:sz w:val="32"/>
          <w:szCs w:val="32"/>
        </w:rPr>
        <w:t>（一）财政拨款“三公”经费支出决算总体情况说明。</w:t>
      </w:r>
    </w:p>
    <w:p w:rsidR="007B3C7A" w:rsidRDefault="001F115A">
      <w:pPr>
        <w:spacing w:before="100" w:beforeAutospacing="1" w:after="100" w:afterAutospacing="1"/>
        <w:rPr>
          <w:rFonts w:ascii="仿宋_GB2312" w:eastAsia="仿宋_GB2312" w:hAnsi="ˎ̥"/>
          <w:sz w:val="32"/>
          <w:szCs w:val="32"/>
        </w:rPr>
      </w:pPr>
      <w:r>
        <w:rPr>
          <w:rFonts w:ascii="仿宋_GB2312" w:eastAsia="仿宋_GB2312" w:hAnsi="ˎ̥" w:hint="eastAsia"/>
          <w:sz w:val="32"/>
          <w:szCs w:val="32"/>
        </w:rPr>
        <w:t xml:space="preserve">    2022年度财政拨款“三公”经费支出预算为</w:t>
      </w:r>
      <w:r>
        <w:rPr>
          <w:rFonts w:ascii="仿宋_GB2312" w:eastAsia="仿宋_GB2312" w:hint="eastAsia"/>
          <w:sz w:val="32"/>
          <w:szCs w:val="32"/>
        </w:rPr>
        <w:t>66.67</w:t>
      </w:r>
      <w:r>
        <w:rPr>
          <w:rFonts w:ascii="仿宋_GB2312" w:eastAsia="仿宋_GB2312" w:hAnsi="ˎ̥" w:hint="eastAsia"/>
          <w:sz w:val="32"/>
          <w:szCs w:val="32"/>
        </w:rPr>
        <w:t>万元，支出决算为</w:t>
      </w:r>
      <w:r>
        <w:rPr>
          <w:rFonts w:ascii="仿宋_GB2312" w:eastAsia="仿宋_GB2312" w:hint="eastAsia"/>
          <w:sz w:val="32"/>
          <w:szCs w:val="32"/>
        </w:rPr>
        <w:t>50.79</w:t>
      </w:r>
      <w:r>
        <w:rPr>
          <w:rFonts w:ascii="仿宋_GB2312" w:eastAsia="仿宋_GB2312" w:hAnsi="ˎ̥" w:hint="eastAsia"/>
          <w:sz w:val="32"/>
          <w:szCs w:val="32"/>
        </w:rPr>
        <w:t>万元，完成预算的76.18%。</w:t>
      </w:r>
    </w:p>
    <w:p w:rsidR="007B3C7A" w:rsidRDefault="001F115A">
      <w:pPr>
        <w:spacing w:before="100" w:beforeAutospacing="1" w:after="100" w:afterAutospacing="1"/>
        <w:rPr>
          <w:rFonts w:ascii="楷体" w:eastAsia="楷体" w:hAnsi="楷体" w:cs="楷体"/>
          <w:sz w:val="32"/>
          <w:szCs w:val="32"/>
        </w:rPr>
      </w:pPr>
      <w:r>
        <w:rPr>
          <w:rFonts w:ascii="楷体" w:eastAsia="楷体" w:hAnsi="楷体" w:cs="楷体" w:hint="eastAsia"/>
          <w:b/>
          <w:bCs/>
          <w:sz w:val="32"/>
          <w:szCs w:val="32"/>
        </w:rPr>
        <w:t xml:space="preserve">   </w:t>
      </w:r>
      <w:r>
        <w:rPr>
          <w:rFonts w:ascii="楷体" w:eastAsia="楷体" w:hAnsi="楷体" w:cs="楷体" w:hint="eastAsia"/>
          <w:sz w:val="32"/>
          <w:szCs w:val="32"/>
        </w:rPr>
        <w:t xml:space="preserve"> （二）财政拨款“三公”经费支出决算具体情况说明。</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2022年度财政拨款“三公”经费支出决算中，因公出国（境）费支出决算</w:t>
      </w:r>
      <w:r>
        <w:rPr>
          <w:rFonts w:ascii="仿宋_GB2312" w:eastAsia="仿宋_GB2312" w:hint="eastAsia"/>
          <w:sz w:val="32"/>
          <w:szCs w:val="32"/>
        </w:rPr>
        <w:t>0</w:t>
      </w:r>
      <w:r>
        <w:rPr>
          <w:rFonts w:ascii="仿宋_GB2312" w:eastAsia="仿宋_GB2312" w:hAnsi="ˎ̥" w:hint="eastAsia"/>
          <w:sz w:val="32"/>
          <w:szCs w:val="32"/>
        </w:rPr>
        <w:t>万元，占0.00%；公务用车购置及运行维护费支出决算</w:t>
      </w:r>
      <w:r>
        <w:rPr>
          <w:rFonts w:ascii="仿宋_GB2312" w:eastAsia="仿宋_GB2312" w:hint="eastAsia"/>
          <w:sz w:val="32"/>
          <w:szCs w:val="32"/>
        </w:rPr>
        <w:t>47.36</w:t>
      </w:r>
      <w:r>
        <w:rPr>
          <w:rFonts w:ascii="仿宋_GB2312" w:eastAsia="仿宋_GB2312" w:hAnsi="ˎ̥" w:hint="eastAsia"/>
          <w:sz w:val="32"/>
          <w:szCs w:val="32"/>
        </w:rPr>
        <w:t>万元，占93.25%；公务接待费支出决算</w:t>
      </w:r>
      <w:r>
        <w:rPr>
          <w:rFonts w:ascii="仿宋_GB2312" w:eastAsia="仿宋_GB2312" w:hint="eastAsia"/>
          <w:sz w:val="32"/>
          <w:szCs w:val="32"/>
        </w:rPr>
        <w:t>3.44</w:t>
      </w:r>
      <w:r>
        <w:rPr>
          <w:rFonts w:ascii="仿宋_GB2312" w:eastAsia="仿宋_GB2312" w:hAnsi="ˎ̥" w:hint="eastAsia"/>
          <w:sz w:val="32"/>
          <w:szCs w:val="32"/>
        </w:rPr>
        <w:t>万元，占6.77%。具体情况如下：</w:t>
      </w:r>
    </w:p>
    <w:p w:rsidR="007B3C7A" w:rsidRDefault="001F115A">
      <w:pPr>
        <w:spacing w:before="100" w:beforeAutospacing="1" w:after="100" w:afterAutospacing="1"/>
        <w:ind w:firstLineChars="200" w:firstLine="643"/>
        <w:rPr>
          <w:rFonts w:ascii="仿宋_GB2312" w:eastAsia="仿宋_GB2312" w:hAnsi="ˎ̥"/>
          <w:sz w:val="32"/>
          <w:szCs w:val="32"/>
        </w:rPr>
      </w:pPr>
      <w:r>
        <w:rPr>
          <w:rFonts w:ascii="仿宋_GB2312" w:eastAsia="仿宋_GB2312" w:hAnsi="ˎ̥" w:hint="eastAsia"/>
          <w:b/>
          <w:sz w:val="32"/>
          <w:szCs w:val="32"/>
        </w:rPr>
        <w:t>1.因公出国（境）费支出</w:t>
      </w:r>
      <w:r>
        <w:rPr>
          <w:rFonts w:ascii="仿宋_GB2312" w:eastAsia="仿宋_GB2312" w:hint="eastAsia"/>
          <w:sz w:val="32"/>
          <w:szCs w:val="32"/>
        </w:rPr>
        <w:t>0</w:t>
      </w:r>
      <w:r>
        <w:rPr>
          <w:rFonts w:ascii="仿宋_GB2312" w:eastAsia="仿宋_GB2312" w:hAnsi="ˎ̥" w:hint="eastAsia"/>
          <w:sz w:val="32"/>
          <w:szCs w:val="32"/>
        </w:rPr>
        <w:t>万元。全年安排因公出国（境）团组0个，因公出国（境）0人次。</w:t>
      </w:r>
    </w:p>
    <w:p w:rsidR="007B3C7A" w:rsidRDefault="001F115A">
      <w:pPr>
        <w:spacing w:before="100" w:beforeAutospacing="1" w:after="100" w:afterAutospacing="1"/>
        <w:rPr>
          <w:rFonts w:ascii="仿宋_GB2312" w:eastAsia="仿宋_GB2312" w:hAnsi="ˎ̥"/>
          <w:sz w:val="32"/>
          <w:szCs w:val="32"/>
        </w:rPr>
      </w:pPr>
      <w:r>
        <w:rPr>
          <w:rFonts w:ascii="仿宋_GB2312" w:eastAsia="仿宋_GB2312" w:hAnsi="ˎ̥" w:hint="eastAsia"/>
          <w:b/>
          <w:sz w:val="32"/>
          <w:szCs w:val="32"/>
        </w:rPr>
        <w:t xml:space="preserve">    2.公务用车购置及运行维护费支出</w:t>
      </w:r>
      <w:r>
        <w:rPr>
          <w:rFonts w:ascii="仿宋_GB2312" w:eastAsia="仿宋_GB2312" w:hint="eastAsia"/>
          <w:sz w:val="32"/>
          <w:szCs w:val="32"/>
        </w:rPr>
        <w:t>47.36</w:t>
      </w:r>
      <w:r>
        <w:rPr>
          <w:rFonts w:ascii="仿宋_GB2312" w:eastAsia="仿宋_GB2312" w:hAnsi="ˎ̥" w:hint="eastAsia"/>
          <w:sz w:val="32"/>
          <w:szCs w:val="32"/>
        </w:rPr>
        <w:t>万元。其中：</w:t>
      </w:r>
    </w:p>
    <w:p w:rsidR="007B3C7A" w:rsidRDefault="001F115A">
      <w:pPr>
        <w:spacing w:before="100" w:beforeAutospacing="1" w:after="100" w:afterAutospacing="1"/>
        <w:ind w:firstLineChars="200" w:firstLine="643"/>
        <w:rPr>
          <w:rFonts w:ascii="仿宋_GB2312" w:eastAsia="仿宋_GB2312" w:hAnsi="ˎ̥"/>
          <w:sz w:val="32"/>
          <w:szCs w:val="32"/>
        </w:rPr>
      </w:pPr>
      <w:r>
        <w:rPr>
          <w:rFonts w:ascii="仿宋_GB2312" w:eastAsia="仿宋_GB2312" w:hAnsi="ˎ̥" w:hint="eastAsia"/>
          <w:b/>
          <w:sz w:val="32"/>
          <w:szCs w:val="32"/>
        </w:rPr>
        <w:t>公务用车购置支出</w:t>
      </w:r>
      <w:r>
        <w:rPr>
          <w:rFonts w:ascii="仿宋_GB2312" w:eastAsia="仿宋_GB2312" w:hint="eastAsia"/>
          <w:sz w:val="32"/>
          <w:szCs w:val="32"/>
        </w:rPr>
        <w:t>35.16</w:t>
      </w:r>
      <w:r>
        <w:rPr>
          <w:rFonts w:ascii="仿宋_GB2312" w:eastAsia="仿宋_GB2312" w:hAnsi="ˎ̥" w:hint="eastAsia"/>
          <w:sz w:val="32"/>
          <w:szCs w:val="32"/>
        </w:rPr>
        <w:t>万元，全年购置公务用车2辆，主要用于公务出行，年末公务用车保有量6辆。</w:t>
      </w:r>
    </w:p>
    <w:p w:rsidR="007B3C7A" w:rsidRDefault="001F115A">
      <w:pPr>
        <w:spacing w:before="100" w:beforeAutospacing="1" w:after="100" w:afterAutospacing="1"/>
        <w:ind w:firstLineChars="200" w:firstLine="643"/>
        <w:rPr>
          <w:rFonts w:ascii="仿宋_GB2312" w:eastAsia="仿宋_GB2312" w:hAnsi="ˎ̥"/>
          <w:sz w:val="32"/>
          <w:szCs w:val="32"/>
        </w:rPr>
      </w:pPr>
      <w:r>
        <w:rPr>
          <w:rFonts w:ascii="仿宋_GB2312" w:eastAsia="仿宋_GB2312" w:hAnsi="ˎ̥" w:hint="eastAsia"/>
          <w:b/>
          <w:sz w:val="32"/>
          <w:szCs w:val="32"/>
        </w:rPr>
        <w:lastRenderedPageBreak/>
        <w:t>公务用车运行维护费支出</w:t>
      </w:r>
      <w:r>
        <w:rPr>
          <w:rFonts w:ascii="仿宋_GB2312" w:eastAsia="仿宋_GB2312" w:hint="eastAsia"/>
          <w:sz w:val="32"/>
          <w:szCs w:val="32"/>
        </w:rPr>
        <w:t>12.20</w:t>
      </w:r>
      <w:r>
        <w:rPr>
          <w:rFonts w:ascii="仿宋_GB2312" w:eastAsia="仿宋_GB2312" w:hAnsi="ˎ̥" w:hint="eastAsia"/>
          <w:sz w:val="32"/>
          <w:szCs w:val="32"/>
        </w:rPr>
        <w:t>万元，主要用于燃料费、维修费、保险费等项目。</w:t>
      </w:r>
    </w:p>
    <w:p w:rsidR="007B3C7A" w:rsidRDefault="001F115A">
      <w:pPr>
        <w:spacing w:before="100" w:beforeAutospacing="1" w:after="100" w:afterAutospacing="1"/>
        <w:ind w:firstLineChars="200" w:firstLine="640"/>
        <w:rPr>
          <w:rFonts w:ascii="仿宋_GB2312" w:eastAsia="仿宋_GB2312" w:hAnsi="ˎ̥"/>
          <w:bCs/>
          <w:sz w:val="32"/>
          <w:szCs w:val="32"/>
        </w:rPr>
      </w:pPr>
      <w:r>
        <w:rPr>
          <w:rFonts w:ascii="仿宋_GB2312" w:eastAsia="仿宋_GB2312" w:hAnsi="ˎ̥" w:hint="eastAsia"/>
          <w:bCs/>
          <w:sz w:val="32"/>
          <w:szCs w:val="32"/>
        </w:rPr>
        <w:t>公务用车购置及运行费支出决算数</w:t>
      </w:r>
      <w:r>
        <w:rPr>
          <w:rFonts w:ascii="仿宋_GB2312" w:eastAsia="仿宋_GB2312" w:hAnsi="ˎ̥" w:hint="eastAsia"/>
          <w:sz w:val="32"/>
          <w:szCs w:val="32"/>
        </w:rPr>
        <w:t>比预算数减少0.84万元，下降1.74%。</w:t>
      </w:r>
    </w:p>
    <w:p w:rsidR="007B3C7A" w:rsidRDefault="001F115A">
      <w:pPr>
        <w:spacing w:before="100" w:beforeAutospacing="1" w:after="100" w:afterAutospacing="1"/>
        <w:rPr>
          <w:rFonts w:ascii="仿宋_GB2312" w:eastAsia="仿宋_GB2312" w:hAnsi="ˎ̥"/>
          <w:sz w:val="32"/>
          <w:szCs w:val="32"/>
        </w:rPr>
      </w:pPr>
      <w:r>
        <w:rPr>
          <w:rFonts w:ascii="仿宋_GB2312" w:eastAsia="仿宋_GB2312" w:hAnsi="ˎ̥" w:hint="eastAsia"/>
          <w:b/>
          <w:sz w:val="32"/>
          <w:szCs w:val="32"/>
        </w:rPr>
        <w:t xml:space="preserve">    3.公务接待费支出</w:t>
      </w:r>
      <w:r>
        <w:rPr>
          <w:rFonts w:ascii="仿宋_GB2312" w:eastAsia="仿宋_GB2312" w:hint="eastAsia"/>
          <w:sz w:val="32"/>
          <w:szCs w:val="32"/>
        </w:rPr>
        <w:t>3.44</w:t>
      </w:r>
      <w:r>
        <w:rPr>
          <w:rFonts w:ascii="仿宋_GB2312" w:eastAsia="仿宋_GB2312" w:hAnsi="ˎ̥" w:hint="eastAsia"/>
          <w:sz w:val="32"/>
          <w:szCs w:val="32"/>
        </w:rPr>
        <w:t>万元，其中：</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国内接待费支出3.44万元，国内公务接待42批次，接待323人次；主要用于各院校及企业来校交流、调研、洽谈校企合作等事宜。</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国（境）外接待费支出0万元，国（境）外公务接待0批次，接待0人次。</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公务接待费支出决算数比预算数减少11.32万元，下降76.69%。主要原因一是严格控制公务接待；二是受疫情影响，部分调研交流工作无法开展。</w:t>
      </w:r>
    </w:p>
    <w:p w:rsidR="007B3C7A" w:rsidRDefault="001F115A">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十、预算绩效情况说明。</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（一）绩效管理工作开展情况。</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lastRenderedPageBreak/>
        <w:t>根据预算管理要求，我单位组织对2022年度一般公共预算项目支出全面开展绩效自评。</w:t>
      </w:r>
      <w:r>
        <w:rPr>
          <w:rFonts w:ascii="仿宋_GB2312" w:eastAsia="仿宋_GB2312" w:hint="eastAsia"/>
          <w:sz w:val="32"/>
          <w:szCs w:val="32"/>
          <w:lang w:bidi="ar"/>
        </w:rPr>
        <w:t>其中，自评项目18个，共涉及资金</w:t>
      </w:r>
      <w:r>
        <w:rPr>
          <w:rFonts w:ascii="仿宋_GB2312" w:eastAsia="仿宋_GB2312" w:hAnsi="仿宋" w:hint="eastAsia"/>
          <w:sz w:val="32"/>
          <w:szCs w:val="32"/>
        </w:rPr>
        <w:t>7,093.26</w:t>
      </w:r>
      <w:r>
        <w:rPr>
          <w:rFonts w:ascii="仿宋_GB2312" w:eastAsia="仿宋_GB2312" w:hint="eastAsia"/>
          <w:sz w:val="32"/>
          <w:szCs w:val="32"/>
          <w:lang w:bidi="ar"/>
        </w:rPr>
        <w:t>万元，占一般公共预算项目支出总额的97.32%。</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（二）部门决算</w:t>
      </w:r>
      <w:proofErr w:type="gramStart"/>
      <w:r>
        <w:rPr>
          <w:rFonts w:ascii="楷体" w:eastAsia="楷体" w:hAnsi="楷体" w:cs="楷体" w:hint="eastAsia"/>
          <w:bCs/>
          <w:sz w:val="32"/>
          <w:szCs w:val="32"/>
        </w:rPr>
        <w:t>中项目</w:t>
      </w:r>
      <w:proofErr w:type="gramEnd"/>
      <w:r>
        <w:rPr>
          <w:rFonts w:ascii="楷体" w:eastAsia="楷体" w:hAnsi="楷体" w:cs="楷体" w:hint="eastAsia"/>
          <w:bCs/>
          <w:sz w:val="32"/>
          <w:szCs w:val="32"/>
        </w:rPr>
        <w:t>绩效自评结果。</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t>我单位在部门决算中反映</w:t>
      </w:r>
      <w:r>
        <w:rPr>
          <w:rFonts w:ascii="仿宋_GB2312" w:eastAsia="仿宋_GB2312" w:hAnsi="仿宋" w:hint="eastAsia"/>
          <w:sz w:val="32"/>
          <w:szCs w:val="32"/>
        </w:rPr>
        <w:t>现代职业教育质量提升计划项目、学生资助补助项目</w:t>
      </w:r>
      <w:r>
        <w:rPr>
          <w:rFonts w:ascii="仿宋_GB2312" w:eastAsia="仿宋_GB2312" w:hint="eastAsia"/>
          <w:sz w:val="32"/>
          <w:szCs w:val="32"/>
        </w:rPr>
        <w:t>等2个项目绩效自评结果。</w:t>
      </w:r>
    </w:p>
    <w:p w:rsidR="007B3C7A" w:rsidRDefault="001F115A" w:rsidP="00655392">
      <w:pPr>
        <w:spacing w:before="100" w:beforeAutospacing="1" w:after="100" w:afterAutospacing="1"/>
        <w:ind w:firstLineChars="200" w:firstLine="640"/>
        <w:jc w:val="center"/>
        <w:rPr>
          <w:rFonts w:ascii="仿宋_GB2312" w:eastAsia="仿宋_GB2312"/>
          <w:sz w:val="32"/>
          <w:szCs w:val="32"/>
        </w:rPr>
      </w:pPr>
      <w:r>
        <w:rPr>
          <w:rFonts w:ascii="仿宋_GB2312" w:eastAsia="仿宋_GB2312" w:hint="eastAsia"/>
          <w:sz w:val="32"/>
          <w:szCs w:val="32"/>
        </w:rPr>
        <w:t>现代职业教育质量提升计划项目绩效自评表：</w:t>
      </w:r>
    </w:p>
    <w:tbl>
      <w:tblPr>
        <w:tblW w:w="9140" w:type="dxa"/>
        <w:tblInd w:w="93" w:type="dxa"/>
        <w:tblLook w:val="04A0" w:firstRow="1" w:lastRow="0" w:firstColumn="1" w:lastColumn="0" w:noHBand="0" w:noVBand="1"/>
      </w:tblPr>
      <w:tblGrid>
        <w:gridCol w:w="930"/>
        <w:gridCol w:w="638"/>
        <w:gridCol w:w="1302"/>
        <w:gridCol w:w="256"/>
        <w:gridCol w:w="735"/>
        <w:gridCol w:w="486"/>
        <w:gridCol w:w="756"/>
        <w:gridCol w:w="756"/>
        <w:gridCol w:w="576"/>
        <w:gridCol w:w="666"/>
        <w:gridCol w:w="669"/>
        <w:gridCol w:w="1717"/>
      </w:tblGrid>
      <w:tr w:rsidR="007B3C7A">
        <w:trPr>
          <w:trHeight w:val="690"/>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项目名称:</w:t>
            </w:r>
          </w:p>
        </w:tc>
        <w:tc>
          <w:tcPr>
            <w:tcW w:w="2096"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46000022T000000159761-现代职业教育质量提升计划项目</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填报人:</w:t>
            </w:r>
          </w:p>
        </w:tc>
        <w:tc>
          <w:tcPr>
            <w:tcW w:w="1837"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梁挺进</w:t>
            </w:r>
          </w:p>
        </w:tc>
        <w:tc>
          <w:tcPr>
            <w:tcW w:w="51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联系方式:</w:t>
            </w:r>
          </w:p>
        </w:tc>
        <w:tc>
          <w:tcPr>
            <w:tcW w:w="3026" w:type="dxa"/>
            <w:gridSpan w:val="3"/>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15808919258</w:t>
            </w:r>
          </w:p>
        </w:tc>
      </w:tr>
      <w:tr w:rsidR="007B3C7A">
        <w:trPr>
          <w:trHeight w:val="450"/>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主管部门:</w:t>
            </w:r>
          </w:p>
        </w:tc>
        <w:tc>
          <w:tcPr>
            <w:tcW w:w="2096"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203-省教育厅</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实施单位:</w:t>
            </w:r>
          </w:p>
        </w:tc>
        <w:tc>
          <w:tcPr>
            <w:tcW w:w="537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203015-海南软件职业技术学院</w:t>
            </w:r>
          </w:p>
        </w:tc>
      </w:tr>
      <w:tr w:rsidR="007B3C7A">
        <w:trPr>
          <w:trHeight w:val="398"/>
        </w:trPr>
        <w:tc>
          <w:tcPr>
            <w:tcW w:w="930" w:type="dxa"/>
            <w:tcBorders>
              <w:top w:val="nil"/>
              <w:left w:val="single" w:sz="4" w:space="0" w:color="auto"/>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是否公开：</w:t>
            </w:r>
          </w:p>
        </w:tc>
        <w:tc>
          <w:tcPr>
            <w:tcW w:w="2096" w:type="dxa"/>
            <w:gridSpan w:val="3"/>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w:t>
            </w:r>
          </w:p>
        </w:tc>
        <w:tc>
          <w:tcPr>
            <w:tcW w:w="735" w:type="dxa"/>
            <w:tcBorders>
              <w:top w:val="nil"/>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网址：</w:t>
            </w:r>
          </w:p>
        </w:tc>
        <w:tc>
          <w:tcPr>
            <w:tcW w:w="537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450"/>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资金构成(万元)</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年初预算数</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全年预算数</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执行数</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b/>
                <w:bCs/>
                <w:color w:val="000000"/>
                <w:sz w:val="18"/>
                <w:szCs w:val="18"/>
              </w:rPr>
            </w:pPr>
            <w:r>
              <w:rPr>
                <w:rFonts w:ascii="等线" w:eastAsia="等线" w:hint="eastAsia"/>
                <w:b/>
                <w:bCs/>
                <w:color w:val="000000"/>
                <w:sz w:val="18"/>
                <w:szCs w:val="18"/>
              </w:rPr>
              <w:t>执行率（%）</w:t>
            </w:r>
          </w:p>
        </w:tc>
        <w:tc>
          <w:tcPr>
            <w:tcW w:w="1717"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r>
      <w:tr w:rsidR="007B3C7A">
        <w:trPr>
          <w:trHeight w:val="28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资金总额：</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3,434.00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4,753.00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4,102.41</w:t>
            </w:r>
          </w:p>
        </w:tc>
        <w:tc>
          <w:tcPr>
            <w:tcW w:w="616" w:type="dxa"/>
            <w:tcBorders>
              <w:top w:val="nil"/>
              <w:left w:val="nil"/>
              <w:bottom w:val="single" w:sz="4" w:space="0" w:color="auto"/>
              <w:right w:val="single" w:sz="4" w:space="0" w:color="auto"/>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10.00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86.31</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8.63</w:t>
            </w:r>
          </w:p>
        </w:tc>
      </w:tr>
      <w:tr w:rsidR="007B3C7A">
        <w:trPr>
          <w:trHeight w:val="28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其中：财政资金：</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3,434.00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4,753.00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4,102.41</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86.31</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46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财政专户管理资金：</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153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单位资金：</w:t>
            </w:r>
          </w:p>
        </w:tc>
        <w:tc>
          <w:tcPr>
            <w:tcW w:w="1100"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131"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353"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717"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376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w:t>
            </w:r>
          </w:p>
        </w:tc>
        <w:tc>
          <w:tcPr>
            <w:tcW w:w="537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年度目标完成情况</w:t>
            </w:r>
          </w:p>
        </w:tc>
      </w:tr>
      <w:tr w:rsidR="007B3C7A">
        <w:trPr>
          <w:trHeight w:val="6900"/>
        </w:trPr>
        <w:tc>
          <w:tcPr>
            <w:tcW w:w="376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7B3C7A" w:rsidRDefault="001F115A">
            <w:pPr>
              <w:rPr>
                <w:rFonts w:ascii="等线" w:eastAsia="等线"/>
                <w:color w:val="000000"/>
                <w:sz w:val="18"/>
                <w:szCs w:val="18"/>
              </w:rPr>
            </w:pPr>
            <w:r>
              <w:rPr>
                <w:rFonts w:ascii="等线" w:eastAsia="等线" w:hint="eastAsia"/>
                <w:color w:val="000000"/>
                <w:sz w:val="18"/>
                <w:szCs w:val="18"/>
              </w:rPr>
              <w:lastRenderedPageBreak/>
              <w:t xml:space="preserve">目标1：高职生均拨款水平不低于1.2万元； </w:t>
            </w:r>
            <w:r>
              <w:rPr>
                <w:rFonts w:ascii="等线" w:eastAsia="等线" w:hint="eastAsia"/>
                <w:color w:val="000000"/>
                <w:sz w:val="18"/>
                <w:szCs w:val="18"/>
              </w:rPr>
              <w:br/>
              <w:t xml:space="preserve">目标2：中国特色高水平高职学校和专业建设全面启动实施 </w:t>
            </w:r>
            <w:r>
              <w:rPr>
                <w:rFonts w:ascii="等线" w:eastAsia="等线" w:hint="eastAsia"/>
                <w:color w:val="000000"/>
                <w:sz w:val="18"/>
                <w:szCs w:val="18"/>
              </w:rPr>
              <w:br/>
              <w:t xml:space="preserve">目标3：1+X证书制度试点范围逐步扩大 </w:t>
            </w:r>
            <w:r>
              <w:rPr>
                <w:rFonts w:ascii="等线" w:eastAsia="等线" w:hint="eastAsia"/>
                <w:color w:val="000000"/>
                <w:sz w:val="18"/>
                <w:szCs w:val="18"/>
              </w:rPr>
              <w:br/>
              <w:t xml:space="preserve">目标4：改善教学办学设施，配置设备 </w:t>
            </w:r>
            <w:r>
              <w:rPr>
                <w:rFonts w:ascii="等线" w:eastAsia="等线" w:hint="eastAsia"/>
                <w:color w:val="000000"/>
                <w:sz w:val="18"/>
                <w:szCs w:val="18"/>
              </w:rPr>
              <w:br/>
              <w:t xml:space="preserve">目标5：提高优质师资教学水平 </w:t>
            </w:r>
            <w:r>
              <w:rPr>
                <w:rFonts w:ascii="等线" w:eastAsia="等线" w:hint="eastAsia"/>
                <w:color w:val="000000"/>
                <w:sz w:val="18"/>
                <w:szCs w:val="18"/>
              </w:rPr>
              <w:br/>
              <w:t xml:space="preserve">目标6：加强资源库建设 </w:t>
            </w:r>
          </w:p>
        </w:tc>
        <w:tc>
          <w:tcPr>
            <w:tcW w:w="5379" w:type="dxa"/>
            <w:gridSpan w:val="7"/>
            <w:tcBorders>
              <w:top w:val="single" w:sz="4" w:space="0" w:color="auto"/>
              <w:left w:val="nil"/>
              <w:bottom w:val="single" w:sz="4" w:space="0" w:color="auto"/>
              <w:right w:val="single" w:sz="4" w:space="0" w:color="000000"/>
            </w:tcBorders>
            <w:shd w:val="clear" w:color="auto" w:fill="FFFFFF"/>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该项目本年度主要完成支付改善学校校园环境建设项目2151.96万元；提高办学教育服务质量水平、充实学校教学资源库建设项目 1121.79 万元；高校信息化建设及设备购置项目 455.05 万元；图书购置项目121.27万元；后勤社会化服务、</w:t>
            </w:r>
            <w:r w:rsidR="00204802" w:rsidRPr="00204802">
              <w:rPr>
                <w:rFonts w:ascii="等线" w:eastAsia="等线" w:hint="eastAsia"/>
                <w:color w:val="000000"/>
                <w:sz w:val="18"/>
                <w:szCs w:val="18"/>
              </w:rPr>
              <w:t>各类专业竞赛及课程建设</w:t>
            </w:r>
            <w:r>
              <w:rPr>
                <w:rFonts w:ascii="等线" w:eastAsia="等线" w:hint="eastAsia"/>
                <w:color w:val="000000"/>
                <w:sz w:val="18"/>
                <w:szCs w:val="18"/>
              </w:rPr>
              <w:t>等项目252.35万元。</w:t>
            </w:r>
            <w:r>
              <w:rPr>
                <w:rFonts w:ascii="等线" w:eastAsia="等线" w:hint="eastAsia"/>
                <w:color w:val="000000"/>
                <w:sz w:val="18"/>
                <w:szCs w:val="18"/>
              </w:rPr>
              <w:br/>
              <w:t xml:space="preserve">   学校办学条件明显得到改善，办学质量得到提升，人才培养、科学研究、社会服务等各方面水平得到显著提高，为下一步建设职业本科院校打下基础，绩效目标基本完成。</w:t>
            </w:r>
            <w:r>
              <w:rPr>
                <w:rFonts w:ascii="等线" w:eastAsia="等线" w:hint="eastAsia"/>
                <w:color w:val="000000"/>
                <w:sz w:val="18"/>
                <w:szCs w:val="18"/>
              </w:rPr>
              <w:br/>
              <w:t xml:space="preserve">   其中：生均拨款水平达到1.2万元/生，支持的创新团队数量2个（动画专业、软件技术专业），支持学科专业数量7个，支持的教学实验室数量10个（舞蹈实训室、国际教育与旅游实训、汽车发动机拆装实训室、酒店专业实训室耗材、广告设计实训室、计算机网络应用服务实训室、经济管理学院实训室、跨境电</w:t>
            </w:r>
            <w:proofErr w:type="gramStart"/>
            <w:r>
              <w:rPr>
                <w:rFonts w:ascii="等线" w:eastAsia="等线" w:hint="eastAsia"/>
                <w:color w:val="000000"/>
                <w:sz w:val="18"/>
                <w:szCs w:val="18"/>
              </w:rPr>
              <w:t>商综合实</w:t>
            </w:r>
            <w:proofErr w:type="gramEnd"/>
            <w:r>
              <w:rPr>
                <w:rFonts w:ascii="等线" w:eastAsia="等线" w:hint="eastAsia"/>
                <w:color w:val="000000"/>
                <w:sz w:val="18"/>
                <w:szCs w:val="18"/>
              </w:rPr>
              <w:t>训室、网络综合布线实训室、教学动画生产线实训室等），支持的科研基地和实训中心数量 2个（软件园产学研基地修、机电工程学院新能源汽车实训基地），完成中国特色高水平高职学校和专业建设计划实施≥ 90 %，1+X证书制度试点启动率达≥ 90%，申报2个教学创新团队，其中，1支教学创新</w:t>
            </w:r>
            <w:proofErr w:type="gramStart"/>
            <w:r>
              <w:rPr>
                <w:rFonts w:ascii="等线" w:eastAsia="等线" w:hint="eastAsia"/>
                <w:color w:val="000000"/>
                <w:sz w:val="18"/>
                <w:szCs w:val="18"/>
              </w:rPr>
              <w:t>团队获</w:t>
            </w:r>
            <w:proofErr w:type="gramEnd"/>
            <w:r>
              <w:rPr>
                <w:rFonts w:ascii="等线" w:eastAsia="等线" w:hint="eastAsia"/>
                <w:color w:val="000000"/>
                <w:sz w:val="18"/>
                <w:szCs w:val="18"/>
              </w:rPr>
              <w:t>批省级立项建设，1支</w:t>
            </w:r>
            <w:proofErr w:type="gramStart"/>
            <w:r>
              <w:rPr>
                <w:rFonts w:ascii="等线" w:eastAsia="等线" w:hint="eastAsia"/>
                <w:color w:val="000000"/>
                <w:sz w:val="18"/>
                <w:szCs w:val="18"/>
              </w:rPr>
              <w:t>团队获</w:t>
            </w:r>
            <w:proofErr w:type="gramEnd"/>
            <w:r>
              <w:rPr>
                <w:rFonts w:ascii="等线" w:eastAsia="等线" w:hint="eastAsia"/>
                <w:color w:val="000000"/>
                <w:sz w:val="18"/>
                <w:szCs w:val="18"/>
              </w:rPr>
              <w:t>批省级培育建设；支持校级19项目</w:t>
            </w:r>
            <w:proofErr w:type="gramStart"/>
            <w:r>
              <w:rPr>
                <w:rFonts w:ascii="等线" w:eastAsia="等线" w:hint="eastAsia"/>
                <w:color w:val="000000"/>
                <w:sz w:val="18"/>
                <w:szCs w:val="18"/>
              </w:rPr>
              <w:t>课程思政案例</w:t>
            </w:r>
            <w:proofErr w:type="gramEnd"/>
            <w:r>
              <w:rPr>
                <w:rFonts w:ascii="等线" w:eastAsia="等线" w:hint="eastAsia"/>
                <w:color w:val="000000"/>
                <w:sz w:val="18"/>
                <w:szCs w:val="18"/>
              </w:rPr>
              <w:t>项目、5项课程革命项目、7支创新教学团队、13部新形态教材建设、2支思想政治理论课示范课堂项目；支持8支教学能力比赛团队参加全省竞赛获得一等奖2项、二等奖3项，三等奖1项，国赛三等奖1项的好成绩；全部完成海南省高职院校高水平专业群建设并取得相关奖项（专业</w:t>
            </w:r>
            <w:proofErr w:type="gramStart"/>
            <w:r>
              <w:rPr>
                <w:rFonts w:ascii="等线" w:eastAsia="等线" w:hint="eastAsia"/>
                <w:color w:val="000000"/>
                <w:sz w:val="18"/>
                <w:szCs w:val="18"/>
              </w:rPr>
              <w:t>群改革</w:t>
            </w:r>
            <w:proofErr w:type="gramEnd"/>
            <w:r>
              <w:rPr>
                <w:rFonts w:ascii="等线" w:eastAsia="等线" w:hint="eastAsia"/>
                <w:color w:val="000000"/>
                <w:sz w:val="18"/>
                <w:szCs w:val="18"/>
              </w:rPr>
              <w:t>成果《传承本土文化的“项目实战、岗位进阶”动漫专业群教学模式创新与实践》获得海南省2022年度教学成果高职组二等奖；专业群1名骨干成员获得海南省优秀教育工作者称号；专业</w:t>
            </w:r>
            <w:proofErr w:type="gramStart"/>
            <w:r>
              <w:rPr>
                <w:rFonts w:ascii="等线" w:eastAsia="等线" w:hint="eastAsia"/>
                <w:color w:val="000000"/>
                <w:sz w:val="18"/>
                <w:szCs w:val="18"/>
              </w:rPr>
              <w:t>群教师</w:t>
            </w:r>
            <w:proofErr w:type="gramEnd"/>
            <w:r>
              <w:rPr>
                <w:rFonts w:ascii="等线" w:eastAsia="等线" w:hint="eastAsia"/>
                <w:color w:val="000000"/>
                <w:sz w:val="18"/>
                <w:szCs w:val="18"/>
              </w:rPr>
              <w:t>指导学生参加2021年全国职业技能大赛获高职组“虚拟与现实设计与制作”赛项三等奖），高职毕业生平均就业率完成87.72%；教师定期假期到企业进行实践，引进企业兼职教师促进人才双向交流全部完成；学院师生满意度达到90%。</w:t>
            </w:r>
          </w:p>
        </w:tc>
      </w:tr>
      <w:tr w:rsidR="007B3C7A">
        <w:trPr>
          <w:trHeight w:val="76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一级指标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二级指标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三级指标</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指标性质</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年度指标值</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度量单位</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实际完成值</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完成率</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未完成原因分析</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支持的创新团队数量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因原申报计划与省级实际给予申报的指标有较大出入导致。</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支持的教学实验室数量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支持的科研基地和实训中心数量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2.5</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因原申报计划与省级实际给予申报的指标有较大出入导致。</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产出指标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数量指标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支持的学科数量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7</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proofErr w:type="gramStart"/>
            <w:r>
              <w:rPr>
                <w:rFonts w:ascii="等线" w:eastAsia="等线" w:hint="eastAsia"/>
                <w:color w:val="000000"/>
                <w:sz w:val="18"/>
                <w:szCs w:val="18"/>
              </w:rPr>
              <w:t>个</w:t>
            </w:r>
            <w:proofErr w:type="gramEnd"/>
            <w:r>
              <w:rPr>
                <w:rFonts w:ascii="等线" w:eastAsia="等线" w:hint="eastAsia"/>
                <w:color w:val="000000"/>
                <w:sz w:val="18"/>
                <w:szCs w:val="18"/>
              </w:rPr>
              <w:t>（套）</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7</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社会效益指标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高职毕业生平均就业率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92</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87.72%</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95%</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9.53 </w:t>
            </w:r>
          </w:p>
        </w:tc>
        <w:tc>
          <w:tcPr>
            <w:tcW w:w="171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受海南省整体就业环境影响。</w:t>
            </w:r>
          </w:p>
        </w:tc>
      </w:tr>
      <w:tr w:rsidR="007B3C7A">
        <w:trPr>
          <w:trHeight w:val="1140"/>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lastRenderedPageBreak/>
              <w:t>效益指标</w:t>
            </w:r>
          </w:p>
        </w:tc>
        <w:tc>
          <w:tcPr>
            <w:tcW w:w="600"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社会效益指标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教师定期假期到企业进行实践，引进企业兼职教师促进人才双向交流 </w:t>
            </w:r>
          </w:p>
        </w:tc>
        <w:tc>
          <w:tcPr>
            <w:tcW w:w="735"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250</w:t>
            </w:r>
          </w:p>
        </w:tc>
        <w:tc>
          <w:tcPr>
            <w:tcW w:w="570"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人次</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250</w:t>
            </w:r>
          </w:p>
        </w:tc>
        <w:tc>
          <w:tcPr>
            <w:tcW w:w="51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可持续发展指标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1+X证书制度试点启动率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94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可持续发展指标</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第一轮中国特色高水平高职学校和专业建设计划实施率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满意度指标</w:t>
            </w:r>
          </w:p>
        </w:tc>
        <w:tc>
          <w:tcPr>
            <w:tcW w:w="60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服务对象满意度</w:t>
            </w:r>
          </w:p>
        </w:tc>
        <w:tc>
          <w:tcPr>
            <w:tcW w:w="1496"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学院师生满意度 </w:t>
            </w:r>
          </w:p>
        </w:tc>
        <w:tc>
          <w:tcPr>
            <w:tcW w:w="735"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1"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70"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w:t>
            </w:r>
          </w:p>
        </w:tc>
        <w:tc>
          <w:tcPr>
            <w:tcW w:w="5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6114"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合计</w:t>
            </w:r>
          </w:p>
        </w:tc>
        <w:tc>
          <w:tcPr>
            <w:tcW w:w="61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93"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83.16 </w:t>
            </w:r>
          </w:p>
        </w:tc>
        <w:tc>
          <w:tcPr>
            <w:tcW w:w="1717"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bl>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t>现代职业教育质量提升计划项目绩效自评报告：根据年初设定的绩效目标，项目绩效自评得分为83.16分。全年预算数为4,753万元，执行数为4,102.41万元，完成预算的86.31%。项目绩效目标完成情况：一是</w:t>
      </w:r>
      <w:r>
        <w:rPr>
          <w:rFonts w:ascii="仿宋_GB2312" w:eastAsia="仿宋_GB2312" w:hAnsi="仿宋_GB2312" w:cs="仿宋_GB2312" w:hint="eastAsia"/>
          <w:sz w:val="32"/>
          <w:szCs w:val="32"/>
        </w:rPr>
        <w:t>项目严格执行以控制成本为目的的相关措施，项目部门结合学校的实际情况，编制详细的施工预算和成本控制计划措施，确定项目成本控制的计划目标，并让审计部门对实行的项目成本做核算，争取最大限度的降低成本，并取得了良好的效果</w:t>
      </w:r>
      <w:r>
        <w:rPr>
          <w:rFonts w:ascii="仿宋_GB2312" w:eastAsia="仿宋_GB2312" w:hint="eastAsia"/>
          <w:sz w:val="32"/>
          <w:szCs w:val="32"/>
        </w:rPr>
        <w:t>；二是</w:t>
      </w:r>
      <w:r>
        <w:rPr>
          <w:rFonts w:ascii="仿宋_GB2312" w:eastAsia="仿宋_GB2312" w:hAnsi="仿宋_GB2312" w:cs="仿宋_GB2312" w:hint="eastAsia"/>
          <w:sz w:val="32"/>
          <w:szCs w:val="32"/>
        </w:rPr>
        <w:t>截止至2022年底，该项目本年度主要完成支付改善学校校园环境建设项目2,151.96万元；提高办学教育服务质量水平、充实学校教学资源库建设项目 1,121.79 万元；高校信息化建设及设备购置项目 455.05 万元；图书购置项目121.27万元；</w:t>
      </w:r>
      <w:r w:rsidR="00655392">
        <w:rPr>
          <w:rFonts w:ascii="仿宋_GB2312" w:eastAsia="仿宋_GB2312" w:hAnsi="仿宋_GB2312" w:cs="仿宋_GB2312" w:hint="eastAsia"/>
          <w:sz w:val="32"/>
          <w:szCs w:val="32"/>
        </w:rPr>
        <w:t>各类</w:t>
      </w:r>
      <w:r w:rsidR="00B856A4">
        <w:rPr>
          <w:rFonts w:ascii="仿宋_GB2312" w:eastAsia="仿宋_GB2312" w:hAnsi="仿宋_GB2312" w:cs="仿宋_GB2312" w:hint="eastAsia"/>
          <w:sz w:val="32"/>
          <w:szCs w:val="32"/>
        </w:rPr>
        <w:t>专业</w:t>
      </w:r>
      <w:r w:rsidRPr="00ED2C2A">
        <w:rPr>
          <w:rFonts w:ascii="仿宋_GB2312" w:eastAsia="仿宋_GB2312" w:hAnsi="仿宋_GB2312" w:cs="仿宋_GB2312" w:hint="eastAsia"/>
          <w:sz w:val="32"/>
          <w:szCs w:val="32"/>
        </w:rPr>
        <w:t>竞赛</w:t>
      </w:r>
      <w:r w:rsidR="00655392">
        <w:rPr>
          <w:rFonts w:ascii="仿宋_GB2312" w:eastAsia="仿宋_GB2312" w:hAnsi="仿宋_GB2312" w:cs="仿宋_GB2312" w:hint="eastAsia"/>
          <w:sz w:val="32"/>
          <w:szCs w:val="32"/>
        </w:rPr>
        <w:t>及课程建设</w:t>
      </w:r>
      <w:r w:rsidRPr="00ED2C2A">
        <w:rPr>
          <w:rFonts w:ascii="仿宋_GB2312" w:eastAsia="仿宋_GB2312" w:hAnsi="仿宋_GB2312" w:cs="仿宋_GB2312" w:hint="eastAsia"/>
          <w:sz w:val="32"/>
          <w:szCs w:val="32"/>
        </w:rPr>
        <w:t>等项目</w:t>
      </w:r>
      <w:r w:rsidRPr="00ED2C2A">
        <w:rPr>
          <w:rFonts w:ascii="仿宋_GB2312" w:eastAsia="仿宋_GB2312" w:hAnsi="仿宋_GB2312" w:cs="仿宋_GB2312" w:hint="eastAsia"/>
          <w:sz w:val="32"/>
          <w:szCs w:val="32"/>
        </w:rPr>
        <w:lastRenderedPageBreak/>
        <w:t>252.35</w:t>
      </w:r>
      <w:r w:rsidR="00ED2C2A">
        <w:rPr>
          <w:rFonts w:ascii="仿宋_GB2312" w:eastAsia="仿宋_GB2312" w:hAnsi="仿宋_GB2312" w:cs="仿宋_GB2312" w:hint="eastAsia"/>
          <w:sz w:val="32"/>
          <w:szCs w:val="32"/>
        </w:rPr>
        <w:t>万元，基本完成预算目标。</w:t>
      </w:r>
      <w:r w:rsidRPr="00ED2C2A">
        <w:rPr>
          <w:rFonts w:ascii="仿宋_GB2312" w:eastAsia="仿宋_GB2312" w:hint="eastAsia"/>
          <w:sz w:val="32"/>
          <w:szCs w:val="32"/>
        </w:rPr>
        <w:t>发</w:t>
      </w:r>
      <w:r>
        <w:rPr>
          <w:rFonts w:ascii="仿宋_GB2312" w:eastAsia="仿宋_GB2312" w:hint="eastAsia"/>
          <w:sz w:val="32"/>
          <w:szCs w:val="32"/>
        </w:rPr>
        <w:t>现的主要问题及原因是</w:t>
      </w:r>
      <w:r w:rsidR="00655392">
        <w:rPr>
          <w:rFonts w:ascii="仿宋_GB2312" w:eastAsia="仿宋_GB2312" w:hint="eastAsia"/>
          <w:sz w:val="32"/>
          <w:szCs w:val="32"/>
        </w:rPr>
        <w:t>个别</w:t>
      </w:r>
      <w:r>
        <w:rPr>
          <w:rFonts w:ascii="仿宋_GB2312" w:eastAsia="仿宋_GB2312" w:hAnsi="仿宋_GB2312" w:cs="仿宋_GB2312" w:hint="eastAsia"/>
          <w:sz w:val="32"/>
          <w:szCs w:val="32"/>
        </w:rPr>
        <w:t>项目前期论证不充分、项目审批、招标周期过长，影响项目实施进度</w:t>
      </w:r>
      <w:r>
        <w:rPr>
          <w:rFonts w:ascii="仿宋_GB2312" w:eastAsia="仿宋_GB2312" w:hint="eastAsia"/>
          <w:sz w:val="32"/>
          <w:szCs w:val="32"/>
        </w:rPr>
        <w:t>。下一步改进措施：一是</w:t>
      </w:r>
      <w:r>
        <w:rPr>
          <w:rFonts w:ascii="仿宋_GB2312" w:eastAsia="仿宋_GB2312" w:hAnsi="仿宋_GB2312" w:cs="仿宋_GB2312" w:hint="eastAsia"/>
          <w:sz w:val="32"/>
          <w:szCs w:val="32"/>
        </w:rPr>
        <w:t>完善项目库储备工作，对计划项目要充分做好前期调研、论证工作，确保入库项目可行，能按预期计划实施</w:t>
      </w:r>
      <w:r>
        <w:rPr>
          <w:rFonts w:ascii="仿宋_GB2312" w:eastAsia="仿宋_GB2312" w:hint="eastAsia"/>
          <w:sz w:val="32"/>
          <w:szCs w:val="32"/>
        </w:rPr>
        <w:t>；二是</w:t>
      </w:r>
      <w:r>
        <w:rPr>
          <w:rFonts w:ascii="仿宋_GB2312" w:eastAsia="仿宋_GB2312" w:hAnsi="仿宋_GB2312" w:cs="仿宋_GB2312" w:hint="eastAsia"/>
          <w:sz w:val="32"/>
          <w:szCs w:val="32"/>
        </w:rPr>
        <w:t>倒排工期，按时间节点推进工程项目，确保项目资金按计划使用</w:t>
      </w:r>
      <w:r>
        <w:rPr>
          <w:rFonts w:ascii="仿宋_GB2312" w:eastAsia="仿宋_GB2312" w:hint="eastAsia"/>
          <w:sz w:val="32"/>
          <w:szCs w:val="32"/>
        </w:rPr>
        <w:t>。</w:t>
      </w:r>
    </w:p>
    <w:p w:rsidR="007B3C7A" w:rsidRDefault="001F115A" w:rsidP="00655392">
      <w:pPr>
        <w:spacing w:before="100" w:beforeAutospacing="1" w:after="100" w:afterAutospacing="1"/>
        <w:ind w:firstLineChars="200" w:firstLine="640"/>
        <w:jc w:val="center"/>
        <w:rPr>
          <w:rFonts w:ascii="仿宋_GB2312" w:eastAsia="仿宋_GB2312"/>
          <w:sz w:val="32"/>
          <w:szCs w:val="32"/>
        </w:rPr>
      </w:pPr>
      <w:r>
        <w:rPr>
          <w:rFonts w:ascii="仿宋_GB2312" w:eastAsia="仿宋_GB2312" w:hint="eastAsia"/>
          <w:sz w:val="32"/>
          <w:szCs w:val="32"/>
        </w:rPr>
        <w:t>学生资助补助项目绩效自评表：</w:t>
      </w:r>
    </w:p>
    <w:tbl>
      <w:tblPr>
        <w:tblW w:w="9060" w:type="dxa"/>
        <w:tblInd w:w="93" w:type="dxa"/>
        <w:tblLook w:val="04A0" w:firstRow="1" w:lastRow="0" w:firstColumn="1" w:lastColumn="0" w:noHBand="0" w:noVBand="1"/>
      </w:tblPr>
      <w:tblGrid>
        <w:gridCol w:w="930"/>
        <w:gridCol w:w="838"/>
        <w:gridCol w:w="1299"/>
        <w:gridCol w:w="338"/>
        <w:gridCol w:w="936"/>
        <w:gridCol w:w="641"/>
        <w:gridCol w:w="498"/>
        <w:gridCol w:w="567"/>
        <w:gridCol w:w="576"/>
        <w:gridCol w:w="756"/>
        <w:gridCol w:w="669"/>
        <w:gridCol w:w="1013"/>
      </w:tblGrid>
      <w:tr w:rsidR="007B3C7A">
        <w:trPr>
          <w:trHeight w:val="615"/>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项目名称:</w:t>
            </w:r>
          </w:p>
        </w:tc>
        <w:tc>
          <w:tcPr>
            <w:tcW w:w="2475"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46000022T000000162229-学生资助补助项目</w:t>
            </w:r>
          </w:p>
        </w:tc>
        <w:tc>
          <w:tcPr>
            <w:tcW w:w="93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填报人:</w:t>
            </w:r>
          </w:p>
        </w:tc>
        <w:tc>
          <w:tcPr>
            <w:tcW w:w="1909"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梁挺进</w:t>
            </w:r>
          </w:p>
        </w:tc>
        <w:tc>
          <w:tcPr>
            <w:tcW w:w="51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联系方式:</w:t>
            </w:r>
          </w:p>
        </w:tc>
        <w:tc>
          <w:tcPr>
            <w:tcW w:w="2291" w:type="dxa"/>
            <w:gridSpan w:val="3"/>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15808919258</w:t>
            </w:r>
          </w:p>
        </w:tc>
      </w:tr>
      <w:tr w:rsidR="007B3C7A">
        <w:trPr>
          <w:trHeight w:val="398"/>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主管部门:</w:t>
            </w:r>
          </w:p>
        </w:tc>
        <w:tc>
          <w:tcPr>
            <w:tcW w:w="2475" w:type="dxa"/>
            <w:gridSpan w:val="3"/>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203-省教育厅</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实施单位:</w:t>
            </w:r>
          </w:p>
        </w:tc>
        <w:tc>
          <w:tcPr>
            <w:tcW w:w="471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203015-海南软件职业技术学院</w:t>
            </w:r>
          </w:p>
        </w:tc>
      </w:tr>
      <w:tr w:rsidR="007B3C7A">
        <w:trPr>
          <w:trHeight w:val="398"/>
        </w:trPr>
        <w:tc>
          <w:tcPr>
            <w:tcW w:w="930" w:type="dxa"/>
            <w:tcBorders>
              <w:top w:val="nil"/>
              <w:left w:val="single" w:sz="4" w:space="0" w:color="auto"/>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是否公开：</w:t>
            </w:r>
          </w:p>
        </w:tc>
        <w:tc>
          <w:tcPr>
            <w:tcW w:w="2475" w:type="dxa"/>
            <w:gridSpan w:val="3"/>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是</w:t>
            </w:r>
          </w:p>
        </w:tc>
        <w:tc>
          <w:tcPr>
            <w:tcW w:w="936" w:type="dxa"/>
            <w:tcBorders>
              <w:top w:val="nil"/>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网址：</w:t>
            </w:r>
          </w:p>
        </w:tc>
        <w:tc>
          <w:tcPr>
            <w:tcW w:w="4719" w:type="dxa"/>
            <w:gridSpan w:val="7"/>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67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资金构成(万元)</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年初预算数</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全年预算数</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执行数</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b/>
                <w:bCs/>
                <w:color w:val="000000"/>
                <w:sz w:val="18"/>
                <w:szCs w:val="18"/>
              </w:rPr>
            </w:pPr>
            <w:r>
              <w:rPr>
                <w:rFonts w:ascii="等线" w:eastAsia="等线" w:hint="eastAsia"/>
                <w:b/>
                <w:bCs/>
                <w:color w:val="000000"/>
                <w:sz w:val="18"/>
                <w:szCs w:val="18"/>
              </w:rPr>
              <w:t>执行率（%）</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资金总额：</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1,418.60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1,559.03</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1,410.64</w:t>
            </w:r>
          </w:p>
        </w:tc>
        <w:tc>
          <w:tcPr>
            <w:tcW w:w="659" w:type="dxa"/>
            <w:tcBorders>
              <w:top w:val="nil"/>
              <w:left w:val="nil"/>
              <w:bottom w:val="single" w:sz="4" w:space="0" w:color="auto"/>
              <w:right w:val="single" w:sz="4" w:space="0" w:color="auto"/>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10.00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90.48</w:t>
            </w:r>
          </w:p>
        </w:tc>
        <w:tc>
          <w:tcPr>
            <w:tcW w:w="1013" w:type="dxa"/>
            <w:tcBorders>
              <w:top w:val="single" w:sz="4" w:space="0" w:color="auto"/>
              <w:left w:val="nil"/>
              <w:bottom w:val="single" w:sz="4" w:space="0" w:color="auto"/>
              <w:right w:val="single" w:sz="4" w:space="0" w:color="000000"/>
            </w:tcBorders>
            <w:shd w:val="clear" w:color="auto" w:fill="FFFFFF"/>
            <w:noWrap/>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9.05</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其中：财政资金：</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1,418.60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1,559.03</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1,410.64</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90.48</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财政专户管理资金：</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176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单位资金：</w:t>
            </w:r>
          </w:p>
        </w:tc>
        <w:tc>
          <w:tcPr>
            <w:tcW w:w="129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1274"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0.00</w:t>
            </w:r>
          </w:p>
        </w:tc>
        <w:tc>
          <w:tcPr>
            <w:tcW w:w="2428" w:type="dxa"/>
            <w:gridSpan w:val="4"/>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 xml:space="preserve">　</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0</w:t>
            </w:r>
          </w:p>
        </w:tc>
        <w:tc>
          <w:tcPr>
            <w:tcW w:w="1013" w:type="dxa"/>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color w:val="000000"/>
                <w:sz w:val="18"/>
                <w:szCs w:val="18"/>
              </w:rPr>
            </w:pPr>
            <w:r>
              <w:rPr>
                <w:rFonts w:ascii="等线" w:eastAsia="等线" w:hint="eastAsia"/>
                <w:color w:val="000000"/>
                <w:sz w:val="18"/>
                <w:szCs w:val="18"/>
              </w:rPr>
              <w:t xml:space="preserve">　</w:t>
            </w:r>
          </w:p>
        </w:tc>
      </w:tr>
      <w:tr w:rsidR="007B3C7A">
        <w:trPr>
          <w:trHeight w:val="285"/>
        </w:trPr>
        <w:tc>
          <w:tcPr>
            <w:tcW w:w="4341"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w:t>
            </w:r>
          </w:p>
        </w:tc>
        <w:tc>
          <w:tcPr>
            <w:tcW w:w="4719" w:type="dxa"/>
            <w:gridSpan w:val="7"/>
            <w:tcBorders>
              <w:top w:val="single" w:sz="4" w:space="0" w:color="auto"/>
              <w:left w:val="nil"/>
              <w:bottom w:val="single" w:sz="4" w:space="0" w:color="auto"/>
              <w:right w:val="single" w:sz="4" w:space="0" w:color="000000"/>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年度目标完成情况</w:t>
            </w:r>
          </w:p>
        </w:tc>
      </w:tr>
      <w:tr w:rsidR="007B3C7A">
        <w:trPr>
          <w:trHeight w:val="2160"/>
        </w:trPr>
        <w:tc>
          <w:tcPr>
            <w:tcW w:w="4341" w:type="dxa"/>
            <w:gridSpan w:val="5"/>
            <w:tcBorders>
              <w:top w:val="single" w:sz="4" w:space="0" w:color="auto"/>
              <w:left w:val="single" w:sz="4" w:space="0" w:color="auto"/>
              <w:bottom w:val="single" w:sz="4" w:space="0" w:color="auto"/>
              <w:right w:val="single" w:sz="4" w:space="0" w:color="auto"/>
            </w:tcBorders>
            <w:shd w:val="clear" w:color="auto" w:fill="FFFFFF"/>
            <w:hideMark/>
          </w:tcPr>
          <w:p w:rsidR="007B3C7A" w:rsidRDefault="001F115A">
            <w:pPr>
              <w:spacing w:after="240"/>
              <w:rPr>
                <w:rFonts w:ascii="等线" w:eastAsia="等线"/>
                <w:color w:val="000000"/>
                <w:sz w:val="18"/>
                <w:szCs w:val="18"/>
              </w:rPr>
            </w:pPr>
            <w:r>
              <w:rPr>
                <w:rFonts w:ascii="等线" w:eastAsia="等线" w:hint="eastAsia"/>
                <w:color w:val="000000"/>
                <w:sz w:val="18"/>
                <w:szCs w:val="18"/>
              </w:rPr>
              <w:t>及时支出专项经费，促进学校发展。</w:t>
            </w:r>
            <w:r>
              <w:rPr>
                <w:rFonts w:ascii="等线" w:eastAsia="等线" w:hint="eastAsia"/>
                <w:color w:val="000000"/>
                <w:sz w:val="18"/>
                <w:szCs w:val="18"/>
              </w:rPr>
              <w:br/>
            </w:r>
            <w:r>
              <w:rPr>
                <w:rFonts w:ascii="等线" w:eastAsia="等线" w:hint="eastAsia"/>
                <w:color w:val="000000"/>
                <w:sz w:val="18"/>
                <w:szCs w:val="18"/>
              </w:rPr>
              <w:br/>
            </w:r>
          </w:p>
        </w:tc>
        <w:tc>
          <w:tcPr>
            <w:tcW w:w="4719" w:type="dxa"/>
            <w:gridSpan w:val="7"/>
            <w:tcBorders>
              <w:top w:val="single" w:sz="4" w:space="0" w:color="auto"/>
              <w:left w:val="nil"/>
              <w:bottom w:val="single" w:sz="4" w:space="0" w:color="auto"/>
              <w:right w:val="single" w:sz="4" w:space="0" w:color="000000"/>
            </w:tcBorders>
            <w:shd w:val="clear" w:color="auto" w:fill="FFFFFF"/>
            <w:hideMark/>
          </w:tcPr>
          <w:p w:rsidR="007B3C7A" w:rsidRDefault="001F115A">
            <w:pPr>
              <w:rPr>
                <w:rFonts w:ascii="等线" w:eastAsia="等线"/>
                <w:color w:val="000000"/>
                <w:sz w:val="18"/>
                <w:szCs w:val="18"/>
              </w:rPr>
            </w:pPr>
            <w:r>
              <w:rPr>
                <w:rFonts w:ascii="等线" w:eastAsia="等线" w:hint="eastAsia"/>
                <w:color w:val="000000"/>
                <w:sz w:val="18"/>
                <w:szCs w:val="18"/>
              </w:rPr>
              <w:t>年度预算1559.03万元，完成各项资助补助发放1410.64万元，基本完成学校学生资助补助发放工作。</w:t>
            </w:r>
            <w:r>
              <w:rPr>
                <w:rFonts w:ascii="等线" w:eastAsia="等线" w:hint="eastAsia"/>
                <w:color w:val="000000"/>
                <w:sz w:val="18"/>
                <w:szCs w:val="18"/>
              </w:rPr>
              <w:br/>
              <w:t>主要发放春季国家助学金共293.23万元；秋季国家助学金共286.44万元；勤工俭学</w:t>
            </w:r>
            <w:proofErr w:type="gramStart"/>
            <w:r>
              <w:rPr>
                <w:rFonts w:ascii="等线" w:eastAsia="等线" w:hint="eastAsia"/>
                <w:color w:val="000000"/>
                <w:sz w:val="18"/>
                <w:szCs w:val="18"/>
              </w:rPr>
              <w:t>资助资助</w:t>
            </w:r>
            <w:proofErr w:type="gramEnd"/>
            <w:r>
              <w:rPr>
                <w:rFonts w:ascii="等线" w:eastAsia="等线" w:hint="eastAsia"/>
                <w:color w:val="000000"/>
                <w:sz w:val="18"/>
                <w:szCs w:val="18"/>
              </w:rPr>
              <w:t>金额21.68万元；发放国家奖学金共6.4万元；发放国家励志奖学金共134万元；发放海南省优秀贫困生奖学金9.2万元；发放学院1、2、3等奖学金资助39.08万元；完成成服义务兵役的学费补偿104.33万元，退役复学学生的学费减免19.37万元，</w:t>
            </w:r>
            <w:proofErr w:type="gramStart"/>
            <w:r>
              <w:rPr>
                <w:rFonts w:ascii="等线" w:eastAsia="等线" w:hint="eastAsia"/>
                <w:color w:val="000000"/>
                <w:sz w:val="18"/>
                <w:szCs w:val="18"/>
              </w:rPr>
              <w:t>直招士官</w:t>
            </w:r>
            <w:proofErr w:type="gramEnd"/>
            <w:r>
              <w:rPr>
                <w:rFonts w:ascii="等线" w:eastAsia="等线" w:hint="eastAsia"/>
                <w:color w:val="000000"/>
                <w:sz w:val="18"/>
                <w:szCs w:val="18"/>
              </w:rPr>
              <w:t>资助金额2.64万元等。</w:t>
            </w:r>
          </w:p>
        </w:tc>
      </w:tr>
      <w:tr w:rsidR="007B3C7A">
        <w:trPr>
          <w:trHeight w:val="675"/>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一级指标</w:t>
            </w:r>
          </w:p>
        </w:tc>
        <w:tc>
          <w:tcPr>
            <w:tcW w:w="838"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二级指标</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三级指标</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指标性质</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年度指标值</w:t>
            </w:r>
          </w:p>
        </w:tc>
        <w:tc>
          <w:tcPr>
            <w:tcW w:w="636"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度量单位</w:t>
            </w:r>
          </w:p>
        </w:tc>
        <w:tc>
          <w:tcPr>
            <w:tcW w:w="577"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实际完成值</w:t>
            </w:r>
          </w:p>
        </w:tc>
        <w:tc>
          <w:tcPr>
            <w:tcW w:w="51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完成率</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分值</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得分</w:t>
            </w:r>
          </w:p>
        </w:tc>
        <w:tc>
          <w:tcPr>
            <w:tcW w:w="1013"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center"/>
              <w:rPr>
                <w:rFonts w:ascii="等线" w:eastAsia="等线"/>
                <w:b/>
                <w:bCs/>
                <w:color w:val="000000"/>
                <w:sz w:val="18"/>
                <w:szCs w:val="18"/>
              </w:rPr>
            </w:pPr>
            <w:r>
              <w:rPr>
                <w:rFonts w:ascii="等线" w:eastAsia="等线" w:hint="eastAsia"/>
                <w:b/>
                <w:bCs/>
                <w:color w:val="000000"/>
                <w:sz w:val="18"/>
                <w:szCs w:val="18"/>
              </w:rPr>
              <w:t>未完成原因分析</w:t>
            </w:r>
          </w:p>
        </w:tc>
      </w:tr>
      <w:tr w:rsidR="007B3C7A">
        <w:trPr>
          <w:trHeight w:val="623"/>
        </w:trPr>
        <w:tc>
          <w:tcPr>
            <w:tcW w:w="93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lastRenderedPageBreak/>
              <w:t>产出指标</w:t>
            </w:r>
          </w:p>
        </w:tc>
        <w:tc>
          <w:tcPr>
            <w:tcW w:w="838"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质量指标</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资助项目按规定及时发放率</w:t>
            </w:r>
          </w:p>
        </w:tc>
        <w:tc>
          <w:tcPr>
            <w:tcW w:w="93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36"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7"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51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5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30.00</w:t>
            </w:r>
          </w:p>
        </w:tc>
        <w:tc>
          <w:tcPr>
            <w:tcW w:w="619" w:type="dxa"/>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效益指标</w:t>
            </w:r>
          </w:p>
        </w:tc>
        <w:tc>
          <w:tcPr>
            <w:tcW w:w="838"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可持续发展指标</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资助政策发挥作用时间</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w:t>
            </w:r>
          </w:p>
        </w:tc>
        <w:tc>
          <w:tcPr>
            <w:tcW w:w="6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年</w:t>
            </w:r>
          </w:p>
        </w:tc>
        <w:tc>
          <w:tcPr>
            <w:tcW w:w="577"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w:t>
            </w:r>
          </w:p>
        </w:tc>
        <w:tc>
          <w:tcPr>
            <w:tcW w:w="5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30.00</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930" w:type="dxa"/>
            <w:tcBorders>
              <w:top w:val="nil"/>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满意度指标</w:t>
            </w:r>
          </w:p>
        </w:tc>
        <w:tc>
          <w:tcPr>
            <w:tcW w:w="838"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服务对象满意度</w:t>
            </w:r>
          </w:p>
        </w:tc>
        <w:tc>
          <w:tcPr>
            <w:tcW w:w="1637" w:type="dxa"/>
            <w:gridSpan w:val="2"/>
            <w:tcBorders>
              <w:top w:val="single" w:sz="4" w:space="0" w:color="auto"/>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学生满意度</w:t>
            </w:r>
          </w:p>
        </w:tc>
        <w:tc>
          <w:tcPr>
            <w:tcW w:w="9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696"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w:t>
            </w:r>
          </w:p>
        </w:tc>
        <w:tc>
          <w:tcPr>
            <w:tcW w:w="636" w:type="dxa"/>
            <w:tcBorders>
              <w:top w:val="nil"/>
              <w:left w:val="nil"/>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w:t>
            </w:r>
          </w:p>
        </w:tc>
        <w:tc>
          <w:tcPr>
            <w:tcW w:w="577"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90</w:t>
            </w:r>
          </w:p>
        </w:tc>
        <w:tc>
          <w:tcPr>
            <w:tcW w:w="5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30.00</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30</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r w:rsidR="007B3C7A">
        <w:trPr>
          <w:trHeight w:val="623"/>
        </w:trPr>
        <w:tc>
          <w:tcPr>
            <w:tcW w:w="6769" w:type="dxa"/>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合计</w:t>
            </w:r>
          </w:p>
        </w:tc>
        <w:tc>
          <w:tcPr>
            <w:tcW w:w="65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100.00</w:t>
            </w:r>
          </w:p>
        </w:tc>
        <w:tc>
          <w:tcPr>
            <w:tcW w:w="619" w:type="dxa"/>
            <w:tcBorders>
              <w:top w:val="nil"/>
              <w:left w:val="nil"/>
              <w:bottom w:val="single" w:sz="4" w:space="0" w:color="auto"/>
              <w:right w:val="single" w:sz="4" w:space="0" w:color="auto"/>
            </w:tcBorders>
            <w:shd w:val="clear" w:color="auto" w:fill="FFFFFF"/>
            <w:vAlign w:val="center"/>
            <w:hideMark/>
          </w:tcPr>
          <w:p w:rsidR="007B3C7A" w:rsidRDefault="001F115A">
            <w:pPr>
              <w:jc w:val="right"/>
              <w:rPr>
                <w:rFonts w:ascii="等线" w:eastAsia="等线"/>
                <w:color w:val="000000"/>
                <w:sz w:val="18"/>
                <w:szCs w:val="18"/>
              </w:rPr>
            </w:pPr>
            <w:r>
              <w:rPr>
                <w:rFonts w:ascii="等线" w:eastAsia="等线" w:hint="eastAsia"/>
                <w:color w:val="000000"/>
                <w:sz w:val="18"/>
                <w:szCs w:val="18"/>
              </w:rPr>
              <w:t>99.05</w:t>
            </w:r>
          </w:p>
        </w:tc>
        <w:tc>
          <w:tcPr>
            <w:tcW w:w="1013" w:type="dxa"/>
            <w:tcBorders>
              <w:top w:val="single" w:sz="4" w:space="0" w:color="auto"/>
              <w:left w:val="nil"/>
              <w:bottom w:val="single" w:sz="4" w:space="0" w:color="auto"/>
              <w:right w:val="single" w:sz="4" w:space="0" w:color="auto"/>
            </w:tcBorders>
            <w:shd w:val="clear" w:color="auto" w:fill="FFFFFF"/>
            <w:noWrap/>
            <w:vAlign w:val="center"/>
            <w:hideMark/>
          </w:tcPr>
          <w:p w:rsidR="007B3C7A" w:rsidRDefault="001F115A">
            <w:pPr>
              <w:rPr>
                <w:rFonts w:ascii="等线" w:eastAsia="等线"/>
                <w:color w:val="000000"/>
                <w:sz w:val="18"/>
                <w:szCs w:val="18"/>
              </w:rPr>
            </w:pPr>
            <w:r>
              <w:rPr>
                <w:rFonts w:ascii="等线" w:eastAsia="等线" w:hint="eastAsia"/>
                <w:color w:val="000000"/>
                <w:sz w:val="18"/>
                <w:szCs w:val="18"/>
              </w:rPr>
              <w:t xml:space="preserve">　</w:t>
            </w:r>
          </w:p>
        </w:tc>
      </w:tr>
    </w:tbl>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rPr>
        <w:t>学生资助补助项目绩效自评报告：根据年初设定的绩效目标，项目绩效自评得分为99.05分。全年预算数为万</w:t>
      </w:r>
      <w:proofErr w:type="gramStart"/>
      <w:r>
        <w:rPr>
          <w:rFonts w:ascii="仿宋_GB2312" w:eastAsia="仿宋_GB2312" w:hint="eastAsia"/>
          <w:sz w:val="32"/>
          <w:szCs w:val="32"/>
        </w:rPr>
        <w:t>1</w:t>
      </w:r>
      <w:proofErr w:type="gramEnd"/>
      <w:r>
        <w:rPr>
          <w:rFonts w:ascii="仿宋_GB2312" w:eastAsia="仿宋_GB2312" w:hint="eastAsia"/>
          <w:sz w:val="32"/>
          <w:szCs w:val="32"/>
        </w:rPr>
        <w:t>,559.03万元，执行数为1,410.64万元，完成预算的90.48%。项目绩效目标完成情况：一是</w:t>
      </w:r>
      <w:r>
        <w:rPr>
          <w:rFonts w:ascii="仿宋_GB2312" w:eastAsia="仿宋_GB2312" w:hAnsi="仿宋_GB2312" w:cs="仿宋_GB2312" w:hint="eastAsia"/>
          <w:sz w:val="32"/>
          <w:szCs w:val="32"/>
        </w:rPr>
        <w:t>严格按照标准，足额按时发放。如励志奖学金0.5万元/生、省优秀贫困生奖学金0.4万元/生、国家助学金两档，0.35万元或0.25万元/生，国家奖学金0.8万元/生等。减轻了学生家庭经济负担，确保学生顺利完成学业</w:t>
      </w:r>
      <w:r>
        <w:rPr>
          <w:rFonts w:ascii="仿宋_GB2312" w:eastAsia="仿宋_GB2312" w:hint="eastAsia"/>
          <w:sz w:val="32"/>
          <w:szCs w:val="32"/>
        </w:rPr>
        <w:t>；二是</w:t>
      </w:r>
      <w:r>
        <w:rPr>
          <w:rFonts w:ascii="仿宋_GB2312" w:eastAsia="仿宋_GB2312" w:hAnsi="仿宋_GB2312" w:cs="仿宋_GB2312" w:hint="eastAsia"/>
          <w:sz w:val="32"/>
          <w:szCs w:val="32"/>
        </w:rPr>
        <w:t>严格核实受助学生的信息，在发放资金的过程中，避免出现错发、漏发等现象。学生资助补助项目支出1,410.64万元，执行率为90.48%，学生各类资助补助资金均能按时足额发放到位，项目绩效目标完满完成。</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（三）部门评价结果。</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Ansi="仿宋_GB2312" w:cs="仿宋_GB2312" w:hint="eastAsia"/>
          <w:sz w:val="32"/>
          <w:szCs w:val="32"/>
          <w:lang w:bidi="ar"/>
        </w:rPr>
        <w:t>无</w:t>
      </w:r>
      <w:r w:rsidR="0011166A">
        <w:rPr>
          <w:rFonts w:ascii="仿宋_GB2312" w:eastAsia="仿宋_GB2312" w:hAnsi="仿宋_GB2312" w:cs="仿宋_GB2312" w:hint="eastAsia"/>
          <w:sz w:val="32"/>
          <w:szCs w:val="32"/>
          <w:lang w:bidi="ar"/>
        </w:rPr>
        <w:t>。</w:t>
      </w:r>
    </w:p>
    <w:p w:rsidR="007B3C7A" w:rsidRDefault="001F115A">
      <w:pPr>
        <w:spacing w:before="100" w:beforeAutospacing="1" w:after="100" w:afterAutospacing="1" w:line="578" w:lineRule="exact"/>
        <w:ind w:firstLineChars="200" w:firstLine="640"/>
        <w:rPr>
          <w:rFonts w:ascii="楷体" w:eastAsia="楷体" w:hAnsi="楷体" w:cs="楷体"/>
          <w:bCs/>
          <w:sz w:val="32"/>
          <w:szCs w:val="32"/>
        </w:rPr>
      </w:pPr>
      <w:r>
        <w:rPr>
          <w:rFonts w:ascii="楷体" w:eastAsia="楷体" w:hAnsi="楷体" w:cs="楷体" w:hint="eastAsia"/>
          <w:bCs/>
          <w:sz w:val="32"/>
          <w:szCs w:val="32"/>
        </w:rPr>
        <w:t>（四）财政评价结果。</w:t>
      </w:r>
    </w:p>
    <w:p w:rsidR="007B3C7A" w:rsidRDefault="001F115A">
      <w:pPr>
        <w:spacing w:before="100" w:beforeAutospacing="1" w:after="100" w:afterAutospacing="1"/>
        <w:ind w:firstLineChars="200" w:firstLine="640"/>
        <w:rPr>
          <w:rFonts w:ascii="仿宋_GB2312" w:eastAsia="仿宋_GB2312"/>
          <w:sz w:val="32"/>
          <w:szCs w:val="32"/>
        </w:rPr>
      </w:pPr>
      <w:r>
        <w:rPr>
          <w:rFonts w:ascii="仿宋_GB2312" w:eastAsia="仿宋_GB2312" w:hint="eastAsia"/>
          <w:sz w:val="32"/>
          <w:szCs w:val="32"/>
          <w:lang w:val="zh-CN"/>
        </w:rPr>
        <w:lastRenderedPageBreak/>
        <w:t>无</w:t>
      </w:r>
      <w:r w:rsidR="0011166A">
        <w:rPr>
          <w:rFonts w:ascii="仿宋_GB2312" w:eastAsia="仿宋_GB2312" w:hint="eastAsia"/>
          <w:sz w:val="32"/>
          <w:szCs w:val="32"/>
          <w:lang w:val="zh-CN"/>
        </w:rPr>
        <w:t>。</w:t>
      </w:r>
      <w:r w:rsidR="007270C4">
        <w:rPr>
          <w:rFonts w:ascii="仿宋_GB2312" w:eastAsia="仿宋_GB2312" w:hint="eastAsia"/>
          <w:sz w:val="32"/>
          <w:szCs w:val="32"/>
          <w:lang w:val="zh-CN"/>
        </w:rPr>
        <w:t>二级预算单位未开展此项工作。</w:t>
      </w:r>
    </w:p>
    <w:p w:rsidR="007B3C7A" w:rsidRDefault="001F115A">
      <w:pPr>
        <w:spacing w:before="100" w:beforeAutospacing="1" w:after="100" w:afterAutospacing="1"/>
        <w:ind w:firstLineChars="200" w:firstLine="640"/>
        <w:rPr>
          <w:rFonts w:ascii="黑体" w:eastAsia="黑体" w:hAnsi="黑体" w:cs="黑体"/>
          <w:bCs/>
          <w:sz w:val="32"/>
          <w:szCs w:val="32"/>
        </w:rPr>
      </w:pPr>
      <w:r>
        <w:rPr>
          <w:rFonts w:ascii="黑体" w:eastAsia="黑体" w:hAnsi="黑体" w:cs="黑体" w:hint="eastAsia"/>
          <w:bCs/>
          <w:sz w:val="32"/>
          <w:szCs w:val="32"/>
        </w:rPr>
        <w:t>十一、其他重要事项情况说明。</w:t>
      </w:r>
    </w:p>
    <w:p w:rsidR="007B3C7A" w:rsidRDefault="001F115A">
      <w:pPr>
        <w:spacing w:before="100" w:beforeAutospacing="1" w:after="100" w:afterAutospacing="1"/>
        <w:ind w:firstLineChars="200" w:firstLine="640"/>
        <w:rPr>
          <w:rFonts w:ascii="楷体" w:eastAsia="楷体" w:hAnsi="楷体" w:cs="楷体"/>
          <w:bCs/>
          <w:sz w:val="32"/>
          <w:szCs w:val="32"/>
        </w:rPr>
      </w:pPr>
      <w:bookmarkStart w:id="95" w:name="_Toc18325_WPSOffice_Level2"/>
      <w:bookmarkStart w:id="96" w:name="_Toc15565_WPSOffice_Level2"/>
      <w:bookmarkStart w:id="97" w:name="_Toc15262_WPSOffice_Level2"/>
      <w:bookmarkStart w:id="98" w:name="_Toc5978_WPSOffice_Level2"/>
      <w:bookmarkStart w:id="99" w:name="_Toc32639_WPSOffice_Level2"/>
      <w:bookmarkStart w:id="100" w:name="_Toc23598_WPSOffice_Level2"/>
      <w:r>
        <w:rPr>
          <w:rFonts w:ascii="楷体" w:eastAsia="楷体" w:hAnsi="楷体" w:cs="楷体" w:hint="eastAsia"/>
          <w:bCs/>
          <w:sz w:val="32"/>
          <w:szCs w:val="32"/>
        </w:rPr>
        <w:t>（一）机关运行经费支出情况。</w:t>
      </w:r>
      <w:bookmarkEnd w:id="95"/>
      <w:bookmarkEnd w:id="96"/>
      <w:bookmarkEnd w:id="97"/>
      <w:bookmarkEnd w:id="98"/>
      <w:bookmarkEnd w:id="99"/>
      <w:bookmarkEnd w:id="100"/>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无</w:t>
      </w:r>
      <w:r w:rsidR="0011166A">
        <w:rPr>
          <w:rFonts w:ascii="仿宋_GB2312" w:eastAsia="仿宋_GB2312" w:hAnsi="ˎ̥" w:hint="eastAsia"/>
          <w:sz w:val="32"/>
          <w:szCs w:val="32"/>
        </w:rPr>
        <w:t>。</w:t>
      </w:r>
    </w:p>
    <w:p w:rsidR="007B3C7A" w:rsidRDefault="001F115A">
      <w:pPr>
        <w:spacing w:before="100" w:beforeAutospacing="1" w:after="100" w:afterAutospacing="1"/>
        <w:ind w:firstLineChars="200" w:firstLine="640"/>
        <w:rPr>
          <w:rFonts w:ascii="楷体" w:eastAsia="楷体" w:hAnsi="楷体" w:cs="楷体"/>
          <w:bCs/>
          <w:sz w:val="32"/>
          <w:szCs w:val="32"/>
        </w:rPr>
      </w:pPr>
      <w:bookmarkStart w:id="101" w:name="_Toc25333_WPSOffice_Level2"/>
      <w:bookmarkStart w:id="102" w:name="_Toc13084_WPSOffice_Level2"/>
      <w:bookmarkStart w:id="103" w:name="_Toc30383_WPSOffice_Level2"/>
      <w:bookmarkStart w:id="104" w:name="_Toc32689_WPSOffice_Level2"/>
      <w:bookmarkStart w:id="105" w:name="_Toc23966_WPSOffice_Level2"/>
      <w:bookmarkStart w:id="106" w:name="_Toc3131_WPSOffice_Level2"/>
      <w:r>
        <w:rPr>
          <w:rFonts w:ascii="楷体" w:eastAsia="楷体" w:hAnsi="楷体" w:cs="楷体" w:hint="eastAsia"/>
          <w:bCs/>
          <w:sz w:val="32"/>
          <w:szCs w:val="32"/>
        </w:rPr>
        <w:t>（二）政府采购支出情况。</w:t>
      </w:r>
      <w:bookmarkEnd w:id="101"/>
      <w:bookmarkEnd w:id="102"/>
      <w:bookmarkEnd w:id="103"/>
      <w:bookmarkEnd w:id="104"/>
      <w:bookmarkEnd w:id="105"/>
      <w:bookmarkEnd w:id="106"/>
    </w:p>
    <w:p w:rsidR="007B3C7A" w:rsidRDefault="001F115A" w:rsidP="00CF7D35">
      <w:pPr>
        <w:spacing w:before="100" w:beforeAutospacing="1" w:after="100" w:afterAutospacing="1"/>
        <w:ind w:firstLineChars="200" w:firstLine="640"/>
        <w:rPr>
          <w:rFonts w:ascii="仿宋_GB2312" w:eastAsia="仿宋_GB2312" w:hAnsi="ˎ̥"/>
          <w:color w:val="FF0000"/>
          <w:sz w:val="32"/>
          <w:szCs w:val="32"/>
        </w:rPr>
      </w:pPr>
      <w:r w:rsidRPr="007904AF">
        <w:rPr>
          <w:rFonts w:ascii="仿宋_GB2312" w:eastAsia="仿宋_GB2312" w:hAnsi="ˎ̥" w:hint="eastAsia"/>
          <w:sz w:val="32"/>
          <w:szCs w:val="32"/>
        </w:rPr>
        <w:t>2022年度海南软件职业技术学院政府采购支出总额1059.36万元，其中：政府采购货物支出530.36万元、政府采购工程支出0.00万元、政府采购服务支出529万元。授予中小企业合同金额0.00万元，占政府采购支出总额的0.00%，其中：授予小</w:t>
      </w:r>
      <w:proofErr w:type="gramStart"/>
      <w:r w:rsidRPr="007904AF">
        <w:rPr>
          <w:rFonts w:ascii="仿宋_GB2312" w:eastAsia="仿宋_GB2312" w:hAnsi="ˎ̥" w:hint="eastAsia"/>
          <w:sz w:val="32"/>
          <w:szCs w:val="32"/>
        </w:rPr>
        <w:t>微企业</w:t>
      </w:r>
      <w:proofErr w:type="gramEnd"/>
      <w:r w:rsidRPr="007904AF">
        <w:rPr>
          <w:rFonts w:ascii="仿宋_GB2312" w:eastAsia="仿宋_GB2312" w:hAnsi="ˎ̥" w:hint="eastAsia"/>
          <w:sz w:val="32"/>
          <w:szCs w:val="32"/>
        </w:rPr>
        <w:t>合同金额0.00万元，占</w:t>
      </w:r>
      <w:r w:rsidRPr="007904AF">
        <w:rPr>
          <w:rFonts w:ascii="仿宋_GB2312" w:eastAsia="仿宋_GB2312" w:hAnsi="仿宋_GB2312" w:cs="仿宋_GB2312" w:hint="eastAsia"/>
          <w:sz w:val="32"/>
          <w:szCs w:val="32"/>
          <w:lang w:bidi="ar"/>
        </w:rPr>
        <w:t>授予中小企业合同金额</w:t>
      </w:r>
      <w:r w:rsidRPr="007904AF">
        <w:rPr>
          <w:rFonts w:ascii="仿宋_GB2312" w:eastAsia="仿宋_GB2312" w:hAnsi="仿宋_GB2312" w:cs="仿宋_GB2312" w:hint="eastAsia"/>
          <w:sz w:val="32"/>
          <w:szCs w:val="32"/>
        </w:rPr>
        <w:t>的</w:t>
      </w:r>
      <w:r w:rsidRPr="007904AF">
        <w:rPr>
          <w:rFonts w:ascii="仿宋_GB2312" w:eastAsia="仿宋_GB2312" w:hAnsi="ˎ̥" w:hint="eastAsia"/>
          <w:sz w:val="32"/>
          <w:szCs w:val="32"/>
        </w:rPr>
        <w:t>0.00%。</w:t>
      </w:r>
    </w:p>
    <w:p w:rsidR="007B3C7A" w:rsidRDefault="001F115A">
      <w:pPr>
        <w:spacing w:before="100" w:beforeAutospacing="1" w:after="100" w:afterAutospacing="1"/>
        <w:ind w:firstLineChars="200" w:firstLine="640"/>
        <w:rPr>
          <w:rFonts w:ascii="楷体" w:eastAsia="楷体" w:hAnsi="楷体" w:cs="楷体"/>
          <w:bCs/>
          <w:sz w:val="32"/>
          <w:szCs w:val="32"/>
        </w:rPr>
      </w:pPr>
      <w:bookmarkStart w:id="107" w:name="_Toc15129_WPSOffice_Level2"/>
      <w:bookmarkStart w:id="108" w:name="_Toc29584_WPSOffice_Level2"/>
      <w:bookmarkStart w:id="109" w:name="_Toc19989_WPSOffice_Level2"/>
      <w:bookmarkStart w:id="110" w:name="_Toc527_WPSOffice_Level2"/>
      <w:bookmarkStart w:id="111" w:name="_Toc6016_WPSOffice_Level2"/>
      <w:bookmarkStart w:id="112" w:name="_Toc10902_WPSOffice_Level2"/>
      <w:r>
        <w:rPr>
          <w:rFonts w:ascii="楷体" w:eastAsia="楷体" w:hAnsi="楷体" w:cs="楷体" w:hint="eastAsia"/>
          <w:bCs/>
          <w:sz w:val="32"/>
          <w:szCs w:val="32"/>
        </w:rPr>
        <w:t>（三）国有资产占用情况。</w:t>
      </w:r>
      <w:bookmarkEnd w:id="107"/>
      <w:bookmarkEnd w:id="108"/>
      <w:bookmarkEnd w:id="109"/>
      <w:bookmarkEnd w:id="110"/>
      <w:bookmarkEnd w:id="111"/>
      <w:bookmarkEnd w:id="112"/>
    </w:p>
    <w:p w:rsidR="007B3C7A" w:rsidRDefault="001F115A">
      <w:pPr>
        <w:spacing w:before="100" w:beforeAutospacing="1" w:after="100" w:afterAutospacing="1" w:line="578" w:lineRule="exact"/>
        <w:ind w:firstLineChars="200" w:firstLine="640"/>
        <w:rPr>
          <w:rFonts w:ascii="仿宋_GB2312" w:eastAsia="仿宋_GB2312" w:hAnsi="ˎ̥"/>
          <w:sz w:val="32"/>
          <w:szCs w:val="32"/>
        </w:rPr>
      </w:pPr>
      <w:r>
        <w:rPr>
          <w:rFonts w:ascii="仿宋_GB2312" w:eastAsia="仿宋_GB2312" w:hAnsi="ˎ̥" w:hint="eastAsia"/>
          <w:bCs/>
          <w:sz w:val="32"/>
          <w:szCs w:val="32"/>
        </w:rPr>
        <w:t>截至2022年12月31日，本单位拥有</w:t>
      </w:r>
      <w:r>
        <w:rPr>
          <w:rFonts w:ascii="仿宋_GB2312" w:eastAsia="仿宋_GB2312" w:hAnsi="ˎ̥" w:hint="eastAsia"/>
          <w:sz w:val="32"/>
          <w:szCs w:val="32"/>
        </w:rPr>
        <w:t>房屋面积187,746.19平方米，其中：办公用房187,746.19平方米，业务用房0平方米，其他（不含构筑物）0平方米。</w:t>
      </w:r>
    </w:p>
    <w:p w:rsidR="007B3C7A" w:rsidRDefault="001F115A">
      <w:pPr>
        <w:spacing w:before="100" w:beforeAutospacing="1" w:after="100" w:afterAutospacing="1" w:line="578" w:lineRule="exact"/>
        <w:ind w:firstLineChars="200" w:firstLine="640"/>
        <w:rPr>
          <w:rFonts w:ascii="仿宋_GB2312" w:eastAsia="仿宋_GB2312" w:hAnsi="ˎ̥"/>
          <w:sz w:val="32"/>
          <w:szCs w:val="32"/>
        </w:rPr>
      </w:pPr>
      <w:r>
        <w:rPr>
          <w:rFonts w:ascii="仿宋_GB2312" w:eastAsia="仿宋_GB2312" w:hAnsi="ˎ̥" w:hint="eastAsia"/>
          <w:sz w:val="32"/>
          <w:szCs w:val="32"/>
        </w:rPr>
        <w:t>本单位共有车辆6辆，其中，副部（省）级及以上领导用车0辆、主要领导干部用车0辆、机要通信用车0辆、应急保</w:t>
      </w:r>
      <w:r>
        <w:rPr>
          <w:rFonts w:ascii="仿宋_GB2312" w:eastAsia="仿宋_GB2312" w:hAnsi="ˎ̥" w:hint="eastAsia"/>
          <w:sz w:val="32"/>
          <w:szCs w:val="32"/>
        </w:rPr>
        <w:lastRenderedPageBreak/>
        <w:t>障用车0辆、执法执勤用车0辆、特种专业技术用车0辆、离退休干部用车0辆、其他用车6辆，其他用车主要是公务出行。单价100万元（含）以上设备（不含车辆）0台（套）。</w:t>
      </w:r>
    </w:p>
    <w:p w:rsidR="007B3C7A" w:rsidRDefault="001F115A">
      <w:pPr>
        <w:spacing w:before="100" w:beforeAutospacing="1" w:after="100" w:afterAutospacing="1" w:line="578" w:lineRule="exact"/>
        <w:ind w:firstLineChars="200" w:firstLine="640"/>
        <w:rPr>
          <w:rFonts w:ascii="仿宋_GB2312" w:eastAsia="仿宋_GB2312" w:hAnsi="ˎ̥"/>
          <w:sz w:val="32"/>
          <w:szCs w:val="32"/>
        </w:rPr>
      </w:pPr>
      <w:r>
        <w:rPr>
          <w:rFonts w:ascii="仿宋_GB2312" w:eastAsia="仿宋_GB2312" w:hAnsi="ˎ̥" w:hint="eastAsia"/>
          <w:sz w:val="32"/>
          <w:szCs w:val="32"/>
        </w:rPr>
        <w:t>年末在建工程1</w:t>
      </w:r>
      <w:r w:rsidR="0044561B">
        <w:rPr>
          <w:rFonts w:ascii="仿宋_GB2312" w:eastAsia="仿宋_GB2312" w:hAnsi="ˎ̥" w:hint="eastAsia"/>
          <w:sz w:val="32"/>
          <w:szCs w:val="32"/>
        </w:rPr>
        <w:t>,</w:t>
      </w:r>
      <w:r>
        <w:rPr>
          <w:rFonts w:ascii="仿宋_GB2312" w:eastAsia="仿宋_GB2312" w:hAnsi="ˎ̥" w:hint="eastAsia"/>
          <w:sz w:val="32"/>
          <w:szCs w:val="32"/>
        </w:rPr>
        <w:t>024.82万元。</w:t>
      </w:r>
    </w:p>
    <w:p w:rsidR="007B3C7A" w:rsidRDefault="007B3C7A">
      <w:pPr>
        <w:spacing w:before="100" w:beforeAutospacing="1" w:after="100" w:afterAutospacing="1" w:line="578" w:lineRule="exact"/>
        <w:rPr>
          <w:rFonts w:ascii="仿宋_GB2312" w:eastAsia="仿宋_GB2312" w:hAnsi="ˎ̥"/>
          <w:sz w:val="32"/>
          <w:szCs w:val="32"/>
        </w:rPr>
      </w:pPr>
    </w:p>
    <w:p w:rsidR="007B3C7A" w:rsidRDefault="001F115A">
      <w:pPr>
        <w:spacing w:before="100" w:beforeAutospacing="1" w:after="100" w:afterAutospacing="1"/>
        <w:jc w:val="center"/>
        <w:rPr>
          <w:rFonts w:ascii="黑体" w:eastAsia="黑体" w:hAnsi="ˎ̥"/>
          <w:sz w:val="32"/>
          <w:szCs w:val="32"/>
        </w:rPr>
      </w:pPr>
      <w:bookmarkStart w:id="113" w:name="_Toc11039_WPSOffice_Level1"/>
      <w:bookmarkStart w:id="114" w:name="_Toc8808_WPSOffice_Level1"/>
      <w:bookmarkStart w:id="115" w:name="_Toc17580_WPSOffice_Level1"/>
      <w:bookmarkStart w:id="116" w:name="_Toc15425_WPSOffice_Level1"/>
      <w:bookmarkStart w:id="117" w:name="_Toc4398_WPSOffice_Level1"/>
      <w:bookmarkStart w:id="118" w:name="_Toc8874_WPSOffice_Level1"/>
      <w:r>
        <w:rPr>
          <w:rFonts w:ascii="黑体" w:eastAsia="黑体" w:hAnsi="ˎ̥" w:hint="eastAsia"/>
          <w:sz w:val="32"/>
          <w:szCs w:val="32"/>
        </w:rPr>
        <w:t>第四部分  名词解释</w:t>
      </w:r>
      <w:bookmarkEnd w:id="113"/>
      <w:bookmarkEnd w:id="114"/>
      <w:bookmarkEnd w:id="115"/>
      <w:bookmarkEnd w:id="116"/>
      <w:bookmarkEnd w:id="117"/>
      <w:bookmarkEnd w:id="118"/>
    </w:p>
    <w:p w:rsidR="007B3C7A" w:rsidRDefault="007B3C7A">
      <w:pPr>
        <w:spacing w:before="100" w:beforeAutospacing="1" w:after="100" w:afterAutospacing="1"/>
        <w:jc w:val="center"/>
        <w:rPr>
          <w:rFonts w:ascii="黑体" w:eastAsia="黑体" w:hAnsi="ˎ̥"/>
          <w:sz w:val="32"/>
          <w:szCs w:val="32"/>
        </w:rPr>
      </w:pPr>
    </w:p>
    <w:p w:rsidR="007B3C7A" w:rsidRDefault="001F115A">
      <w:pPr>
        <w:spacing w:before="100" w:beforeAutospacing="1" w:after="100" w:afterAutospacing="1"/>
        <w:ind w:leftChars="150" w:left="360" w:firstLineChars="100" w:firstLine="320"/>
        <w:rPr>
          <w:rFonts w:ascii="仿宋_GB2312" w:eastAsia="仿宋_GB2312" w:hAnsi="ˎ̥"/>
          <w:sz w:val="32"/>
          <w:szCs w:val="32"/>
        </w:rPr>
      </w:pPr>
      <w:r>
        <w:rPr>
          <w:rFonts w:ascii="仿宋_GB2312" w:eastAsia="仿宋_GB2312" w:hAnsi="ˎ̥" w:hint="eastAsia"/>
          <w:sz w:val="32"/>
          <w:szCs w:val="32"/>
        </w:rPr>
        <w:t>一、财政拨款收入：指同级政府财政部</w:t>
      </w:r>
      <w:proofErr w:type="gramStart"/>
      <w:r>
        <w:rPr>
          <w:rFonts w:ascii="仿宋_GB2312" w:eastAsia="仿宋_GB2312" w:hAnsi="ˎ̥" w:hint="eastAsia"/>
          <w:sz w:val="32"/>
          <w:szCs w:val="32"/>
        </w:rPr>
        <w:t>门当年</w:t>
      </w:r>
      <w:proofErr w:type="gramEnd"/>
      <w:r>
        <w:rPr>
          <w:rFonts w:ascii="仿宋_GB2312" w:eastAsia="仿宋_GB2312" w:hAnsi="ˎ̥" w:hint="eastAsia"/>
          <w:sz w:val="32"/>
          <w:szCs w:val="32"/>
        </w:rPr>
        <w:t>拨付的各</w:t>
      </w:r>
      <w:proofErr w:type="gramStart"/>
      <w:r>
        <w:rPr>
          <w:rFonts w:ascii="仿宋_GB2312" w:eastAsia="仿宋_GB2312" w:hAnsi="ˎ̥" w:hint="eastAsia"/>
          <w:sz w:val="32"/>
          <w:szCs w:val="32"/>
        </w:rPr>
        <w:t>类财政</w:t>
      </w:r>
      <w:proofErr w:type="gramEnd"/>
      <w:r>
        <w:rPr>
          <w:rFonts w:ascii="仿宋_GB2312" w:eastAsia="仿宋_GB2312" w:hAnsi="ˎ̥" w:hint="eastAsia"/>
          <w:sz w:val="32"/>
          <w:szCs w:val="32"/>
        </w:rPr>
        <w:t>拨款。</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二、上级补助收入：指事业单位从主管部门和上级单位取得的非财政补助收入。</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三、事业收入：指事业单位开展专业业务活动及辅助活动取得的收入。</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四、经营收入：指事业单位在专业业务活动及其辅助活动之外开展非独立核算经营活动取得的收入。</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五、附属单位上缴收入：指事业单位取得附属独立核算单位根据有关规定上缴的收入。</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六、其他收入：指除上述“财政拨款收入”“事业收入”“上级补助收入”“经营收入”“附属单位上缴收入”等以外的收入。</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七、使用非财政拨款结余：指事业单位在当年的“财政拨款收入”“事业收入”“经营收入”“其他收入”等不足以安排当年支出的情况下，使用非同级财政拨款结余资金弥补本年度收支缺口。</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八、年初结转和结余：指以前年度尚未完成、结转到本年按有关规定继续使用的资金，或项目已完成等产生的结余资金。</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九、结余分配：指事业单位缴纳企业所得税以及从非财政拨款结余或经营结余中提取各类结余的情况。</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十、年末结转和结余：指本年度或以前年度预算安排、因客观条件发生变化无法按原计划实施，需要延迟到以后年度按有关规定继续使用的资金（不包括事业单位非财政拨款结余和专用结余）。</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lastRenderedPageBreak/>
        <w:t>十一、基本支出：指为保障机构正常运转、完成日常工作任务而发生的人员支出和公用支出。</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十二、项目支出：指在基本支出之外为完成特定行政任务和事业发展目标所发生的支出。</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十三、经营支出：指事业单位在专业业务活动及其辅助活动之外开展非独立核算经营活动发生的支出。</w:t>
      </w:r>
    </w:p>
    <w:p w:rsidR="007B3C7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单位公务出国（境）的国际旅费、国外城市间交通费、住宿费、伙食费、培训费、公杂费等支出；公务用车购置及运行维护费反映单位公务用车车辆购置支出（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购置税、牌照费）及燃料费、维修费、过路过桥费、保险费、安全奖励费用等支出；公务接待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单位按规定开支的各类公务接待（含外宾接待）费用。</w:t>
      </w:r>
    </w:p>
    <w:p w:rsidR="001F115A" w:rsidRDefault="001F115A">
      <w:pPr>
        <w:spacing w:before="100" w:beforeAutospacing="1" w:after="100" w:afterAutospacing="1"/>
        <w:ind w:firstLineChars="200" w:firstLine="640"/>
        <w:rPr>
          <w:rFonts w:ascii="仿宋_GB2312" w:eastAsia="仿宋_GB2312" w:hAnsi="ˎ̥"/>
          <w:sz w:val="32"/>
          <w:szCs w:val="32"/>
        </w:rPr>
      </w:pPr>
      <w:r>
        <w:rPr>
          <w:rFonts w:ascii="仿宋_GB2312" w:eastAsia="仿宋_GB2312" w:hAnsi="ˎ̥" w:hint="eastAsia"/>
          <w:sz w:val="32"/>
          <w:szCs w:val="32"/>
        </w:rPr>
        <w:t>十五、机关运行经费：为保障行政单位（含参照公务员法管理的事业单位）运行使用一般公共预算财政拨款安排的基本</w:t>
      </w:r>
      <w:r>
        <w:rPr>
          <w:rFonts w:ascii="仿宋_GB2312" w:eastAsia="仿宋_GB2312" w:hAnsi="ˎ̥" w:hint="eastAsia"/>
          <w:sz w:val="32"/>
          <w:szCs w:val="32"/>
        </w:rPr>
        <w:lastRenderedPageBreak/>
        <w:t>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sectPr w:rsidR="001F115A">
      <w:footerReference w:type="default" r:id="rId8"/>
      <w:pgSz w:w="11907" w:h="16840"/>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EFE" w:rsidRDefault="00FC7EFE">
      <w:r>
        <w:separator/>
      </w:r>
    </w:p>
  </w:endnote>
  <w:endnote w:type="continuationSeparator" w:id="0">
    <w:p w:rsidR="00FC7EFE" w:rsidRDefault="00FC7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hint="eastAsia"/>
      </w:rPr>
      <w:id w:val="-1050375956"/>
      <w:docPartObj>
        <w:docPartGallery w:val="Page Numbers (Bottom of Page)"/>
        <w:docPartUnique/>
      </w:docPartObj>
    </w:sdtPr>
    <w:sdtEndPr/>
    <w:sdtContent>
      <w:p w:rsidR="007B3C7A" w:rsidRDefault="001F115A">
        <w:pPr>
          <w:pStyle w:val="a4"/>
        </w:pPr>
        <w:r>
          <w:rPr>
            <w:rFonts w:hint="eastAsia"/>
          </w:rPr>
          <w:fldChar w:fldCharType="begin"/>
        </w:r>
        <w:r>
          <w:rPr>
            <w:rFonts w:hint="eastAsia"/>
          </w:rPr>
          <w:instrText>PAGE   \* MERGEFORMAT</w:instrText>
        </w:r>
        <w:r>
          <w:rPr>
            <w:rFonts w:hint="eastAsia"/>
          </w:rPr>
          <w:fldChar w:fldCharType="separate"/>
        </w:r>
        <w:r w:rsidR="00036438" w:rsidRPr="00036438">
          <w:rPr>
            <w:noProof/>
            <w:lang w:val="zh-CN"/>
          </w:rPr>
          <w:t>4</w:t>
        </w:r>
        <w:r>
          <w:rPr>
            <w:rFonts w:hint="eastAsia"/>
          </w:rPr>
          <w:fldChar w:fldCharType="end"/>
        </w:r>
      </w:p>
    </w:sdtContent>
  </w:sdt>
  <w:p w:rsidR="007B3C7A" w:rsidRDefault="007B3C7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EFE" w:rsidRDefault="00FC7EFE">
      <w:r>
        <w:separator/>
      </w:r>
    </w:p>
  </w:footnote>
  <w:footnote w:type="continuationSeparator" w:id="0">
    <w:p w:rsidR="00FC7EFE" w:rsidRDefault="00FC7E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5C79CB"/>
    <w:rsid w:val="00036438"/>
    <w:rsid w:val="0011166A"/>
    <w:rsid w:val="001C523F"/>
    <w:rsid w:val="001F115A"/>
    <w:rsid w:val="00204802"/>
    <w:rsid w:val="003C419C"/>
    <w:rsid w:val="0044561B"/>
    <w:rsid w:val="00504E50"/>
    <w:rsid w:val="005C79CB"/>
    <w:rsid w:val="00655392"/>
    <w:rsid w:val="006C5CEB"/>
    <w:rsid w:val="007270C4"/>
    <w:rsid w:val="007904AF"/>
    <w:rsid w:val="007B3C7A"/>
    <w:rsid w:val="007B5E6E"/>
    <w:rsid w:val="00AC7D11"/>
    <w:rsid w:val="00B856A4"/>
    <w:rsid w:val="00B85753"/>
    <w:rsid w:val="00C66CFD"/>
    <w:rsid w:val="00CF30C5"/>
    <w:rsid w:val="00CF7C07"/>
    <w:rsid w:val="00CF7D35"/>
    <w:rsid w:val="00D001F5"/>
    <w:rsid w:val="00D16BC1"/>
    <w:rsid w:val="00D6736D"/>
    <w:rsid w:val="00DD2017"/>
    <w:rsid w:val="00DD5BA7"/>
    <w:rsid w:val="00E553A0"/>
    <w:rsid w:val="00E875B9"/>
    <w:rsid w:val="00ED2C2A"/>
    <w:rsid w:val="00F86EEE"/>
    <w:rsid w:val="00FC7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Pr>
      <w:rFonts w:ascii="宋体" w:eastAsia="宋体" w:hAnsi="宋体" w:cs="宋体" w:hint="eastAsia"/>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basedOn w:val="a0"/>
    <w:link w:val="a4"/>
    <w:uiPriority w:val="99"/>
    <w:locked/>
    <w:rPr>
      <w:rFonts w:ascii="宋体" w:eastAsia="宋体" w:hAnsi="宋体" w:cs="宋体" w:hint="eastAsia"/>
      <w:sz w:val="18"/>
      <w:szCs w:val="18"/>
    </w:rPr>
  </w:style>
  <w:style w:type="paragraph" w:styleId="a5">
    <w:name w:val="Balloon Text"/>
    <w:basedOn w:val="a"/>
    <w:link w:val="Char1"/>
    <w:uiPriority w:val="99"/>
    <w:semiHidden/>
    <w:unhideWhenUsed/>
    <w:rPr>
      <w:sz w:val="18"/>
      <w:szCs w:val="18"/>
    </w:rPr>
  </w:style>
  <w:style w:type="character" w:customStyle="1" w:styleId="Char1">
    <w:name w:val="批注框文本 Char"/>
    <w:basedOn w:val="a0"/>
    <w:link w:val="a5"/>
    <w:uiPriority w:val="99"/>
    <w:semiHidden/>
    <w:locked/>
    <w:rPr>
      <w:rFonts w:ascii="宋体" w:eastAsia="宋体" w:hAnsi="宋体" w:cs="宋体" w:hint="eastAsia"/>
      <w:sz w:val="18"/>
      <w:szCs w:val="18"/>
    </w:rPr>
  </w:style>
  <w:style w:type="paragraph" w:customStyle="1" w:styleId="wpsoffice1">
    <w:name w:val="wpsoffice1"/>
    <w:basedOn w:val="a"/>
    <w:pPr>
      <w:spacing w:before="100" w:beforeAutospacing="1" w:after="100" w:afterAutospacing="1"/>
    </w:pPr>
  </w:style>
  <w:style w:type="paragraph" w:customStyle="1" w:styleId="wpsoffice2">
    <w:name w:val="wpsoffice2"/>
    <w:basedOn w:val="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Pr>
      <w:rFonts w:ascii="宋体" w:eastAsia="宋体" w:hAnsi="宋体" w:cs="宋体" w:hint="eastAsia"/>
      <w:sz w:val="18"/>
      <w:szCs w:val="18"/>
    </w:rPr>
  </w:style>
  <w:style w:type="paragraph" w:styleId="a4">
    <w:name w:val="footer"/>
    <w:basedOn w:val="a"/>
    <w:link w:val="Char0"/>
    <w:uiPriority w:val="99"/>
    <w:unhideWhenUsed/>
    <w:pPr>
      <w:tabs>
        <w:tab w:val="center" w:pos="4153"/>
        <w:tab w:val="right" w:pos="8306"/>
      </w:tabs>
      <w:snapToGrid w:val="0"/>
    </w:pPr>
    <w:rPr>
      <w:sz w:val="18"/>
      <w:szCs w:val="18"/>
    </w:rPr>
  </w:style>
  <w:style w:type="character" w:customStyle="1" w:styleId="Char0">
    <w:name w:val="页脚 Char"/>
    <w:basedOn w:val="a0"/>
    <w:link w:val="a4"/>
    <w:uiPriority w:val="99"/>
    <w:locked/>
    <w:rPr>
      <w:rFonts w:ascii="宋体" w:eastAsia="宋体" w:hAnsi="宋体" w:cs="宋体" w:hint="eastAsia"/>
      <w:sz w:val="18"/>
      <w:szCs w:val="18"/>
    </w:rPr>
  </w:style>
  <w:style w:type="paragraph" w:styleId="a5">
    <w:name w:val="Balloon Text"/>
    <w:basedOn w:val="a"/>
    <w:link w:val="Char1"/>
    <w:uiPriority w:val="99"/>
    <w:semiHidden/>
    <w:unhideWhenUsed/>
    <w:rPr>
      <w:sz w:val="18"/>
      <w:szCs w:val="18"/>
    </w:rPr>
  </w:style>
  <w:style w:type="character" w:customStyle="1" w:styleId="Char1">
    <w:name w:val="批注框文本 Char"/>
    <w:basedOn w:val="a0"/>
    <w:link w:val="a5"/>
    <w:uiPriority w:val="99"/>
    <w:semiHidden/>
    <w:locked/>
    <w:rPr>
      <w:rFonts w:ascii="宋体" w:eastAsia="宋体" w:hAnsi="宋体" w:cs="宋体" w:hint="eastAsia"/>
      <w:sz w:val="18"/>
      <w:szCs w:val="18"/>
    </w:rPr>
  </w:style>
  <w:style w:type="paragraph" w:customStyle="1" w:styleId="wpsoffice1">
    <w:name w:val="wpsoffice1"/>
    <w:basedOn w:val="a"/>
    <w:pPr>
      <w:spacing w:before="100" w:beforeAutospacing="1" w:after="100" w:afterAutospacing="1"/>
    </w:pPr>
  </w:style>
  <w:style w:type="paragraph" w:customStyle="1" w:styleId="wpsoffice2">
    <w:name w:val="wpsoffice2"/>
    <w:basedOn w:val="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34CCE-75CA-409D-AC1A-D41E63A14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24</Pages>
  <Words>1527</Words>
  <Characters>8707</Characters>
  <Application>Microsoft Office Word</Application>
  <DocSecurity>0</DocSecurity>
  <Lines>72</Lines>
  <Paragraphs>20</Paragraphs>
  <ScaleCrop>false</ScaleCrop>
  <Company/>
  <LinksUpToDate>false</LinksUpToDate>
  <CharactersWithSpaces>10214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DWZDM</dc:title>
  <dc:creator>hpproone400x64</dc:creator>
  <cp:lastModifiedBy>hpproone400x64</cp:lastModifiedBy>
  <cp:revision>26</cp:revision>
  <dcterms:created xsi:type="dcterms:W3CDTF">2023-09-08T09:30:00Z</dcterms:created>
  <dcterms:modified xsi:type="dcterms:W3CDTF">2024-07-15T08:33:00Z</dcterms:modified>
</cp:coreProperties>
</file>