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spacing w:before="0" w:beforeAutospacing="1" w:after="0" w:afterAutospacing="1"/>
        <w:ind w:left="0" w:right="0"/>
        <w:jc w:val="center"/>
        <w:rPr>
          <w:rFonts w:hint="eastAsia" w:ascii="黑体" w:hAnsi="ˎ̥" w:eastAsia="黑体" w:cs="黑体"/>
          <w:kern w:val="0"/>
          <w:sz w:val="44"/>
          <w:szCs w:val="44"/>
        </w:rPr>
      </w:pPr>
      <w:r>
        <w:rPr>
          <w:rFonts w:hint="eastAsia" w:ascii="黑体" w:hAnsi="宋体" w:eastAsia="黑体" w:cs="黑体"/>
          <w:kern w:val="0"/>
          <w:sz w:val="44"/>
          <w:szCs w:val="44"/>
        </w:rPr>
        <w:t>琼台师范学院附属桂林洋幼儿园</w:t>
      </w:r>
    </w:p>
    <w:p>
      <w:pPr>
        <w:keepNext w:val="0"/>
        <w:keepLines w:val="0"/>
        <w:widowControl/>
        <w:suppressLineNumbers w:val="0"/>
        <w:spacing w:before="0" w:beforeAutospacing="1" w:after="0" w:afterAutospacing="1"/>
        <w:ind w:left="0" w:right="0"/>
        <w:jc w:val="center"/>
        <w:rPr>
          <w:rFonts w:hint="eastAsia" w:ascii="黑体" w:hAnsi="ˎ̥" w:eastAsia="黑体" w:cs="黑体"/>
          <w:b/>
          <w:bCs w:val="0"/>
          <w:kern w:val="0"/>
          <w:sz w:val="32"/>
          <w:szCs w:val="32"/>
        </w:rPr>
      </w:pPr>
      <w:r>
        <w:rPr>
          <w:rFonts w:hint="eastAsia" w:ascii="黑体" w:hAnsi="宋体" w:eastAsia="黑体" w:cs="黑体"/>
          <w:kern w:val="0"/>
          <w:sz w:val="44"/>
          <w:szCs w:val="44"/>
        </w:rPr>
        <w:t>2022年度部门决算公开报告</w:t>
      </w:r>
    </w:p>
    <w:p>
      <w:pPr>
        <w:keepNext w:val="0"/>
        <w:keepLines w:val="0"/>
        <w:widowControl/>
        <w:suppressLineNumbers w:val="0"/>
        <w:spacing w:before="0" w:beforeAutospacing="1" w:after="0" w:afterAutospacing="1"/>
        <w:ind w:left="0" w:right="0"/>
        <w:jc w:val="center"/>
        <w:rPr>
          <w:rFonts w:hint="eastAsia" w:ascii="宋体" w:hAnsi="宋体" w:eastAsia="宋体" w:cs="宋体"/>
          <w:kern w:val="0"/>
          <w:sz w:val="24"/>
          <w:szCs w:val="24"/>
        </w:rPr>
      </w:pPr>
      <w:r>
        <w:rPr>
          <w:rFonts w:hint="eastAsia" w:ascii="黑体" w:hAnsi="宋体" w:eastAsia="黑体" w:cs="黑体"/>
          <w:kern w:val="0"/>
          <w:sz w:val="44"/>
          <w:szCs w:val="44"/>
        </w:rPr>
        <w:t>目  录</w:t>
      </w:r>
      <w:r>
        <w:rPr>
          <w:rFonts w:hint="eastAsia" w:ascii="宋体" w:hAnsi="宋体" w:eastAsia="宋体" w:cs="宋体"/>
          <w:kern w:val="0"/>
          <w:sz w:val="24"/>
          <w:szCs w:val="24"/>
        </w:rPr>
        <w:t xml:space="preserve"> </w:t>
      </w:r>
    </w:p>
    <w:p>
      <w:pPr>
        <w:pStyle w:val="33"/>
        <w:keepNext w:val="0"/>
        <w:keepLines w:val="0"/>
        <w:widowControl/>
        <w:suppressLineNumbers w:val="0"/>
        <w:ind w:leftChars="0"/>
        <w:rPr>
          <w:rFonts w:hint="default" w:ascii="Times New Roman" w:hAnsi="Times New Roman" w:eastAsia="宋体" w:cs="Times New Roman"/>
          <w:b/>
          <w:bCs w:val="0"/>
          <w:kern w:val="0"/>
          <w:sz w:val="20"/>
          <w:szCs w:val="20"/>
        </w:rPr>
      </w:pPr>
      <w:r>
        <w:fldChar w:fldCharType="begin"/>
      </w:r>
      <w:r>
        <w:instrText xml:space="preserve"> HYPERLINK "" \l "_Toc18344 " </w:instrText>
      </w:r>
      <w:r>
        <w:fldChar w:fldCharType="separate"/>
      </w:r>
      <w:r>
        <w:rPr>
          <w:rStyle w:val="15"/>
          <w:rFonts w:hint="eastAsia" w:ascii="黑体" w:hAnsi="宋体" w:eastAsia="黑体" w:cs="黑体"/>
          <w:b/>
          <w:bCs w:val="0"/>
          <w:color w:val="0000FF"/>
          <w:kern w:val="0"/>
          <w:sz w:val="30"/>
          <w:szCs w:val="30"/>
          <w:u w:val="single"/>
        </w:rPr>
        <w:t>第一部分  基本情况</w:t>
      </w:r>
      <w:r>
        <w:rPr>
          <w:rStyle w:val="15"/>
          <w:rFonts w:hint="eastAsia" w:ascii="黑体" w:hAnsi="宋体" w:eastAsia="黑体" w:cs="黑体"/>
          <w:b/>
          <w:bCs w:val="0"/>
          <w:color w:val="0000FF"/>
          <w:kern w:val="0"/>
          <w:sz w:val="30"/>
          <w:szCs w:val="30"/>
          <w:u w:val="single"/>
        </w:rPr>
        <w:tab/>
      </w:r>
      <w:r>
        <w:rPr>
          <w:rStyle w:val="15"/>
          <w:rFonts w:hint="eastAsia" w:ascii="黑体" w:hAnsi="宋体" w:eastAsia="黑体" w:cs="黑体"/>
          <w:b/>
          <w:bCs w:val="0"/>
          <w:color w:val="0000FF"/>
          <w:kern w:val="0"/>
          <w:sz w:val="30"/>
          <w:szCs w:val="30"/>
          <w:u w:val="single"/>
        </w:rPr>
        <w:fldChar w:fldCharType="begin"/>
      </w:r>
      <w:r>
        <w:rPr>
          <w:rStyle w:val="15"/>
          <w:rFonts w:hint="eastAsia" w:ascii="黑体" w:hAnsi="宋体" w:eastAsia="黑体" w:cs="黑体"/>
          <w:b/>
          <w:bCs w:val="0"/>
          <w:color w:val="0000FF"/>
          <w:kern w:val="0"/>
          <w:sz w:val="30"/>
          <w:szCs w:val="30"/>
          <w:u w:val="single"/>
        </w:rPr>
        <w:instrText xml:space="preserve"> PAGEREF _Toc18344 \h </w:instrText>
      </w:r>
      <w:r>
        <w:rPr>
          <w:rStyle w:val="15"/>
          <w:rFonts w:hint="eastAsia" w:ascii="黑体" w:hAnsi="宋体" w:eastAsia="黑体" w:cs="黑体"/>
          <w:b/>
          <w:bCs w:val="0"/>
          <w:color w:val="0000FF"/>
          <w:kern w:val="0"/>
          <w:sz w:val="30"/>
          <w:szCs w:val="30"/>
          <w:u w:val="single"/>
        </w:rPr>
        <w:fldChar w:fldCharType="separate"/>
      </w:r>
      <w:r>
        <w:rPr>
          <w:rStyle w:val="15"/>
          <w:rFonts w:hint="eastAsia" w:ascii="黑体" w:hAnsi="宋体" w:eastAsia="黑体" w:cs="黑体"/>
          <w:b/>
          <w:bCs w:val="0"/>
          <w:color w:val="0000FF"/>
          <w:kern w:val="0"/>
          <w:sz w:val="30"/>
          <w:szCs w:val="30"/>
          <w:u w:val="single"/>
        </w:rPr>
        <w:t>1</w:t>
      </w:r>
      <w:r>
        <w:rPr>
          <w:rStyle w:val="15"/>
          <w:rFonts w:hint="eastAsia" w:ascii="黑体" w:hAnsi="宋体" w:eastAsia="黑体" w:cs="黑体"/>
          <w:b/>
          <w:bCs w:val="0"/>
          <w:color w:val="0000FF"/>
          <w:kern w:val="0"/>
          <w:sz w:val="30"/>
          <w:szCs w:val="30"/>
          <w:u w:val="single"/>
        </w:rPr>
        <w:fldChar w:fldCharType="end"/>
      </w:r>
      <w:r>
        <w:fldChar w:fldCharType="end"/>
      </w:r>
    </w:p>
    <w:p>
      <w:pPr>
        <w:pStyle w:val="35"/>
        <w:keepNext w:val="0"/>
        <w:keepLines w:val="0"/>
        <w:widowControl/>
        <w:suppressLineNumbers w:val="0"/>
        <w:ind w:leftChars="200"/>
        <w:rPr>
          <w:rFonts w:hint="eastAsia" w:ascii="仿宋" w:hAnsi="仿宋" w:eastAsia="仿宋" w:cs="仿宋"/>
          <w:kern w:val="0"/>
          <w:sz w:val="30"/>
          <w:szCs w:val="30"/>
        </w:rPr>
      </w:pPr>
      <w:r>
        <w:fldChar w:fldCharType="begin"/>
      </w:r>
      <w:r>
        <w:instrText xml:space="preserve"> HYPERLINK "" \l "_Toc5508 " </w:instrText>
      </w:r>
      <w:r>
        <w:fldChar w:fldCharType="separate"/>
      </w:r>
      <w:r>
        <w:rPr>
          <w:rStyle w:val="15"/>
          <w:rFonts w:hint="eastAsia" w:ascii="仿宋" w:hAnsi="仿宋" w:eastAsia="仿宋" w:cs="仿宋"/>
          <w:color w:val="0000FF"/>
          <w:kern w:val="0"/>
          <w:sz w:val="30"/>
          <w:szCs w:val="30"/>
          <w:u w:val="single"/>
        </w:rPr>
        <w:t>一、单位职责</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rPr>
        <w:fldChar w:fldCharType="begin"/>
      </w:r>
      <w:r>
        <w:rPr>
          <w:rStyle w:val="15"/>
          <w:rFonts w:hint="eastAsia" w:ascii="仿宋" w:hAnsi="仿宋" w:eastAsia="仿宋" w:cs="仿宋"/>
          <w:color w:val="0000FF"/>
          <w:kern w:val="0"/>
          <w:sz w:val="30"/>
          <w:szCs w:val="30"/>
          <w:u w:val="single"/>
        </w:rPr>
        <w:instrText xml:space="preserve"> PAGEREF _Toc5508 \h </w:instrText>
      </w:r>
      <w:r>
        <w:rPr>
          <w:rStyle w:val="15"/>
          <w:rFonts w:hint="eastAsia" w:ascii="仿宋" w:hAnsi="仿宋" w:eastAsia="仿宋" w:cs="仿宋"/>
          <w:color w:val="0000FF"/>
          <w:kern w:val="0"/>
          <w:sz w:val="30"/>
          <w:szCs w:val="30"/>
          <w:u w:val="single"/>
        </w:rPr>
        <w:fldChar w:fldCharType="separate"/>
      </w:r>
      <w:r>
        <w:rPr>
          <w:rStyle w:val="15"/>
          <w:rFonts w:hint="eastAsia" w:ascii="仿宋" w:hAnsi="仿宋" w:eastAsia="仿宋" w:cs="仿宋"/>
          <w:color w:val="0000FF"/>
          <w:kern w:val="0"/>
          <w:sz w:val="30"/>
          <w:szCs w:val="30"/>
          <w:u w:val="single"/>
        </w:rPr>
        <w:t>1</w:t>
      </w:r>
      <w:r>
        <w:rPr>
          <w:rStyle w:val="15"/>
          <w:rFonts w:hint="eastAsia" w:ascii="仿宋" w:hAnsi="仿宋" w:eastAsia="仿宋" w:cs="仿宋"/>
          <w:color w:val="0000FF"/>
          <w:kern w:val="0"/>
          <w:sz w:val="30"/>
          <w:szCs w:val="30"/>
          <w:u w:val="single"/>
        </w:rPr>
        <w:fldChar w:fldCharType="end"/>
      </w:r>
      <w:r>
        <w:fldChar w:fldCharType="end"/>
      </w:r>
    </w:p>
    <w:p>
      <w:pPr>
        <w:pStyle w:val="35"/>
        <w:keepNext w:val="0"/>
        <w:keepLines w:val="0"/>
        <w:widowControl/>
        <w:suppressLineNumbers w:val="0"/>
        <w:ind w:leftChars="200"/>
        <w:rPr>
          <w:rFonts w:hint="default" w:ascii="Times New Roman" w:hAnsi="Times New Roman" w:eastAsia="宋体" w:cs="Times New Roman"/>
          <w:kern w:val="0"/>
          <w:sz w:val="20"/>
          <w:szCs w:val="20"/>
        </w:rPr>
      </w:pPr>
      <w:r>
        <w:fldChar w:fldCharType="begin"/>
      </w:r>
      <w:r>
        <w:instrText xml:space="preserve"> HYPERLINK "" \l "_Toc26308 " </w:instrText>
      </w:r>
      <w:r>
        <w:fldChar w:fldCharType="separate"/>
      </w:r>
      <w:r>
        <w:rPr>
          <w:rStyle w:val="15"/>
          <w:rFonts w:hint="eastAsia" w:ascii="仿宋" w:hAnsi="仿宋" w:eastAsia="仿宋" w:cs="仿宋"/>
          <w:color w:val="0000FF"/>
          <w:kern w:val="0"/>
          <w:sz w:val="30"/>
          <w:szCs w:val="30"/>
          <w:u w:val="single"/>
        </w:rPr>
        <w:t>二、机构设置</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rPr>
        <w:fldChar w:fldCharType="begin"/>
      </w:r>
      <w:r>
        <w:rPr>
          <w:rStyle w:val="15"/>
          <w:rFonts w:hint="eastAsia" w:ascii="仿宋" w:hAnsi="仿宋" w:eastAsia="仿宋" w:cs="仿宋"/>
          <w:color w:val="0000FF"/>
          <w:kern w:val="0"/>
          <w:sz w:val="30"/>
          <w:szCs w:val="30"/>
          <w:u w:val="single"/>
        </w:rPr>
        <w:instrText xml:space="preserve"> PAGEREF _Toc26308 \h </w:instrText>
      </w:r>
      <w:r>
        <w:rPr>
          <w:rStyle w:val="15"/>
          <w:rFonts w:hint="eastAsia" w:ascii="仿宋" w:hAnsi="仿宋" w:eastAsia="仿宋" w:cs="仿宋"/>
          <w:color w:val="0000FF"/>
          <w:kern w:val="0"/>
          <w:sz w:val="30"/>
          <w:szCs w:val="30"/>
          <w:u w:val="single"/>
        </w:rPr>
        <w:fldChar w:fldCharType="separate"/>
      </w:r>
      <w:r>
        <w:rPr>
          <w:rStyle w:val="15"/>
          <w:rFonts w:hint="eastAsia" w:ascii="仿宋" w:hAnsi="仿宋" w:eastAsia="仿宋" w:cs="仿宋"/>
          <w:color w:val="0000FF"/>
          <w:kern w:val="0"/>
          <w:sz w:val="30"/>
          <w:szCs w:val="30"/>
          <w:u w:val="single"/>
        </w:rPr>
        <w:t>1</w:t>
      </w:r>
      <w:r>
        <w:rPr>
          <w:rStyle w:val="15"/>
          <w:rFonts w:hint="eastAsia" w:ascii="仿宋" w:hAnsi="仿宋" w:eastAsia="仿宋" w:cs="仿宋"/>
          <w:color w:val="0000FF"/>
          <w:kern w:val="0"/>
          <w:sz w:val="30"/>
          <w:szCs w:val="30"/>
          <w:u w:val="single"/>
        </w:rPr>
        <w:fldChar w:fldCharType="end"/>
      </w:r>
      <w:r>
        <w:fldChar w:fldCharType="end"/>
      </w:r>
    </w:p>
    <w:p>
      <w:pPr>
        <w:pStyle w:val="33"/>
        <w:keepNext w:val="0"/>
        <w:keepLines w:val="0"/>
        <w:widowControl/>
        <w:suppressLineNumbers w:val="0"/>
        <w:ind w:leftChars="0"/>
        <w:jc w:val="left"/>
        <w:rPr>
          <w:rFonts w:hint="eastAsia" w:ascii="黑体" w:hAnsi="宋体" w:eastAsia="黑体" w:cs="黑体"/>
          <w:b/>
          <w:bCs w:val="0"/>
          <w:kern w:val="0"/>
          <w:sz w:val="30"/>
          <w:szCs w:val="30"/>
        </w:rPr>
      </w:pPr>
      <w:r>
        <w:fldChar w:fldCharType="begin"/>
      </w:r>
      <w:r>
        <w:instrText xml:space="preserve"> HYPERLINK "" \l "_Toc30139 " </w:instrText>
      </w:r>
      <w:r>
        <w:fldChar w:fldCharType="separate"/>
      </w:r>
      <w:r>
        <w:rPr>
          <w:rStyle w:val="15"/>
          <w:rFonts w:hint="eastAsia" w:ascii="黑体" w:hAnsi="宋体" w:eastAsia="黑体" w:cs="黑体"/>
          <w:b/>
          <w:bCs w:val="0"/>
          <w:color w:val="0000FF"/>
          <w:kern w:val="0"/>
          <w:sz w:val="30"/>
          <w:szCs w:val="30"/>
          <w:u w:val="single"/>
        </w:rPr>
        <w:t>第二部分  2022年度部门决算公开报表</w:t>
      </w:r>
      <w:r>
        <w:rPr>
          <w:rStyle w:val="15"/>
          <w:rFonts w:hint="eastAsia" w:ascii="黑体" w:hAnsi="宋体" w:eastAsia="黑体" w:cs="黑体"/>
          <w:b/>
          <w:bCs w:val="0"/>
          <w:color w:val="0000FF"/>
          <w:kern w:val="0"/>
          <w:sz w:val="30"/>
          <w:szCs w:val="30"/>
          <w:u w:val="single"/>
        </w:rPr>
        <w:tab/>
      </w:r>
      <w:r>
        <w:rPr>
          <w:rStyle w:val="15"/>
          <w:rFonts w:hint="eastAsia" w:ascii="黑体" w:hAnsi="宋体" w:eastAsia="黑体" w:cs="黑体"/>
          <w:b/>
          <w:bCs w:val="0"/>
          <w:color w:val="0000FF"/>
          <w:kern w:val="0"/>
          <w:sz w:val="30"/>
          <w:szCs w:val="30"/>
          <w:u w:val="single"/>
        </w:rPr>
        <w:fldChar w:fldCharType="begin"/>
      </w:r>
      <w:r>
        <w:rPr>
          <w:rStyle w:val="15"/>
          <w:rFonts w:hint="eastAsia" w:ascii="黑体" w:hAnsi="宋体" w:eastAsia="黑体" w:cs="黑体"/>
          <w:b/>
          <w:bCs w:val="0"/>
          <w:color w:val="0000FF"/>
          <w:kern w:val="0"/>
          <w:sz w:val="30"/>
          <w:szCs w:val="30"/>
          <w:u w:val="single"/>
        </w:rPr>
        <w:instrText xml:space="preserve"> PAGEREF _Toc30139 \h </w:instrText>
      </w:r>
      <w:r>
        <w:rPr>
          <w:rStyle w:val="15"/>
          <w:rFonts w:hint="eastAsia" w:ascii="黑体" w:hAnsi="宋体" w:eastAsia="黑体" w:cs="黑体"/>
          <w:b/>
          <w:bCs w:val="0"/>
          <w:color w:val="0000FF"/>
          <w:kern w:val="0"/>
          <w:sz w:val="30"/>
          <w:szCs w:val="30"/>
          <w:u w:val="single"/>
        </w:rPr>
        <w:fldChar w:fldCharType="separate"/>
      </w:r>
      <w:r>
        <w:rPr>
          <w:rStyle w:val="15"/>
          <w:rFonts w:hint="eastAsia" w:ascii="黑体" w:hAnsi="宋体" w:eastAsia="黑体" w:cs="黑体"/>
          <w:b/>
          <w:bCs w:val="0"/>
          <w:color w:val="0000FF"/>
          <w:kern w:val="0"/>
          <w:sz w:val="30"/>
          <w:szCs w:val="30"/>
          <w:u w:val="single"/>
        </w:rPr>
        <w:t>2</w:t>
      </w:r>
      <w:r>
        <w:rPr>
          <w:rStyle w:val="15"/>
          <w:rFonts w:hint="eastAsia" w:ascii="黑体" w:hAnsi="宋体" w:eastAsia="黑体" w:cs="黑体"/>
          <w:b/>
          <w:bCs w:val="0"/>
          <w:color w:val="0000FF"/>
          <w:kern w:val="0"/>
          <w:sz w:val="30"/>
          <w:szCs w:val="30"/>
          <w:u w:val="single"/>
        </w:rPr>
        <w:fldChar w:fldCharType="end"/>
      </w:r>
      <w:r>
        <w:fldChar w:fldCharType="end"/>
      </w:r>
    </w:p>
    <w:p>
      <w:pPr>
        <w:pStyle w:val="33"/>
        <w:keepNext w:val="0"/>
        <w:keepLines w:val="0"/>
        <w:widowControl/>
        <w:suppressLineNumbers w:val="0"/>
        <w:ind w:leftChars="0"/>
        <w:jc w:val="left"/>
        <w:rPr>
          <w:rFonts w:hint="default" w:ascii="Times New Roman" w:hAnsi="Times New Roman" w:eastAsia="宋体" w:cs="Times New Roman"/>
          <w:b/>
          <w:bCs w:val="0"/>
          <w:kern w:val="0"/>
          <w:sz w:val="20"/>
          <w:szCs w:val="20"/>
        </w:rPr>
      </w:pPr>
      <w:r>
        <w:fldChar w:fldCharType="begin"/>
      </w:r>
      <w:r>
        <w:instrText xml:space="preserve"> HYPERLINK "" \l "_Toc26403 " </w:instrText>
      </w:r>
      <w:r>
        <w:fldChar w:fldCharType="separate"/>
      </w:r>
      <w:r>
        <w:rPr>
          <w:rStyle w:val="15"/>
          <w:rFonts w:hint="eastAsia" w:ascii="黑体" w:hAnsi="宋体" w:eastAsia="黑体" w:cs="黑体"/>
          <w:b/>
          <w:bCs w:val="0"/>
          <w:color w:val="0000FF"/>
          <w:kern w:val="0"/>
          <w:sz w:val="30"/>
          <w:szCs w:val="30"/>
          <w:u w:val="single"/>
        </w:rPr>
        <w:t>第三部分  2022年度部门决算情况说明</w:t>
      </w:r>
      <w:r>
        <w:rPr>
          <w:rStyle w:val="15"/>
          <w:rFonts w:hint="eastAsia" w:ascii="黑体" w:hAnsi="宋体" w:eastAsia="黑体" w:cs="黑体"/>
          <w:b/>
          <w:bCs w:val="0"/>
          <w:color w:val="0000FF"/>
          <w:kern w:val="0"/>
          <w:sz w:val="30"/>
          <w:szCs w:val="30"/>
          <w:u w:val="single"/>
        </w:rPr>
        <w:tab/>
      </w:r>
      <w:r>
        <w:rPr>
          <w:rStyle w:val="15"/>
          <w:rFonts w:hint="eastAsia" w:ascii="黑体" w:hAnsi="宋体" w:eastAsia="黑体" w:cs="黑体"/>
          <w:b/>
          <w:bCs w:val="0"/>
          <w:color w:val="0000FF"/>
          <w:kern w:val="0"/>
          <w:sz w:val="30"/>
          <w:szCs w:val="30"/>
          <w:u w:val="single"/>
          <w:lang w:val="en-US" w:eastAsia="zh-CN"/>
        </w:rPr>
        <w:t>2</w:t>
      </w:r>
      <w:r>
        <w:fldChar w:fldCharType="end"/>
      </w:r>
    </w:p>
    <w:p>
      <w:pPr>
        <w:pStyle w:val="35"/>
        <w:keepNext w:val="0"/>
        <w:keepLines w:val="0"/>
        <w:widowControl/>
        <w:suppressLineNumbers w:val="0"/>
        <w:ind w:leftChars="200"/>
        <w:jc w:val="left"/>
        <w:rPr>
          <w:rFonts w:hint="eastAsia" w:ascii="仿宋" w:hAnsi="仿宋" w:eastAsia="仿宋" w:cs="仿宋"/>
          <w:kern w:val="0"/>
          <w:sz w:val="30"/>
          <w:szCs w:val="30"/>
        </w:rPr>
      </w:pPr>
      <w:r>
        <w:fldChar w:fldCharType="begin"/>
      </w:r>
      <w:r>
        <w:instrText xml:space="preserve"> HYPERLINK "" \l "_Toc1208 " </w:instrText>
      </w:r>
      <w:r>
        <w:fldChar w:fldCharType="separate"/>
      </w:r>
      <w:r>
        <w:rPr>
          <w:rStyle w:val="14"/>
          <w:rFonts w:hint="eastAsia" w:ascii="仿宋" w:hAnsi="仿宋" w:eastAsia="仿宋" w:cs="仿宋"/>
          <w:color w:val="0000FF"/>
          <w:kern w:val="0"/>
          <w:sz w:val="30"/>
          <w:szCs w:val="30"/>
          <w:u w:val="single"/>
        </w:rPr>
        <w:t>一、收入支出总体情况说明</w:t>
      </w:r>
      <w:r>
        <w:rPr>
          <w:rStyle w:val="14"/>
          <w:rFonts w:hint="eastAsia" w:ascii="仿宋" w:hAnsi="仿宋" w:eastAsia="仿宋" w:cs="仿宋"/>
          <w:color w:val="0000FF"/>
          <w:kern w:val="0"/>
          <w:sz w:val="30"/>
          <w:szCs w:val="30"/>
          <w:u w:val="single"/>
        </w:rPr>
        <w:tab/>
      </w:r>
      <w:r>
        <w:rPr>
          <w:rStyle w:val="14"/>
          <w:rFonts w:hint="eastAsia" w:ascii="仿宋" w:hAnsi="仿宋" w:eastAsia="仿宋" w:cs="仿宋"/>
          <w:color w:val="0000FF"/>
          <w:kern w:val="0"/>
          <w:sz w:val="30"/>
          <w:szCs w:val="30"/>
          <w:u w:val="single"/>
          <w:lang w:val="en-US" w:eastAsia="zh-CN"/>
        </w:rPr>
        <w:t>2</w:t>
      </w:r>
      <w:r>
        <w:fldChar w:fldCharType="end"/>
      </w:r>
    </w:p>
    <w:p>
      <w:pPr>
        <w:pStyle w:val="35"/>
        <w:keepNext w:val="0"/>
        <w:keepLines w:val="0"/>
        <w:widowControl/>
        <w:suppressLineNumbers w:val="0"/>
        <w:ind w:leftChars="200"/>
        <w:jc w:val="left"/>
        <w:rPr>
          <w:rFonts w:hint="eastAsia" w:ascii="仿宋" w:hAnsi="仿宋" w:eastAsia="仿宋" w:cs="仿宋"/>
          <w:kern w:val="0"/>
          <w:sz w:val="30"/>
          <w:szCs w:val="30"/>
        </w:rPr>
      </w:pPr>
      <w:r>
        <w:fldChar w:fldCharType="begin"/>
      </w:r>
      <w:r>
        <w:instrText xml:space="preserve"> HYPERLINK "" \l "_Toc12416 " </w:instrText>
      </w:r>
      <w:r>
        <w:fldChar w:fldCharType="separate"/>
      </w:r>
      <w:r>
        <w:rPr>
          <w:rStyle w:val="15"/>
          <w:rFonts w:hint="eastAsia" w:ascii="仿宋" w:hAnsi="仿宋" w:eastAsia="仿宋" w:cs="仿宋"/>
          <w:color w:val="0000FF"/>
          <w:kern w:val="0"/>
          <w:sz w:val="30"/>
          <w:szCs w:val="30"/>
          <w:u w:val="single"/>
        </w:rPr>
        <w:t>二、收入决算情况说明</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rPr>
        <w:fldChar w:fldCharType="begin"/>
      </w:r>
      <w:r>
        <w:rPr>
          <w:rStyle w:val="15"/>
          <w:rFonts w:hint="eastAsia" w:ascii="仿宋" w:hAnsi="仿宋" w:eastAsia="仿宋" w:cs="仿宋"/>
          <w:color w:val="0000FF"/>
          <w:kern w:val="0"/>
          <w:sz w:val="30"/>
          <w:szCs w:val="30"/>
          <w:u w:val="single"/>
        </w:rPr>
        <w:instrText xml:space="preserve"> PAGEREF _Toc12416 \h </w:instrText>
      </w:r>
      <w:r>
        <w:rPr>
          <w:rStyle w:val="15"/>
          <w:rFonts w:hint="eastAsia" w:ascii="仿宋" w:hAnsi="仿宋" w:eastAsia="仿宋" w:cs="仿宋"/>
          <w:color w:val="0000FF"/>
          <w:kern w:val="0"/>
          <w:sz w:val="30"/>
          <w:szCs w:val="30"/>
          <w:u w:val="single"/>
        </w:rPr>
        <w:fldChar w:fldCharType="separate"/>
      </w:r>
      <w:r>
        <w:rPr>
          <w:rStyle w:val="15"/>
          <w:rFonts w:hint="eastAsia" w:ascii="仿宋" w:hAnsi="仿宋" w:eastAsia="仿宋" w:cs="仿宋"/>
          <w:color w:val="0000FF"/>
          <w:kern w:val="0"/>
          <w:sz w:val="30"/>
          <w:szCs w:val="30"/>
          <w:u w:val="single"/>
        </w:rPr>
        <w:t>4</w:t>
      </w:r>
      <w:r>
        <w:rPr>
          <w:rStyle w:val="15"/>
          <w:rFonts w:hint="eastAsia" w:ascii="仿宋" w:hAnsi="仿宋" w:eastAsia="仿宋" w:cs="仿宋"/>
          <w:color w:val="0000FF"/>
          <w:kern w:val="0"/>
          <w:sz w:val="30"/>
          <w:szCs w:val="30"/>
          <w:u w:val="single"/>
        </w:rPr>
        <w:fldChar w:fldCharType="end"/>
      </w:r>
      <w:r>
        <w:fldChar w:fldCharType="end"/>
      </w:r>
    </w:p>
    <w:p>
      <w:pPr>
        <w:pStyle w:val="35"/>
        <w:keepNext w:val="0"/>
        <w:keepLines w:val="0"/>
        <w:widowControl/>
        <w:suppressLineNumbers w:val="0"/>
        <w:ind w:leftChars="200"/>
        <w:jc w:val="left"/>
        <w:rPr>
          <w:rFonts w:hint="eastAsia" w:ascii="仿宋" w:hAnsi="仿宋" w:eastAsia="仿宋" w:cs="仿宋"/>
          <w:kern w:val="0"/>
          <w:sz w:val="30"/>
          <w:szCs w:val="30"/>
        </w:rPr>
      </w:pPr>
      <w:r>
        <w:fldChar w:fldCharType="begin"/>
      </w:r>
      <w:r>
        <w:instrText xml:space="preserve"> HYPERLINK "" \l "_Toc10645 " </w:instrText>
      </w:r>
      <w:r>
        <w:fldChar w:fldCharType="separate"/>
      </w:r>
      <w:r>
        <w:rPr>
          <w:rStyle w:val="15"/>
          <w:rFonts w:hint="eastAsia" w:ascii="仿宋" w:hAnsi="仿宋" w:eastAsia="仿宋" w:cs="仿宋"/>
          <w:color w:val="0000FF"/>
          <w:kern w:val="0"/>
          <w:sz w:val="30"/>
          <w:szCs w:val="30"/>
          <w:u w:val="single"/>
        </w:rPr>
        <w:t>三、支出决算情况说明</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rPr>
        <w:fldChar w:fldCharType="begin"/>
      </w:r>
      <w:r>
        <w:rPr>
          <w:rStyle w:val="15"/>
          <w:rFonts w:hint="eastAsia" w:ascii="仿宋" w:hAnsi="仿宋" w:eastAsia="仿宋" w:cs="仿宋"/>
          <w:color w:val="0000FF"/>
          <w:kern w:val="0"/>
          <w:sz w:val="30"/>
          <w:szCs w:val="30"/>
          <w:u w:val="single"/>
        </w:rPr>
        <w:instrText xml:space="preserve"> PAGEREF _Toc10645 \h </w:instrText>
      </w:r>
      <w:r>
        <w:rPr>
          <w:rStyle w:val="15"/>
          <w:rFonts w:hint="eastAsia" w:ascii="仿宋" w:hAnsi="仿宋" w:eastAsia="仿宋" w:cs="仿宋"/>
          <w:color w:val="0000FF"/>
          <w:kern w:val="0"/>
          <w:sz w:val="30"/>
          <w:szCs w:val="30"/>
          <w:u w:val="single"/>
        </w:rPr>
        <w:fldChar w:fldCharType="separate"/>
      </w:r>
      <w:r>
        <w:rPr>
          <w:rStyle w:val="15"/>
          <w:rFonts w:hint="eastAsia" w:ascii="仿宋" w:hAnsi="仿宋" w:eastAsia="仿宋" w:cs="仿宋"/>
          <w:color w:val="0000FF"/>
          <w:kern w:val="0"/>
          <w:sz w:val="30"/>
          <w:szCs w:val="30"/>
          <w:u w:val="single"/>
        </w:rPr>
        <w:t>4</w:t>
      </w:r>
      <w:r>
        <w:rPr>
          <w:rStyle w:val="15"/>
          <w:rFonts w:hint="eastAsia" w:ascii="仿宋" w:hAnsi="仿宋" w:eastAsia="仿宋" w:cs="仿宋"/>
          <w:color w:val="0000FF"/>
          <w:kern w:val="0"/>
          <w:sz w:val="30"/>
          <w:szCs w:val="30"/>
          <w:u w:val="single"/>
        </w:rPr>
        <w:fldChar w:fldCharType="end"/>
      </w:r>
      <w:r>
        <w:fldChar w:fldCharType="end"/>
      </w:r>
    </w:p>
    <w:p>
      <w:pPr>
        <w:pStyle w:val="35"/>
        <w:keepNext w:val="0"/>
        <w:keepLines w:val="0"/>
        <w:widowControl/>
        <w:suppressLineNumbers w:val="0"/>
        <w:ind w:leftChars="200"/>
        <w:jc w:val="left"/>
        <w:rPr>
          <w:rFonts w:hint="eastAsia" w:ascii="仿宋" w:hAnsi="仿宋" w:eastAsia="仿宋" w:cs="仿宋"/>
          <w:kern w:val="0"/>
          <w:sz w:val="30"/>
          <w:szCs w:val="30"/>
        </w:rPr>
      </w:pPr>
      <w:r>
        <w:fldChar w:fldCharType="begin"/>
      </w:r>
      <w:r>
        <w:instrText xml:space="preserve"> HYPERLINK "" \l "_Toc13050 " </w:instrText>
      </w:r>
      <w:r>
        <w:fldChar w:fldCharType="separate"/>
      </w:r>
      <w:r>
        <w:rPr>
          <w:rStyle w:val="15"/>
          <w:rFonts w:hint="eastAsia" w:ascii="仿宋" w:hAnsi="仿宋" w:eastAsia="仿宋" w:cs="仿宋"/>
          <w:color w:val="0000FF"/>
          <w:kern w:val="0"/>
          <w:sz w:val="30"/>
          <w:szCs w:val="30"/>
          <w:u w:val="single"/>
        </w:rPr>
        <w:t>四、财政拨款收入支出决算总体情况说明</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rPr>
        <w:t>4</w:t>
      </w:r>
      <w:r>
        <w:fldChar w:fldCharType="end"/>
      </w:r>
    </w:p>
    <w:p>
      <w:pPr>
        <w:pStyle w:val="35"/>
        <w:keepNext w:val="0"/>
        <w:keepLines w:val="0"/>
        <w:widowControl/>
        <w:suppressLineNumbers w:val="0"/>
        <w:ind w:leftChars="200"/>
        <w:jc w:val="left"/>
        <w:rPr>
          <w:rFonts w:hint="eastAsia" w:ascii="仿宋" w:hAnsi="仿宋" w:eastAsia="仿宋" w:cs="仿宋"/>
          <w:kern w:val="0"/>
          <w:sz w:val="30"/>
          <w:szCs w:val="30"/>
        </w:rPr>
      </w:pPr>
      <w:r>
        <w:fldChar w:fldCharType="begin"/>
      </w:r>
      <w:r>
        <w:instrText xml:space="preserve"> HYPERLINK "" \l "_Toc22832 " </w:instrText>
      </w:r>
      <w:r>
        <w:fldChar w:fldCharType="separate"/>
      </w:r>
      <w:r>
        <w:rPr>
          <w:rStyle w:val="15"/>
          <w:rFonts w:hint="eastAsia" w:ascii="仿宋" w:hAnsi="仿宋" w:eastAsia="仿宋" w:cs="仿宋"/>
          <w:color w:val="0000FF"/>
          <w:kern w:val="0"/>
          <w:sz w:val="30"/>
          <w:szCs w:val="30"/>
          <w:u w:val="single"/>
        </w:rPr>
        <w:t>五、一般公共预算财政拨款支出决算情况说明</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rPr>
        <w:t>5</w:t>
      </w:r>
      <w:r>
        <w:fldChar w:fldCharType="end"/>
      </w:r>
    </w:p>
    <w:p>
      <w:pPr>
        <w:pStyle w:val="35"/>
        <w:keepNext w:val="0"/>
        <w:keepLines w:val="0"/>
        <w:widowControl/>
        <w:suppressLineNumbers w:val="0"/>
        <w:ind w:leftChars="200"/>
        <w:jc w:val="left"/>
        <w:rPr>
          <w:rFonts w:hint="eastAsia" w:ascii="仿宋" w:hAnsi="仿宋" w:eastAsia="仿宋" w:cs="仿宋"/>
          <w:kern w:val="0"/>
          <w:sz w:val="30"/>
          <w:szCs w:val="30"/>
        </w:rPr>
      </w:pPr>
      <w:r>
        <w:fldChar w:fldCharType="begin"/>
      </w:r>
      <w:r>
        <w:instrText xml:space="preserve"> HYPERLINK "" \l "_Toc138 " </w:instrText>
      </w:r>
      <w:r>
        <w:fldChar w:fldCharType="separate"/>
      </w:r>
      <w:r>
        <w:rPr>
          <w:rStyle w:val="15"/>
          <w:rFonts w:hint="eastAsia" w:ascii="仿宋" w:hAnsi="仿宋" w:eastAsia="仿宋" w:cs="仿宋"/>
          <w:color w:val="0000FF"/>
          <w:kern w:val="0"/>
          <w:sz w:val="30"/>
          <w:szCs w:val="30"/>
          <w:u w:val="single"/>
        </w:rPr>
        <w:t>六、一般公共预算财政拨款基本支出决算情况说明</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rPr>
        <w:t>8</w:t>
      </w:r>
      <w:r>
        <w:fldChar w:fldCharType="end"/>
      </w:r>
    </w:p>
    <w:p>
      <w:pPr>
        <w:pStyle w:val="35"/>
        <w:keepNext w:val="0"/>
        <w:keepLines w:val="0"/>
        <w:widowControl/>
        <w:suppressLineNumbers w:val="0"/>
        <w:ind w:leftChars="200"/>
        <w:jc w:val="left"/>
        <w:rPr>
          <w:rFonts w:hint="eastAsia" w:ascii="仿宋" w:hAnsi="仿宋" w:eastAsia="仿宋" w:cs="仿宋"/>
          <w:kern w:val="0"/>
          <w:sz w:val="30"/>
          <w:szCs w:val="30"/>
        </w:rPr>
      </w:pPr>
      <w:r>
        <w:fldChar w:fldCharType="begin"/>
      </w:r>
      <w:r>
        <w:instrText xml:space="preserve"> HYPERLINK "" \l "_Toc22776 " </w:instrText>
      </w:r>
      <w:r>
        <w:fldChar w:fldCharType="separate"/>
      </w:r>
      <w:r>
        <w:rPr>
          <w:rStyle w:val="15"/>
          <w:rFonts w:hint="eastAsia" w:ascii="仿宋" w:hAnsi="仿宋" w:eastAsia="仿宋" w:cs="仿宋"/>
          <w:color w:val="0000FF"/>
          <w:kern w:val="0"/>
          <w:sz w:val="30"/>
          <w:szCs w:val="30"/>
          <w:u w:val="single"/>
        </w:rPr>
        <w:t>七、政府性基金预算财政拨款支出决算情况说明</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rPr>
        <w:t>8</w:t>
      </w:r>
      <w:r>
        <w:fldChar w:fldCharType="end"/>
      </w:r>
    </w:p>
    <w:p>
      <w:pPr>
        <w:pStyle w:val="35"/>
        <w:keepNext w:val="0"/>
        <w:keepLines w:val="0"/>
        <w:widowControl/>
        <w:suppressLineNumbers w:val="0"/>
        <w:ind w:leftChars="200"/>
        <w:jc w:val="left"/>
        <w:rPr>
          <w:rFonts w:hint="eastAsia" w:ascii="仿宋" w:hAnsi="仿宋" w:eastAsia="仿宋" w:cs="仿宋"/>
          <w:kern w:val="0"/>
          <w:sz w:val="30"/>
          <w:szCs w:val="30"/>
        </w:rPr>
      </w:pPr>
      <w:r>
        <w:fldChar w:fldCharType="begin"/>
      </w:r>
      <w:r>
        <w:instrText xml:space="preserve"> HYPERLINK "" \l "_Toc20205 " </w:instrText>
      </w:r>
      <w:r>
        <w:fldChar w:fldCharType="separate"/>
      </w:r>
      <w:r>
        <w:rPr>
          <w:rStyle w:val="15"/>
          <w:rFonts w:hint="eastAsia" w:ascii="仿宋" w:hAnsi="仿宋" w:eastAsia="仿宋" w:cs="仿宋"/>
          <w:color w:val="0000FF"/>
          <w:kern w:val="0"/>
          <w:sz w:val="30"/>
          <w:szCs w:val="30"/>
          <w:u w:val="single"/>
        </w:rPr>
        <w:t>八、国有资本经营预算财政拨款支出决算情况说明</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rPr>
        <w:t>9</w:t>
      </w:r>
      <w:r>
        <w:fldChar w:fldCharType="end"/>
      </w:r>
    </w:p>
    <w:p>
      <w:pPr>
        <w:pStyle w:val="35"/>
        <w:keepNext w:val="0"/>
        <w:keepLines w:val="0"/>
        <w:widowControl/>
        <w:suppressLineNumbers w:val="0"/>
        <w:ind w:leftChars="200"/>
        <w:jc w:val="left"/>
        <w:rPr>
          <w:rFonts w:hint="eastAsia" w:ascii="仿宋" w:hAnsi="仿宋" w:eastAsia="仿宋" w:cs="仿宋"/>
          <w:kern w:val="0"/>
          <w:sz w:val="30"/>
          <w:szCs w:val="30"/>
        </w:rPr>
      </w:pPr>
      <w:r>
        <w:fldChar w:fldCharType="begin"/>
      </w:r>
      <w:r>
        <w:instrText xml:space="preserve"> HYPERLINK "" \l "_Toc28479 " </w:instrText>
      </w:r>
      <w:r>
        <w:fldChar w:fldCharType="separate"/>
      </w:r>
      <w:r>
        <w:rPr>
          <w:rStyle w:val="15"/>
          <w:rFonts w:hint="eastAsia" w:ascii="仿宋" w:hAnsi="仿宋" w:eastAsia="仿宋" w:cs="仿宋"/>
          <w:color w:val="0000FF"/>
          <w:kern w:val="0"/>
          <w:sz w:val="30"/>
          <w:szCs w:val="30"/>
          <w:u w:val="single"/>
        </w:rPr>
        <w:t>九、财政拨款“三公”经费支出决算情况说明</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lang w:val="en-US" w:eastAsia="zh-CN"/>
        </w:rPr>
        <w:t>9</w:t>
      </w:r>
      <w:r>
        <w:fldChar w:fldCharType="end"/>
      </w:r>
    </w:p>
    <w:p>
      <w:pPr>
        <w:pStyle w:val="35"/>
        <w:keepNext w:val="0"/>
        <w:keepLines w:val="0"/>
        <w:widowControl/>
        <w:suppressLineNumbers w:val="0"/>
        <w:ind w:leftChars="200"/>
        <w:jc w:val="left"/>
        <w:rPr>
          <w:rFonts w:hint="eastAsia" w:ascii="仿宋" w:hAnsi="仿宋" w:eastAsia="仿宋" w:cs="仿宋"/>
          <w:kern w:val="0"/>
          <w:sz w:val="30"/>
          <w:szCs w:val="30"/>
        </w:rPr>
      </w:pPr>
      <w:r>
        <w:fldChar w:fldCharType="begin"/>
      </w:r>
      <w:r>
        <w:instrText xml:space="preserve"> HYPERLINK "" \l "_Toc18403 " </w:instrText>
      </w:r>
      <w:r>
        <w:fldChar w:fldCharType="separate"/>
      </w:r>
      <w:r>
        <w:rPr>
          <w:rStyle w:val="15"/>
          <w:rFonts w:hint="eastAsia" w:ascii="仿宋" w:hAnsi="仿宋" w:eastAsia="仿宋" w:cs="仿宋"/>
          <w:color w:val="0000FF"/>
          <w:kern w:val="0"/>
          <w:sz w:val="30"/>
          <w:szCs w:val="30"/>
          <w:u w:val="single"/>
        </w:rPr>
        <w:t>十、预算绩效情况说明</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rPr>
        <w:fldChar w:fldCharType="begin"/>
      </w:r>
      <w:r>
        <w:rPr>
          <w:rStyle w:val="15"/>
          <w:rFonts w:hint="eastAsia" w:ascii="仿宋" w:hAnsi="仿宋" w:eastAsia="仿宋" w:cs="仿宋"/>
          <w:color w:val="0000FF"/>
          <w:kern w:val="0"/>
          <w:sz w:val="30"/>
          <w:szCs w:val="30"/>
          <w:u w:val="single"/>
        </w:rPr>
        <w:instrText xml:space="preserve"> PAGEREF _Toc18403 \h </w:instrText>
      </w:r>
      <w:r>
        <w:rPr>
          <w:rStyle w:val="15"/>
          <w:rFonts w:hint="eastAsia" w:ascii="仿宋" w:hAnsi="仿宋" w:eastAsia="仿宋" w:cs="仿宋"/>
          <w:color w:val="0000FF"/>
          <w:kern w:val="0"/>
          <w:sz w:val="30"/>
          <w:szCs w:val="30"/>
          <w:u w:val="single"/>
        </w:rPr>
        <w:fldChar w:fldCharType="separate"/>
      </w:r>
      <w:r>
        <w:rPr>
          <w:rStyle w:val="15"/>
          <w:rFonts w:hint="eastAsia" w:ascii="仿宋" w:hAnsi="仿宋" w:eastAsia="仿宋" w:cs="仿宋"/>
          <w:color w:val="0000FF"/>
          <w:kern w:val="0"/>
          <w:sz w:val="30"/>
          <w:szCs w:val="30"/>
          <w:u w:val="single"/>
        </w:rPr>
        <w:t>11</w:t>
      </w:r>
      <w:r>
        <w:rPr>
          <w:rStyle w:val="15"/>
          <w:rFonts w:hint="eastAsia" w:ascii="仿宋" w:hAnsi="仿宋" w:eastAsia="仿宋" w:cs="仿宋"/>
          <w:color w:val="0000FF"/>
          <w:kern w:val="0"/>
          <w:sz w:val="30"/>
          <w:szCs w:val="30"/>
          <w:u w:val="single"/>
        </w:rPr>
        <w:fldChar w:fldCharType="end"/>
      </w:r>
      <w:r>
        <w:fldChar w:fldCharType="end"/>
      </w:r>
    </w:p>
    <w:p>
      <w:pPr>
        <w:pStyle w:val="35"/>
        <w:keepNext w:val="0"/>
        <w:keepLines w:val="0"/>
        <w:widowControl/>
        <w:suppressLineNumbers w:val="0"/>
        <w:ind w:leftChars="200"/>
        <w:jc w:val="left"/>
        <w:rPr>
          <w:rFonts w:hint="default" w:ascii="Times New Roman" w:hAnsi="Times New Roman" w:eastAsia="宋体" w:cs="Times New Roman"/>
          <w:kern w:val="0"/>
          <w:sz w:val="20"/>
          <w:szCs w:val="20"/>
        </w:rPr>
      </w:pPr>
      <w:r>
        <w:fldChar w:fldCharType="begin"/>
      </w:r>
      <w:r>
        <w:instrText xml:space="preserve"> HYPERLINK "" \l "_Toc4254 " </w:instrText>
      </w:r>
      <w:r>
        <w:fldChar w:fldCharType="separate"/>
      </w:r>
      <w:r>
        <w:rPr>
          <w:rStyle w:val="15"/>
          <w:rFonts w:hint="eastAsia" w:ascii="仿宋" w:hAnsi="仿宋" w:eastAsia="仿宋" w:cs="仿宋"/>
          <w:color w:val="0000FF"/>
          <w:kern w:val="0"/>
          <w:sz w:val="30"/>
          <w:szCs w:val="30"/>
          <w:u w:val="single"/>
        </w:rPr>
        <w:t>十一、其他重要事项情况说明</w:t>
      </w:r>
      <w:r>
        <w:rPr>
          <w:rStyle w:val="15"/>
          <w:rFonts w:hint="eastAsia" w:ascii="仿宋" w:hAnsi="仿宋" w:eastAsia="仿宋" w:cs="仿宋"/>
          <w:color w:val="0000FF"/>
          <w:kern w:val="0"/>
          <w:sz w:val="30"/>
          <w:szCs w:val="30"/>
          <w:u w:val="single"/>
        </w:rPr>
        <w:tab/>
      </w:r>
      <w:r>
        <w:rPr>
          <w:rStyle w:val="15"/>
          <w:rFonts w:hint="eastAsia" w:ascii="仿宋" w:hAnsi="仿宋" w:eastAsia="仿宋" w:cs="仿宋"/>
          <w:color w:val="0000FF"/>
          <w:kern w:val="0"/>
          <w:sz w:val="30"/>
          <w:szCs w:val="30"/>
          <w:u w:val="single"/>
        </w:rPr>
        <w:fldChar w:fldCharType="begin"/>
      </w:r>
      <w:r>
        <w:rPr>
          <w:rStyle w:val="15"/>
          <w:rFonts w:hint="eastAsia" w:ascii="仿宋" w:hAnsi="仿宋" w:eastAsia="仿宋" w:cs="仿宋"/>
          <w:color w:val="0000FF"/>
          <w:kern w:val="0"/>
          <w:sz w:val="30"/>
          <w:szCs w:val="30"/>
          <w:u w:val="single"/>
        </w:rPr>
        <w:instrText xml:space="preserve"> PAGEREF _Toc4254 \h </w:instrText>
      </w:r>
      <w:r>
        <w:rPr>
          <w:rStyle w:val="15"/>
          <w:rFonts w:hint="eastAsia" w:ascii="仿宋" w:hAnsi="仿宋" w:eastAsia="仿宋" w:cs="仿宋"/>
          <w:color w:val="0000FF"/>
          <w:kern w:val="0"/>
          <w:sz w:val="30"/>
          <w:szCs w:val="30"/>
          <w:u w:val="single"/>
        </w:rPr>
        <w:fldChar w:fldCharType="separate"/>
      </w:r>
      <w:r>
        <w:rPr>
          <w:rStyle w:val="15"/>
          <w:rFonts w:hint="eastAsia" w:ascii="仿宋" w:hAnsi="仿宋" w:eastAsia="仿宋" w:cs="仿宋"/>
          <w:color w:val="0000FF"/>
          <w:kern w:val="0"/>
          <w:sz w:val="30"/>
          <w:szCs w:val="30"/>
          <w:u w:val="single"/>
        </w:rPr>
        <w:t>14</w:t>
      </w:r>
      <w:r>
        <w:rPr>
          <w:rStyle w:val="15"/>
          <w:rFonts w:hint="eastAsia" w:ascii="仿宋" w:hAnsi="仿宋" w:eastAsia="仿宋" w:cs="仿宋"/>
          <w:color w:val="0000FF"/>
          <w:kern w:val="0"/>
          <w:sz w:val="30"/>
          <w:szCs w:val="30"/>
          <w:u w:val="single"/>
        </w:rPr>
        <w:fldChar w:fldCharType="end"/>
      </w:r>
      <w:r>
        <w:fldChar w:fldCharType="end"/>
      </w:r>
    </w:p>
    <w:p>
      <w:pPr>
        <w:pStyle w:val="33"/>
        <w:keepNext w:val="0"/>
        <w:keepLines w:val="0"/>
        <w:widowControl/>
        <w:suppressLineNumbers w:val="0"/>
        <w:ind w:leftChars="0"/>
        <w:rPr>
          <w:rFonts w:hint="default" w:ascii="Times New Roman" w:hAnsi="Times New Roman" w:eastAsia="宋体" w:cs="Times New Roman"/>
          <w:b/>
          <w:bCs w:val="0"/>
          <w:kern w:val="0"/>
          <w:sz w:val="20"/>
          <w:szCs w:val="20"/>
        </w:rPr>
      </w:pPr>
      <w:r>
        <w:fldChar w:fldCharType="begin"/>
      </w:r>
      <w:r>
        <w:instrText xml:space="preserve"> HYPERLINK "" \l "_Toc46 " </w:instrText>
      </w:r>
      <w:r>
        <w:fldChar w:fldCharType="separate"/>
      </w:r>
      <w:r>
        <w:rPr>
          <w:rStyle w:val="15"/>
          <w:rFonts w:hint="eastAsia" w:ascii="黑体" w:hAnsi="宋体" w:eastAsia="黑体" w:cs="黑体"/>
          <w:b/>
          <w:bCs w:val="0"/>
          <w:color w:val="0000FF"/>
          <w:kern w:val="0"/>
          <w:sz w:val="30"/>
          <w:szCs w:val="30"/>
          <w:u w:val="single"/>
        </w:rPr>
        <w:t>第四部分  名词解释</w:t>
      </w:r>
      <w:r>
        <w:rPr>
          <w:rStyle w:val="15"/>
          <w:rFonts w:hint="eastAsia" w:ascii="黑体" w:hAnsi="宋体" w:eastAsia="黑体" w:cs="黑体"/>
          <w:b/>
          <w:bCs w:val="0"/>
          <w:color w:val="0000FF"/>
          <w:kern w:val="0"/>
          <w:sz w:val="30"/>
          <w:szCs w:val="30"/>
          <w:u w:val="single"/>
        </w:rPr>
        <w:tab/>
      </w:r>
      <w:r>
        <w:rPr>
          <w:rStyle w:val="15"/>
          <w:rFonts w:hint="eastAsia" w:ascii="黑体" w:hAnsi="宋体" w:eastAsia="黑体" w:cs="黑体"/>
          <w:b/>
          <w:bCs w:val="0"/>
          <w:color w:val="0000FF"/>
          <w:kern w:val="0"/>
          <w:sz w:val="30"/>
          <w:szCs w:val="30"/>
          <w:u w:val="single"/>
        </w:rPr>
        <w:fldChar w:fldCharType="begin"/>
      </w:r>
      <w:r>
        <w:rPr>
          <w:rStyle w:val="15"/>
          <w:rFonts w:hint="eastAsia" w:ascii="黑体" w:hAnsi="宋体" w:eastAsia="黑体" w:cs="黑体"/>
          <w:b/>
          <w:bCs w:val="0"/>
          <w:color w:val="0000FF"/>
          <w:kern w:val="0"/>
          <w:sz w:val="30"/>
          <w:szCs w:val="30"/>
          <w:u w:val="single"/>
        </w:rPr>
        <w:instrText xml:space="preserve"> PAGEREF _Toc46 \h </w:instrText>
      </w:r>
      <w:r>
        <w:rPr>
          <w:rStyle w:val="15"/>
          <w:rFonts w:hint="eastAsia" w:ascii="黑体" w:hAnsi="宋体" w:eastAsia="黑体" w:cs="黑体"/>
          <w:b/>
          <w:bCs w:val="0"/>
          <w:color w:val="0000FF"/>
          <w:kern w:val="0"/>
          <w:sz w:val="30"/>
          <w:szCs w:val="30"/>
          <w:u w:val="single"/>
        </w:rPr>
        <w:fldChar w:fldCharType="separate"/>
      </w:r>
      <w:r>
        <w:rPr>
          <w:rStyle w:val="15"/>
          <w:rFonts w:hint="eastAsia" w:ascii="黑体" w:hAnsi="宋体" w:eastAsia="黑体" w:cs="黑体"/>
          <w:b/>
          <w:bCs w:val="0"/>
          <w:color w:val="0000FF"/>
          <w:kern w:val="0"/>
          <w:sz w:val="30"/>
          <w:szCs w:val="30"/>
          <w:u w:val="single"/>
        </w:rPr>
        <w:t>15</w:t>
      </w:r>
      <w:r>
        <w:rPr>
          <w:rStyle w:val="15"/>
          <w:rFonts w:hint="eastAsia" w:ascii="黑体" w:hAnsi="宋体" w:eastAsia="黑体" w:cs="黑体"/>
          <w:b/>
          <w:bCs w:val="0"/>
          <w:color w:val="0000FF"/>
          <w:kern w:val="0"/>
          <w:sz w:val="30"/>
          <w:szCs w:val="30"/>
          <w:u w:val="single"/>
        </w:rPr>
        <w:fldChar w:fldCharType="end"/>
      </w:r>
      <w:r>
        <w:fldChar w:fldCharType="end"/>
      </w:r>
    </w:p>
    <w:p>
      <w:pPr>
        <w:pStyle w:val="35"/>
        <w:keepNext w:val="0"/>
        <w:keepLines w:val="0"/>
        <w:widowControl/>
        <w:suppressLineNumbers w:val="0"/>
        <w:ind w:leftChars="20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pPr>
        <w:rPr>
          <w:rFonts w:hint="eastAsia" w:ascii="黑体" w:hAnsi="ˎ̥" w:eastAsia="黑体" w:cs="黑体"/>
          <w:kern w:val="0"/>
          <w:sz w:val="32"/>
          <w:szCs w:val="32"/>
        </w:rPr>
        <w:sectPr>
          <w:footerReference r:id="rId4" w:type="default"/>
          <w:pgSz w:w="11915" w:h="16851"/>
          <w:pgMar w:top="1440" w:right="1800" w:bottom="1440" w:left="1800" w:header="851" w:footer="992" w:gutter="0"/>
          <w:pgNumType w:fmt="decimal" w:start="1"/>
          <w:cols w:space="0" w:num="1"/>
          <w:docGrid w:type="lines" w:linePitch="312" w:charSpace="0"/>
        </w:sectPr>
      </w:pPr>
    </w:p>
    <w:p>
      <w:pPr>
        <w:keepNext w:val="0"/>
        <w:keepLines w:val="0"/>
        <w:widowControl/>
        <w:suppressLineNumbers w:val="0"/>
        <w:spacing w:before="0" w:beforeAutospacing="1" w:after="0" w:afterAutospacing="1"/>
        <w:ind w:left="0" w:right="0"/>
        <w:jc w:val="both"/>
        <w:rPr>
          <w:rFonts w:hint="eastAsia" w:ascii="黑体" w:hAnsi="ˎ̥" w:eastAsia="黑体" w:cs="黑体"/>
          <w:kern w:val="0"/>
          <w:sz w:val="32"/>
          <w:szCs w:val="32"/>
        </w:rPr>
      </w:pPr>
      <w:r>
        <w:rPr>
          <w:rFonts w:hint="eastAsia" w:ascii="黑体" w:hAnsi="ˎ̥" w:eastAsia="黑体" w:cs="黑体"/>
          <w:kern w:val="0"/>
          <w:sz w:val="32"/>
          <w:szCs w:val="32"/>
        </w:rPr>
        <w:t xml:space="preserve"> </w:t>
      </w:r>
    </w:p>
    <w:p>
      <w:pPr>
        <w:keepNext w:val="0"/>
        <w:keepLines w:val="0"/>
        <w:widowControl/>
        <w:suppressLineNumbers w:val="0"/>
        <w:spacing w:before="0" w:beforeAutospacing="1" w:after="0" w:afterAutospacing="1"/>
        <w:ind w:left="0" w:right="0"/>
        <w:jc w:val="center"/>
        <w:outlineLvl w:val="0"/>
        <w:rPr>
          <w:rFonts w:hint="eastAsia" w:ascii="黑体" w:hAnsi="ˎ̥" w:eastAsia="黑体" w:cs="黑体"/>
          <w:kern w:val="0"/>
          <w:sz w:val="32"/>
          <w:szCs w:val="32"/>
        </w:rPr>
      </w:pPr>
      <w:bookmarkStart w:id="0" w:name="_Toc17780"/>
      <w:bookmarkEnd w:id="0"/>
      <w:bookmarkStart w:id="1" w:name="_Toc18344"/>
      <w:r>
        <w:rPr>
          <w:rFonts w:hint="eastAsia" w:ascii="黑体" w:hAnsi="宋体" w:eastAsia="黑体" w:cs="黑体"/>
          <w:kern w:val="0"/>
          <w:sz w:val="32"/>
          <w:szCs w:val="32"/>
        </w:rPr>
        <w:t>第一部分</w:t>
      </w:r>
      <w:bookmarkEnd w:id="1"/>
      <w:r>
        <w:rPr>
          <w:rFonts w:hint="eastAsia" w:ascii="黑体" w:hAnsi="ˎ̥" w:eastAsia="黑体" w:cs="黑体"/>
          <w:kern w:val="0"/>
          <w:sz w:val="32"/>
          <w:szCs w:val="32"/>
        </w:rPr>
        <w:t xml:space="preserve">  </w:t>
      </w:r>
      <w:r>
        <w:rPr>
          <w:rFonts w:hint="eastAsia" w:ascii="黑体" w:hAnsi="宋体" w:eastAsia="黑体" w:cs="黑体"/>
          <w:kern w:val="0"/>
          <w:sz w:val="32"/>
          <w:szCs w:val="32"/>
        </w:rPr>
        <w:t>基本情况</w:t>
      </w:r>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kern w:val="0"/>
          <w:sz w:val="32"/>
          <w:szCs w:val="32"/>
        </w:rPr>
      </w:pPr>
      <w:r>
        <w:rPr>
          <w:rFonts w:hint="eastAsia" w:ascii="楷体" w:hAnsi="楷体" w:eastAsia="楷体" w:cs="楷体"/>
          <w:kern w:val="0"/>
          <w:sz w:val="32"/>
          <w:szCs w:val="32"/>
        </w:rPr>
        <w:t xml:space="preserve"> </w:t>
      </w:r>
    </w:p>
    <w:p>
      <w:pPr>
        <w:keepNext w:val="0"/>
        <w:keepLines w:val="0"/>
        <w:widowControl/>
        <w:numPr>
          <w:ilvl w:val="0"/>
          <w:numId w:val="1"/>
        </w:numPr>
        <w:suppressLineNumbers w:val="0"/>
        <w:spacing w:before="0" w:beforeAutospacing="1" w:after="0" w:afterAutospacing="1"/>
        <w:ind w:left="0" w:right="0" w:firstLine="640" w:firstLineChars="200"/>
        <w:jc w:val="both"/>
        <w:outlineLvl w:val="1"/>
        <w:rPr>
          <w:rFonts w:hint="eastAsia" w:ascii="黑体" w:hAnsi="宋体" w:eastAsia="黑体" w:cs="黑体"/>
          <w:kern w:val="0"/>
          <w:sz w:val="32"/>
          <w:szCs w:val="32"/>
        </w:rPr>
      </w:pPr>
      <w:bookmarkStart w:id="2" w:name="_Toc12837"/>
      <w:bookmarkEnd w:id="2"/>
      <w:bookmarkStart w:id="3" w:name="_Toc5508"/>
      <w:r>
        <w:rPr>
          <w:rFonts w:hint="eastAsia" w:ascii="黑体" w:hAnsi="宋体" w:eastAsia="黑体" w:cs="黑体"/>
          <w:kern w:val="0"/>
          <w:sz w:val="32"/>
          <w:szCs w:val="32"/>
        </w:rPr>
        <w:t>单位职责</w:t>
      </w:r>
      <w:bookmarkEnd w:id="3"/>
    </w:p>
    <w:p>
      <w:pPr>
        <w:keepNext w:val="0"/>
        <w:keepLines w:val="0"/>
        <w:widowControl/>
        <w:suppressLineNumbers w:val="0"/>
        <w:autoSpaceDE w:val="0"/>
        <w:autoSpaceDN/>
        <w:spacing w:before="0" w:beforeAutospacing="1" w:after="0" w:afterAutospacing="1"/>
        <w:ind w:left="0" w:right="0" w:rightChars="0" w:firstLine="640" w:firstLineChars="200"/>
        <w:jc w:val="both"/>
        <w:rPr>
          <w:rFonts w:hint="eastAsia" w:ascii="黑体" w:hAnsi="宋体" w:eastAsia="黑体" w:cs="黑体"/>
          <w:kern w:val="0"/>
          <w:sz w:val="32"/>
          <w:szCs w:val="32"/>
        </w:rPr>
      </w:pPr>
      <w:r>
        <w:rPr>
          <w:rFonts w:hint="eastAsia" w:ascii="仿宋_GB2312" w:hAnsi="黑体" w:eastAsia="仿宋_GB2312"/>
          <w:color w:val="auto"/>
          <w:sz w:val="32"/>
          <w:szCs w:val="32"/>
          <w:lang w:val="en-US" w:eastAsia="zh-CN"/>
        </w:rPr>
        <w:t>琼台师范学院附属桂林洋幼儿园（以下简称“幼儿园”）隶属琼台师范学院，是一所全日制公办园。</w:t>
      </w:r>
      <w:r>
        <w:rPr>
          <w:rFonts w:hint="eastAsia" w:ascii="仿宋_GB2312" w:eastAsia="仿宋_GB2312"/>
          <w:color w:val="auto"/>
          <w:sz w:val="32"/>
          <w:szCs w:val="32"/>
          <w:highlight w:val="none"/>
          <w:lang w:eastAsia="zh-CN"/>
        </w:rPr>
        <w:t>主要职责是</w:t>
      </w:r>
      <w:r>
        <w:rPr>
          <w:rFonts w:hint="eastAsia" w:ascii="仿宋_GB2312" w:eastAsia="仿宋_GB2312"/>
          <w:color w:val="auto"/>
          <w:sz w:val="32"/>
          <w:szCs w:val="32"/>
          <w:highlight w:val="none"/>
          <w:lang w:val="en-US" w:eastAsia="zh-CN"/>
        </w:rPr>
        <w:t>承担为学龄前幼儿提供保育和教育服务，同时作为海南省学前教育专业实践教学研究基地和海南省学前教育师资培训基地</w:t>
      </w:r>
      <w:r>
        <w:rPr>
          <w:rFonts w:hint="default" w:ascii="仿宋_GB2312" w:hAnsi="ˎ̥" w:eastAsia="仿宋_GB2312" w:cs="仿宋_GB2312"/>
          <w:kern w:val="0"/>
          <w:sz w:val="32"/>
          <w:szCs w:val="32"/>
          <w:shd w:val="clear" w:fill="FFFFFF"/>
        </w:rPr>
        <w:t>。</w:t>
      </w:r>
    </w:p>
    <w:p>
      <w:pPr>
        <w:keepNext w:val="0"/>
        <w:keepLines w:val="0"/>
        <w:widowControl/>
        <w:suppressLineNumbers w:val="0"/>
        <w:spacing w:before="0" w:beforeAutospacing="1" w:after="0" w:afterAutospacing="1"/>
        <w:ind w:left="0" w:right="0" w:firstLine="640" w:firstLineChars="200"/>
        <w:jc w:val="both"/>
        <w:outlineLvl w:val="1"/>
        <w:rPr>
          <w:rFonts w:hint="eastAsia" w:ascii="黑体" w:hAnsi="宋体" w:eastAsia="黑体" w:cs="黑体"/>
          <w:kern w:val="0"/>
          <w:sz w:val="32"/>
          <w:szCs w:val="32"/>
        </w:rPr>
      </w:pPr>
      <w:bookmarkStart w:id="4" w:name="_Toc22261"/>
      <w:bookmarkEnd w:id="4"/>
      <w:bookmarkStart w:id="5" w:name="_Toc26308"/>
      <w:r>
        <w:rPr>
          <w:rFonts w:hint="eastAsia" w:ascii="黑体" w:hAnsi="宋体" w:eastAsia="黑体" w:cs="黑体"/>
          <w:kern w:val="0"/>
          <w:sz w:val="32"/>
          <w:szCs w:val="32"/>
        </w:rPr>
        <w:t>二、机构设置</w:t>
      </w:r>
      <w:bookmarkEnd w:id="5"/>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黑体" w:eastAsia="仿宋_GB2312"/>
          <w:color w:val="auto"/>
          <w:sz w:val="32"/>
          <w:szCs w:val="32"/>
          <w:lang w:val="en-US" w:eastAsia="zh-CN"/>
        </w:rPr>
      </w:pPr>
      <w:r>
        <w:rPr>
          <w:rFonts w:hint="default" w:ascii="仿宋_GB2312" w:hAnsi="ˎ̥" w:eastAsia="仿宋_GB2312" w:cs="仿宋_GB2312"/>
          <w:kern w:val="0"/>
          <w:sz w:val="32"/>
          <w:szCs w:val="32"/>
        </w:rPr>
        <w:t>纳入</w:t>
      </w:r>
      <w:r>
        <w:rPr>
          <w:rFonts w:hint="default" w:ascii="仿宋_GB2312" w:hAnsi="ˎ̥" w:eastAsia="仿宋_GB2312" w:cs="仿宋_GB2312"/>
          <w:kern w:val="0"/>
          <w:sz w:val="32"/>
          <w:szCs w:val="32"/>
          <w:shd w:val="clear" w:fill="FFFFFF"/>
        </w:rPr>
        <w:t>琼台师范学院附属桂林洋幼儿园</w:t>
      </w:r>
      <w:r>
        <w:rPr>
          <w:rFonts w:hint="default" w:ascii="仿宋_GB2312" w:hAnsi="ˎ̥" w:eastAsia="仿宋_GB2312" w:cs="仿宋_GB2312"/>
          <w:kern w:val="0"/>
          <w:sz w:val="32"/>
          <w:szCs w:val="32"/>
        </w:rPr>
        <w:t>2022年度部门决算编制范围的单位共1个，</w:t>
      </w:r>
      <w:r>
        <w:rPr>
          <w:rFonts w:hint="default" w:ascii="仿宋_GB2312" w:hAnsi="ˎ̥" w:eastAsia="仿宋_GB2312" w:cs="仿宋_GB2312"/>
          <w:kern w:val="0"/>
          <w:sz w:val="32"/>
          <w:szCs w:val="32"/>
          <w:shd w:val="clear" w:fill="FFFFFF"/>
        </w:rPr>
        <w:t>为幼儿园本级，我园无下属单位。</w:t>
      </w:r>
      <w:r>
        <w:rPr>
          <w:rFonts w:hint="eastAsia" w:ascii="仿宋_GB2312" w:hAnsi="黑体" w:eastAsia="仿宋_GB2312"/>
          <w:color w:val="auto"/>
          <w:sz w:val="32"/>
          <w:szCs w:val="32"/>
          <w:lang w:val="en-US" w:eastAsia="zh-CN"/>
        </w:rPr>
        <w:t>幼儿园内设机构：保教部、后勤部2个机构。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 xml:space="preserve">保教部：负责保育教育日常管理；负责教师教育培训工作；负责教学科研工作等。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default" w:ascii="仿宋_GB2312" w:hAnsi="ˎ̥" w:eastAsia="仿宋_GB2312" w:cs="仿宋_GB2312"/>
          <w:kern w:val="0"/>
          <w:sz w:val="32"/>
          <w:szCs w:val="32"/>
        </w:rPr>
      </w:pPr>
      <w:r>
        <w:rPr>
          <w:rFonts w:hint="eastAsia" w:ascii="仿宋_GB2312" w:hAnsi="黑体" w:eastAsia="仿宋_GB2312"/>
          <w:color w:val="auto"/>
          <w:sz w:val="32"/>
          <w:szCs w:val="32"/>
          <w:lang w:val="en-US" w:eastAsia="zh-CN"/>
        </w:rPr>
        <w:t>后勤部：负责人事管理、财务管理、资产管理、卫生保健管理、膳食管理工作；负责园务公开、对外联络和协调、招生宣传、党建和工会组织等工作；负责综治安全、平安校园建设、基建与维修工作等</w:t>
      </w:r>
      <w:r>
        <w:rPr>
          <w:rFonts w:hint="default" w:ascii="仿宋_GB2312" w:hAnsi="黑体" w:eastAsia="仿宋_GB2312"/>
          <w:color w:val="auto"/>
          <w:sz w:val="32"/>
          <w:szCs w:val="32"/>
          <w:lang w:val="en-US" w:eastAsia="zh-CN"/>
        </w:rPr>
        <w:t>。</w:t>
      </w:r>
    </w:p>
    <w:p>
      <w:pPr>
        <w:keepNext w:val="0"/>
        <w:keepLines w:val="0"/>
        <w:widowControl/>
        <w:suppressLineNumbers w:val="0"/>
        <w:spacing w:before="0" w:beforeAutospacing="1" w:after="0" w:afterAutospacing="1"/>
        <w:ind w:left="0" w:right="0"/>
        <w:jc w:val="center"/>
        <w:outlineLvl w:val="0"/>
        <w:rPr>
          <w:rFonts w:hint="eastAsia" w:ascii="黑体" w:hAnsi="ˎ̥" w:eastAsia="黑体" w:cs="黑体"/>
          <w:kern w:val="0"/>
          <w:sz w:val="32"/>
          <w:szCs w:val="32"/>
        </w:rPr>
      </w:pPr>
      <w:bookmarkStart w:id="6" w:name="_Toc14983"/>
      <w:bookmarkEnd w:id="6"/>
      <w:bookmarkStart w:id="7" w:name="_Toc30139"/>
      <w:r>
        <w:rPr>
          <w:rFonts w:hint="eastAsia" w:ascii="黑体" w:hAnsi="宋体" w:eastAsia="黑体" w:cs="黑体"/>
          <w:kern w:val="0"/>
          <w:sz w:val="32"/>
          <w:szCs w:val="32"/>
        </w:rPr>
        <w:t>第二部分</w:t>
      </w:r>
      <w:bookmarkEnd w:id="7"/>
      <w:r>
        <w:rPr>
          <w:rFonts w:hint="eastAsia" w:ascii="黑体" w:hAnsi="ˎ̥" w:eastAsia="黑体" w:cs="黑体"/>
          <w:kern w:val="0"/>
          <w:sz w:val="32"/>
          <w:szCs w:val="32"/>
        </w:rPr>
        <w:t xml:space="preserve">  </w:t>
      </w:r>
      <w:r>
        <w:rPr>
          <w:rFonts w:hint="eastAsia" w:ascii="黑体" w:hAnsi="宋体" w:eastAsia="黑体" w:cs="黑体"/>
          <w:kern w:val="0"/>
          <w:sz w:val="32"/>
          <w:szCs w:val="32"/>
        </w:rPr>
        <w:t>2022年度部门决算公开报表</w:t>
      </w:r>
    </w:p>
    <w:p>
      <w:pPr>
        <w:keepNext w:val="0"/>
        <w:keepLines w:val="0"/>
        <w:widowControl/>
        <w:suppressLineNumbers w:val="0"/>
        <w:spacing w:before="0" w:beforeAutospacing="1" w:after="0" w:afterAutospacing="1"/>
        <w:ind w:left="0" w:right="0" w:firstLine="645"/>
        <w:jc w:val="both"/>
        <w:rPr>
          <w:rFonts w:hint="eastAsia" w:ascii="黑体" w:hAnsi="宋体" w:eastAsia="黑体" w:cs="黑体"/>
          <w:kern w:val="0"/>
          <w:sz w:val="32"/>
          <w:szCs w:val="32"/>
        </w:rPr>
      </w:pPr>
      <w:r>
        <w:rPr>
          <w:rFonts w:hint="eastAsia" w:ascii="黑体" w:hAnsi="宋体" w:eastAsia="黑体" w:cs="黑体"/>
          <w:kern w:val="0"/>
          <w:sz w:val="32"/>
          <w:szCs w:val="32"/>
        </w:rPr>
        <w:t>一、收入支出决算公开表</w:t>
      </w:r>
    </w:p>
    <w:p>
      <w:pPr>
        <w:keepNext w:val="0"/>
        <w:keepLines w:val="0"/>
        <w:widowControl/>
        <w:suppressLineNumbers w:val="0"/>
        <w:spacing w:before="0" w:beforeAutospacing="1" w:after="0" w:afterAutospacing="1"/>
        <w:ind w:left="0" w:right="0" w:firstLine="645"/>
        <w:jc w:val="both"/>
        <w:rPr>
          <w:rFonts w:hint="eastAsia" w:ascii="黑体" w:hAnsi="宋体" w:eastAsia="黑体" w:cs="黑体"/>
          <w:kern w:val="0"/>
          <w:sz w:val="32"/>
          <w:szCs w:val="32"/>
        </w:rPr>
      </w:pPr>
      <w:r>
        <w:rPr>
          <w:rFonts w:hint="eastAsia" w:ascii="黑体" w:hAnsi="宋体" w:eastAsia="黑体" w:cs="黑体"/>
          <w:kern w:val="0"/>
          <w:sz w:val="32"/>
          <w:szCs w:val="32"/>
        </w:rPr>
        <w:t>二、收入决算公开表</w:t>
      </w:r>
    </w:p>
    <w:p>
      <w:pPr>
        <w:keepNext w:val="0"/>
        <w:keepLines w:val="0"/>
        <w:widowControl/>
        <w:suppressLineNumbers w:val="0"/>
        <w:spacing w:before="0" w:beforeAutospacing="1" w:after="0" w:afterAutospacing="1"/>
        <w:ind w:left="0" w:right="0" w:firstLine="645"/>
        <w:jc w:val="both"/>
        <w:rPr>
          <w:rFonts w:hint="eastAsia" w:ascii="黑体" w:hAnsi="宋体" w:eastAsia="黑体" w:cs="黑体"/>
          <w:kern w:val="0"/>
          <w:sz w:val="32"/>
          <w:szCs w:val="32"/>
        </w:rPr>
      </w:pPr>
      <w:r>
        <w:rPr>
          <w:rFonts w:hint="eastAsia" w:ascii="黑体" w:hAnsi="宋体" w:eastAsia="黑体" w:cs="黑体"/>
          <w:kern w:val="0"/>
          <w:sz w:val="32"/>
          <w:szCs w:val="32"/>
        </w:rPr>
        <w:t>三、支出决算公开表</w:t>
      </w:r>
    </w:p>
    <w:p>
      <w:pPr>
        <w:keepNext w:val="0"/>
        <w:keepLines w:val="0"/>
        <w:widowControl/>
        <w:suppressLineNumbers w:val="0"/>
        <w:spacing w:before="0" w:beforeAutospacing="1" w:after="0" w:afterAutospacing="1"/>
        <w:ind w:left="0" w:right="0" w:firstLine="645"/>
        <w:jc w:val="both"/>
        <w:rPr>
          <w:rFonts w:hint="eastAsia" w:ascii="黑体" w:hAnsi="宋体" w:eastAsia="黑体" w:cs="黑体"/>
          <w:kern w:val="0"/>
          <w:sz w:val="32"/>
          <w:szCs w:val="32"/>
        </w:rPr>
      </w:pPr>
      <w:r>
        <w:rPr>
          <w:rFonts w:hint="eastAsia" w:ascii="黑体" w:hAnsi="宋体" w:eastAsia="黑体" w:cs="黑体"/>
          <w:kern w:val="0"/>
          <w:sz w:val="32"/>
          <w:szCs w:val="32"/>
        </w:rPr>
        <w:t>四、财政拨款收入支出决算公开表</w:t>
      </w:r>
    </w:p>
    <w:p>
      <w:pPr>
        <w:keepNext w:val="0"/>
        <w:keepLines w:val="0"/>
        <w:widowControl/>
        <w:suppressLineNumbers w:val="0"/>
        <w:spacing w:before="0" w:beforeAutospacing="1" w:after="0" w:afterAutospacing="1"/>
        <w:ind w:left="0" w:right="0" w:firstLine="645"/>
        <w:jc w:val="both"/>
        <w:rPr>
          <w:rFonts w:hint="eastAsia" w:ascii="黑体" w:hAnsi="宋体" w:eastAsia="黑体" w:cs="黑体"/>
          <w:kern w:val="0"/>
          <w:sz w:val="32"/>
          <w:szCs w:val="32"/>
        </w:rPr>
      </w:pPr>
      <w:r>
        <w:rPr>
          <w:rFonts w:hint="eastAsia" w:ascii="黑体" w:hAnsi="宋体" w:eastAsia="黑体" w:cs="黑体"/>
          <w:kern w:val="0"/>
          <w:sz w:val="32"/>
          <w:szCs w:val="32"/>
        </w:rPr>
        <w:t>五、一般公共预算财政拨款收入支出决算公开表</w:t>
      </w:r>
    </w:p>
    <w:p>
      <w:pPr>
        <w:keepNext w:val="0"/>
        <w:keepLines w:val="0"/>
        <w:widowControl/>
        <w:suppressLineNumbers w:val="0"/>
        <w:spacing w:before="0" w:beforeAutospacing="1" w:after="0" w:afterAutospacing="1"/>
        <w:ind w:left="0" w:right="0" w:firstLine="645"/>
        <w:jc w:val="both"/>
        <w:rPr>
          <w:rFonts w:hint="eastAsia" w:ascii="黑体" w:hAnsi="宋体" w:eastAsia="黑体" w:cs="黑体"/>
          <w:kern w:val="0"/>
          <w:sz w:val="32"/>
          <w:szCs w:val="32"/>
        </w:rPr>
      </w:pPr>
      <w:r>
        <w:rPr>
          <w:rFonts w:hint="eastAsia" w:ascii="黑体" w:hAnsi="宋体" w:eastAsia="黑体" w:cs="黑体"/>
          <w:kern w:val="0"/>
          <w:sz w:val="32"/>
          <w:szCs w:val="32"/>
        </w:rPr>
        <w:t>六、一般公共预算财政拨款基本支出决算公开表</w:t>
      </w:r>
    </w:p>
    <w:p>
      <w:pPr>
        <w:keepNext w:val="0"/>
        <w:keepLines w:val="0"/>
        <w:widowControl/>
        <w:suppressLineNumbers w:val="0"/>
        <w:spacing w:before="0" w:beforeAutospacing="1" w:after="0" w:afterAutospacing="1"/>
        <w:ind w:left="1210" w:leftChars="304" w:right="0" w:hanging="480" w:hangingChars="150"/>
        <w:jc w:val="both"/>
        <w:rPr>
          <w:rFonts w:hint="eastAsia" w:ascii="黑体" w:hAnsi="宋体" w:eastAsia="黑体" w:cs="黑体"/>
          <w:kern w:val="0"/>
          <w:sz w:val="32"/>
          <w:szCs w:val="32"/>
        </w:rPr>
      </w:pPr>
      <w:r>
        <w:rPr>
          <w:rFonts w:hint="eastAsia" w:ascii="黑体" w:hAnsi="宋体" w:eastAsia="黑体" w:cs="黑体"/>
          <w:kern w:val="0"/>
          <w:sz w:val="32"/>
          <w:szCs w:val="32"/>
        </w:rPr>
        <w:t>七、政府性基金预算财政拨款收入支出决算公开表</w:t>
      </w:r>
    </w:p>
    <w:p>
      <w:pPr>
        <w:keepNext w:val="0"/>
        <w:keepLines w:val="0"/>
        <w:widowControl/>
        <w:suppressLineNumbers w:val="0"/>
        <w:spacing w:before="0" w:beforeAutospacing="1" w:after="0" w:afterAutospacing="1"/>
        <w:ind w:left="1210" w:leftChars="304" w:right="0" w:hanging="480" w:hangingChars="150"/>
        <w:jc w:val="both"/>
        <w:rPr>
          <w:rFonts w:hint="eastAsia" w:ascii="黑体" w:hAnsi="宋体" w:eastAsia="黑体" w:cs="黑体"/>
          <w:kern w:val="0"/>
          <w:sz w:val="32"/>
          <w:szCs w:val="32"/>
        </w:rPr>
      </w:pPr>
      <w:r>
        <w:rPr>
          <w:rFonts w:hint="eastAsia" w:ascii="黑体" w:hAnsi="宋体" w:eastAsia="黑体" w:cs="黑体"/>
          <w:kern w:val="0"/>
          <w:sz w:val="32"/>
          <w:szCs w:val="32"/>
        </w:rPr>
        <w:t>八、国有资本经营预算财政拨款收入支出决算公开表</w:t>
      </w:r>
    </w:p>
    <w:p>
      <w:pPr>
        <w:keepNext w:val="0"/>
        <w:keepLines w:val="0"/>
        <w:widowControl/>
        <w:suppressLineNumbers w:val="0"/>
        <w:spacing w:before="0" w:beforeAutospacing="1" w:after="0" w:afterAutospacing="1"/>
        <w:ind w:left="0" w:right="0" w:firstLine="640"/>
        <w:jc w:val="both"/>
        <w:rPr>
          <w:rFonts w:hint="eastAsia" w:ascii="黑体" w:hAnsi="宋体" w:eastAsia="黑体" w:cs="黑体"/>
          <w:kern w:val="0"/>
          <w:sz w:val="32"/>
          <w:szCs w:val="32"/>
        </w:rPr>
      </w:pPr>
      <w:r>
        <w:rPr>
          <w:rFonts w:hint="eastAsia" w:ascii="黑体" w:hAnsi="宋体" w:eastAsia="黑体" w:cs="黑体"/>
          <w:kern w:val="0"/>
          <w:sz w:val="32"/>
          <w:szCs w:val="32"/>
        </w:rPr>
        <w:t>九、财政拨款“三公”经费支出决算公开表</w:t>
      </w:r>
    </w:p>
    <w:p>
      <w:pPr>
        <w:keepNext w:val="0"/>
        <w:keepLines w:val="0"/>
        <w:widowControl/>
        <w:suppressLineNumbers w:val="0"/>
        <w:spacing w:before="0" w:beforeAutospacing="1" w:after="0" w:afterAutospacing="1"/>
        <w:ind w:left="0" w:right="0" w:firstLine="640"/>
        <w:jc w:val="both"/>
        <w:rPr>
          <w:rFonts w:hint="eastAsia" w:ascii="黑体" w:hAnsi="宋体" w:eastAsia="黑体" w:cs="黑体"/>
          <w:kern w:val="0"/>
          <w:sz w:val="32"/>
          <w:szCs w:val="32"/>
        </w:rPr>
      </w:pPr>
      <w:r>
        <w:rPr>
          <w:rFonts w:hint="eastAsia" w:ascii="黑体" w:hAnsi="宋体" w:eastAsia="黑体" w:cs="黑体"/>
          <w:kern w:val="0"/>
          <w:sz w:val="32"/>
          <w:szCs w:val="32"/>
        </w:rPr>
        <w:t xml:space="preserve">以上报表见附件1。   </w:t>
      </w:r>
    </w:p>
    <w:p>
      <w:pPr>
        <w:keepNext w:val="0"/>
        <w:keepLines w:val="0"/>
        <w:widowControl/>
        <w:suppressLineNumbers w:val="0"/>
        <w:spacing w:before="0" w:beforeAutospacing="1" w:after="0" w:afterAutospacing="1"/>
        <w:ind w:left="0" w:right="0"/>
        <w:jc w:val="both"/>
        <w:rPr>
          <w:rFonts w:hint="eastAsia" w:ascii="黑体" w:hAnsi="宋体" w:eastAsia="黑体" w:cs="黑体"/>
          <w:kern w:val="0"/>
          <w:sz w:val="32"/>
          <w:szCs w:val="32"/>
        </w:rPr>
      </w:pPr>
      <w:r>
        <w:rPr>
          <w:rFonts w:hint="eastAsia" w:ascii="黑体" w:hAnsi="宋体" w:eastAsia="黑体" w:cs="黑体"/>
          <w:kern w:val="0"/>
          <w:sz w:val="32"/>
          <w:szCs w:val="32"/>
        </w:rPr>
        <w:t xml:space="preserve"> </w:t>
      </w:r>
    </w:p>
    <w:p>
      <w:pPr>
        <w:keepNext w:val="0"/>
        <w:keepLines w:val="0"/>
        <w:widowControl/>
        <w:suppressLineNumbers w:val="0"/>
        <w:spacing w:before="0" w:beforeAutospacing="1" w:after="0" w:afterAutospacing="1"/>
        <w:ind w:left="0" w:right="0"/>
        <w:jc w:val="center"/>
        <w:outlineLvl w:val="0"/>
        <w:rPr>
          <w:rFonts w:hint="eastAsia" w:ascii="黑体" w:hAnsi="ˎ̥" w:eastAsia="黑体" w:cs="黑体"/>
          <w:kern w:val="0"/>
          <w:sz w:val="32"/>
          <w:szCs w:val="32"/>
        </w:rPr>
      </w:pPr>
      <w:bookmarkStart w:id="8" w:name="_Toc8637"/>
      <w:bookmarkEnd w:id="8"/>
      <w:bookmarkStart w:id="9" w:name="_Toc26403"/>
      <w:r>
        <w:rPr>
          <w:rFonts w:hint="eastAsia" w:ascii="黑体" w:hAnsi="宋体" w:eastAsia="黑体" w:cs="黑体"/>
          <w:kern w:val="0"/>
          <w:sz w:val="32"/>
          <w:szCs w:val="32"/>
        </w:rPr>
        <w:t>第三部分</w:t>
      </w:r>
      <w:bookmarkEnd w:id="9"/>
      <w:r>
        <w:rPr>
          <w:rFonts w:hint="eastAsia" w:ascii="黑体" w:hAnsi="ˎ̥" w:eastAsia="黑体" w:cs="黑体"/>
          <w:kern w:val="0"/>
          <w:sz w:val="32"/>
          <w:szCs w:val="32"/>
        </w:rPr>
        <w:t xml:space="preserve">  </w:t>
      </w:r>
      <w:r>
        <w:rPr>
          <w:rFonts w:hint="eastAsia" w:ascii="黑体" w:hAnsi="宋体" w:eastAsia="黑体" w:cs="黑体"/>
          <w:kern w:val="0"/>
          <w:sz w:val="32"/>
          <w:szCs w:val="32"/>
        </w:rPr>
        <w:t>2022年度部门决算情况说明</w:t>
      </w:r>
    </w:p>
    <w:p>
      <w:pPr>
        <w:keepNext w:val="0"/>
        <w:keepLines w:val="0"/>
        <w:widowControl/>
        <w:suppressLineNumbers w:val="0"/>
        <w:spacing w:before="0" w:beforeAutospacing="1" w:after="0" w:afterAutospacing="1"/>
        <w:ind w:left="0" w:right="0"/>
        <w:jc w:val="both"/>
        <w:rPr>
          <w:rFonts w:hint="eastAsia" w:ascii="黑体" w:hAnsi="ˎ̥" w:eastAsia="黑体" w:cs="黑体"/>
          <w:kern w:val="0"/>
          <w:sz w:val="32"/>
          <w:szCs w:val="32"/>
        </w:rPr>
      </w:pPr>
      <w:r>
        <w:rPr>
          <w:rFonts w:hint="eastAsia" w:ascii="黑体" w:hAnsi="ˎ̥" w:eastAsia="黑体" w:cs="黑体"/>
          <w:kern w:val="0"/>
          <w:sz w:val="32"/>
          <w:szCs w:val="32"/>
        </w:rPr>
        <w:t xml:space="preserve"> </w:t>
      </w:r>
    </w:p>
    <w:p>
      <w:pPr>
        <w:keepNext w:val="0"/>
        <w:keepLines w:val="0"/>
        <w:widowControl/>
        <w:suppressLineNumbers w:val="0"/>
        <w:autoSpaceDE w:val="0"/>
        <w:autoSpaceDN/>
        <w:spacing w:before="0" w:beforeAutospacing="1" w:after="0" w:afterAutospacing="1"/>
        <w:ind w:left="0" w:leftChars="0" w:right="0" w:rightChars="0" w:firstLine="640" w:firstLineChars="200"/>
        <w:jc w:val="both"/>
        <w:outlineLvl w:val="1"/>
        <w:rPr>
          <w:rFonts w:hint="eastAsia" w:ascii="黑体" w:hAnsi="宋体" w:eastAsia="黑体" w:cs="黑体"/>
          <w:bCs/>
          <w:kern w:val="0"/>
          <w:sz w:val="32"/>
          <w:szCs w:val="32"/>
        </w:rPr>
      </w:pPr>
      <w:bookmarkStart w:id="10" w:name="_Toc1208"/>
      <w:bookmarkEnd w:id="10"/>
      <w:r>
        <w:rPr>
          <w:rFonts w:hint="eastAsia" w:ascii="黑体" w:hAnsi="宋体" w:eastAsia="黑体" w:cs="黑体"/>
          <w:bCs/>
          <w:kern w:val="0"/>
          <w:sz w:val="32"/>
          <w:szCs w:val="32"/>
        </w:rPr>
        <w:t>一、收入支出总体情况说明</w:t>
      </w:r>
    </w:p>
    <w:p>
      <w:pPr>
        <w:keepNext w:val="0"/>
        <w:keepLines w:val="0"/>
        <w:widowControl/>
        <w:suppressLineNumbers w:val="0"/>
        <w:autoSpaceDE w:val="0"/>
        <w:autoSpaceDN/>
        <w:spacing w:before="0" w:beforeAutospacing="1" w:after="0" w:afterAutospacing="1"/>
        <w:ind w:left="0" w:leftChars="0" w:right="0" w:rightChars="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2022年度收入总计</w:t>
      </w:r>
      <w:r>
        <w:rPr>
          <w:rFonts w:hint="default" w:ascii="仿宋_GB2312" w:hAnsi="宋体" w:eastAsia="仿宋_GB2312" w:cs="仿宋_GB2312"/>
          <w:kern w:val="0"/>
          <w:sz w:val="32"/>
          <w:szCs w:val="32"/>
        </w:rPr>
        <w:t>684.72</w:t>
      </w:r>
      <w:r>
        <w:rPr>
          <w:rFonts w:hint="default" w:ascii="仿宋_GB2312" w:hAnsi="ˎ̥" w:eastAsia="仿宋_GB2312" w:cs="仿宋_GB2312"/>
          <w:kern w:val="0"/>
          <w:sz w:val="32"/>
          <w:szCs w:val="32"/>
        </w:rPr>
        <w:t>万元，支出总计</w:t>
      </w:r>
      <w:r>
        <w:rPr>
          <w:rFonts w:hint="default" w:ascii="仿宋_GB2312" w:hAnsi="宋体" w:eastAsia="仿宋_GB2312" w:cs="仿宋_GB2312"/>
          <w:kern w:val="0"/>
          <w:sz w:val="32"/>
          <w:szCs w:val="32"/>
        </w:rPr>
        <w:t>684.72</w:t>
      </w:r>
      <w:r>
        <w:rPr>
          <w:rFonts w:hint="default" w:ascii="仿宋_GB2312" w:hAnsi="ˎ̥" w:eastAsia="仿宋_GB2312" w:cs="仿宋_GB2312"/>
          <w:kern w:val="0"/>
          <w:sz w:val="32"/>
          <w:szCs w:val="32"/>
        </w:rPr>
        <w:t>万元，与2021年度相比，收入、支出总计各减少268.38万元，下降28</w:t>
      </w:r>
      <w:r>
        <w:rPr>
          <w:rFonts w:hint="eastAsia" w:ascii="仿宋_GB2312" w:hAnsi="ˎ̥" w:eastAsia="仿宋_GB2312" w:cs="仿宋_GB2312"/>
          <w:kern w:val="0"/>
          <w:sz w:val="32"/>
          <w:szCs w:val="32"/>
          <w:lang w:val="en-US" w:eastAsia="zh-CN"/>
        </w:rPr>
        <w:t>.2</w:t>
      </w:r>
      <w:r>
        <w:rPr>
          <w:rFonts w:hint="default" w:ascii="仿宋_GB2312" w:hAnsi="ˎ̥" w:eastAsia="仿宋_GB2312" w:cs="仿宋_GB2312"/>
          <w:kern w:val="0"/>
          <w:sz w:val="32"/>
          <w:szCs w:val="32"/>
        </w:rPr>
        <w:t>%。主要原因：一是</w:t>
      </w:r>
      <w:r>
        <w:rPr>
          <w:rFonts w:hint="default" w:ascii="仿宋_GB2312" w:hAnsi="仿宋" w:eastAsia="仿宋_GB2312" w:cs="仿宋_GB2312"/>
          <w:kern w:val="0"/>
          <w:sz w:val="32"/>
          <w:szCs w:val="32"/>
        </w:rPr>
        <w:t>安排用于幼儿园场所改造及教学办公设备购置项目的中央级支持学前教育发展专项资金减少</w:t>
      </w:r>
      <w:r>
        <w:rPr>
          <w:rFonts w:hint="default" w:ascii="仿宋_GB2312" w:hAnsi="ˎ̥" w:eastAsia="仿宋_GB2312" w:cs="仿宋_GB2312"/>
          <w:kern w:val="0"/>
          <w:sz w:val="32"/>
          <w:szCs w:val="32"/>
        </w:rPr>
        <w:t>；二是</w:t>
      </w:r>
      <w:r>
        <w:rPr>
          <w:rFonts w:hint="default" w:ascii="仿宋_GB2312" w:hAnsi="仿宋" w:eastAsia="仿宋_GB2312" w:cs="仿宋_GB2312"/>
          <w:kern w:val="0"/>
          <w:sz w:val="32"/>
          <w:szCs w:val="32"/>
        </w:rPr>
        <w:t>2021年我园经费紧缺，为保障我园正常运转，向美兰区教育局申请部分经费以弥补我园资金缺口，2022年不再拨入经费，</w:t>
      </w:r>
      <w:r>
        <w:rPr>
          <w:rFonts w:hint="default" w:ascii="仿宋_GB2312" w:hAnsi="ˎ̥" w:eastAsia="仿宋_GB2312" w:cs="仿宋_GB2312"/>
          <w:kern w:val="0"/>
          <w:sz w:val="32"/>
          <w:szCs w:val="32"/>
        </w:rPr>
        <w:t>非同级财政拨款收入支出减少。使用非财政拨款结余</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万元，与2021年度决算数持平。年初结转结余</w:t>
      </w:r>
      <w:r>
        <w:rPr>
          <w:rFonts w:hint="default" w:ascii="仿宋_GB2312" w:hAnsi="宋体" w:eastAsia="仿宋_GB2312" w:cs="仿宋_GB2312"/>
          <w:kern w:val="0"/>
          <w:sz w:val="32"/>
          <w:szCs w:val="32"/>
        </w:rPr>
        <w:t>90.92</w:t>
      </w:r>
      <w:r>
        <w:rPr>
          <w:rFonts w:hint="default" w:ascii="仿宋_GB2312" w:hAnsi="ˎ̥" w:eastAsia="仿宋_GB2312" w:cs="仿宋_GB2312"/>
          <w:kern w:val="0"/>
          <w:sz w:val="32"/>
          <w:szCs w:val="32"/>
        </w:rPr>
        <w:t>万元，较2021年度决算数增加</w:t>
      </w:r>
      <w:r>
        <w:rPr>
          <w:rFonts w:hint="default" w:ascii="仿宋_GB2312" w:hAnsi="宋体" w:eastAsia="仿宋_GB2312" w:cs="仿宋_GB2312"/>
          <w:kern w:val="0"/>
          <w:sz w:val="32"/>
          <w:szCs w:val="32"/>
        </w:rPr>
        <w:t>90.92</w:t>
      </w:r>
      <w:r>
        <w:rPr>
          <w:rFonts w:hint="default" w:ascii="仿宋_GB2312" w:hAnsi="ˎ̥" w:eastAsia="仿宋_GB2312" w:cs="仿宋_GB2312"/>
          <w:kern w:val="0"/>
          <w:sz w:val="32"/>
          <w:szCs w:val="32"/>
        </w:rPr>
        <w:t>万元，一是</w:t>
      </w:r>
      <w:r>
        <w:rPr>
          <w:rFonts w:hint="eastAsia" w:ascii="仿宋_GB2312" w:hAnsi="仿宋_GB2312" w:eastAsia="仿宋_GB2312" w:cs="仿宋_GB2312"/>
          <w:kern w:val="0"/>
          <w:sz w:val="32"/>
          <w:szCs w:val="32"/>
          <w:shd w:val="clear" w:fill="FFFFFF"/>
        </w:rPr>
        <w:t>“</w:t>
      </w:r>
      <w:r>
        <w:rPr>
          <w:rFonts w:hint="default" w:ascii="仿宋_GB2312" w:hAnsi="ˎ̥" w:eastAsia="仿宋_GB2312" w:cs="仿宋_GB2312"/>
          <w:kern w:val="0"/>
          <w:sz w:val="32"/>
          <w:szCs w:val="32"/>
          <w:shd w:val="clear" w:fill="FFFFFF"/>
        </w:rPr>
        <w:t>教育发展专项资金</w:t>
      </w:r>
      <w:r>
        <w:rPr>
          <w:rFonts w:hint="eastAsia" w:ascii="仿宋_GB2312" w:hAnsi="仿宋_GB2312" w:eastAsia="仿宋_GB2312" w:cs="仿宋_GB2312"/>
          <w:kern w:val="0"/>
          <w:sz w:val="32"/>
          <w:szCs w:val="32"/>
          <w:shd w:val="clear" w:fill="FFFFFF"/>
        </w:rPr>
        <w:t>”</w:t>
      </w:r>
      <w:r>
        <w:rPr>
          <w:rFonts w:hint="default" w:ascii="仿宋_GB2312" w:hAnsi="ˎ̥" w:eastAsia="仿宋_GB2312" w:cs="仿宋_GB2312"/>
          <w:kern w:val="0"/>
          <w:sz w:val="32"/>
          <w:szCs w:val="32"/>
          <w:shd w:val="clear" w:fill="FFFFFF"/>
        </w:rPr>
        <w:t>项目结转经费，该资金为</w:t>
      </w:r>
      <w:r>
        <w:rPr>
          <w:rFonts w:hint="default" w:ascii="仿宋_GB2312" w:hAnsi="ˎ̥" w:eastAsia="仿宋_GB2312" w:cs="仿宋_GB2312"/>
          <w:kern w:val="0"/>
          <w:sz w:val="32"/>
          <w:szCs w:val="32"/>
        </w:rPr>
        <w:t>上级</w:t>
      </w:r>
      <w:r>
        <w:rPr>
          <w:rFonts w:hint="default" w:ascii="仿宋_GB2312" w:hAnsi="ˎ̥" w:eastAsia="仿宋_GB2312" w:cs="仿宋_GB2312"/>
          <w:kern w:val="0"/>
          <w:sz w:val="32"/>
          <w:szCs w:val="32"/>
          <w:shd w:val="clear" w:fill="FFFFFF"/>
        </w:rPr>
        <w:t>2021年</w:t>
      </w:r>
      <w:r>
        <w:rPr>
          <w:rFonts w:hint="default" w:ascii="仿宋_GB2312" w:hAnsi="ˎ̥" w:eastAsia="仿宋_GB2312" w:cs="仿宋_GB2312"/>
          <w:kern w:val="0"/>
          <w:sz w:val="32"/>
          <w:szCs w:val="32"/>
        </w:rPr>
        <w:t>拨付我园用于</w:t>
      </w:r>
      <w:r>
        <w:rPr>
          <w:rFonts w:hint="default" w:ascii="仿宋_GB2312" w:hAnsi="仿宋" w:eastAsia="仿宋_GB2312" w:cs="仿宋_GB2312"/>
          <w:kern w:val="0"/>
          <w:sz w:val="32"/>
          <w:szCs w:val="32"/>
        </w:rPr>
        <w:t>幼儿园户外场所改造经费，属于一般公共预算财政拨款</w:t>
      </w:r>
      <w:r>
        <w:rPr>
          <w:rFonts w:hint="default" w:ascii="仿宋_GB2312" w:hAnsi="ˎ̥" w:eastAsia="仿宋_GB2312" w:cs="仿宋_GB2312"/>
          <w:kern w:val="0"/>
          <w:sz w:val="32"/>
          <w:szCs w:val="32"/>
        </w:rPr>
        <w:t>；二是</w:t>
      </w:r>
      <w:r>
        <w:rPr>
          <w:rFonts w:hint="eastAsia" w:ascii="仿宋_GB2312" w:hAnsi="仿宋_GB2312" w:eastAsia="仿宋_GB2312" w:cs="仿宋_GB2312"/>
          <w:kern w:val="0"/>
          <w:sz w:val="32"/>
          <w:szCs w:val="32"/>
          <w:shd w:val="clear" w:fill="FFFFFF"/>
        </w:rPr>
        <w:t>“</w:t>
      </w:r>
      <w:r>
        <w:rPr>
          <w:rFonts w:hint="default" w:ascii="仿宋_GB2312" w:hAnsi="ˎ̥" w:eastAsia="仿宋_GB2312" w:cs="仿宋_GB2312"/>
          <w:kern w:val="0"/>
          <w:sz w:val="32"/>
          <w:szCs w:val="32"/>
          <w:shd w:val="clear" w:fill="FFFFFF"/>
        </w:rPr>
        <w:t>公办幼儿园运行补助项目</w:t>
      </w:r>
      <w:r>
        <w:rPr>
          <w:rFonts w:hint="eastAsia" w:ascii="仿宋_GB2312" w:hAnsi="仿宋_GB2312" w:eastAsia="仿宋_GB2312" w:cs="仿宋_GB2312"/>
          <w:kern w:val="0"/>
          <w:sz w:val="32"/>
          <w:szCs w:val="32"/>
          <w:shd w:val="clear" w:fill="FFFFFF"/>
        </w:rPr>
        <w:t>”</w:t>
      </w:r>
      <w:r>
        <w:rPr>
          <w:rFonts w:hint="default" w:ascii="仿宋_GB2312" w:hAnsi="ˎ̥" w:eastAsia="仿宋_GB2312" w:cs="仿宋_GB2312"/>
          <w:kern w:val="0"/>
          <w:sz w:val="32"/>
          <w:szCs w:val="32"/>
          <w:shd w:val="clear" w:fill="FFFFFF"/>
        </w:rPr>
        <w:t>结转经费，该资金为美兰区教育局2021年拨付我园用于保障公办幼儿园日常运转经费，属于非同级财政拨款经费</w:t>
      </w:r>
      <w:r>
        <w:rPr>
          <w:rFonts w:hint="default" w:ascii="仿宋_GB2312" w:hAnsi="ˎ̥" w:eastAsia="仿宋_GB2312" w:cs="仿宋_GB2312"/>
          <w:kern w:val="0"/>
          <w:sz w:val="32"/>
          <w:szCs w:val="32"/>
        </w:rPr>
        <w:t>。结余分配</w:t>
      </w:r>
      <w:r>
        <w:rPr>
          <w:rFonts w:hint="default" w:ascii="仿宋_GB2312" w:hAnsi="宋体" w:eastAsia="仿宋_GB2312" w:cs="仿宋_GB2312"/>
          <w:kern w:val="0"/>
          <w:sz w:val="32"/>
          <w:szCs w:val="32"/>
        </w:rPr>
        <w:t>0.15</w:t>
      </w:r>
      <w:r>
        <w:rPr>
          <w:rFonts w:hint="default" w:ascii="仿宋_GB2312" w:hAnsi="ˎ̥" w:eastAsia="仿宋_GB2312" w:cs="仿宋_GB2312"/>
          <w:kern w:val="0"/>
          <w:sz w:val="32"/>
          <w:szCs w:val="32"/>
        </w:rPr>
        <w:t>万元，主要是</w:t>
      </w:r>
      <w:r>
        <w:rPr>
          <w:rFonts w:hint="default" w:ascii="仿宋_GB2312" w:hAnsi="ˎ̥" w:eastAsia="仿宋_GB2312" w:cs="仿宋_GB2312"/>
          <w:kern w:val="0"/>
          <w:sz w:val="32"/>
          <w:szCs w:val="32"/>
          <w:shd w:val="clear" w:fill="FFFFFF"/>
        </w:rPr>
        <w:t>当年单位自有资金收大于支，最终结转至</w:t>
      </w:r>
      <w:r>
        <w:rPr>
          <w:rFonts w:hint="eastAsia" w:ascii="仿宋_GB2312" w:hAnsi="仿宋_GB2312" w:eastAsia="仿宋_GB2312" w:cs="仿宋_GB2312"/>
          <w:kern w:val="0"/>
          <w:sz w:val="32"/>
          <w:szCs w:val="32"/>
          <w:shd w:val="clear" w:fill="FFFFFF"/>
        </w:rPr>
        <w:t>“</w:t>
      </w:r>
      <w:r>
        <w:rPr>
          <w:rFonts w:hint="default" w:ascii="仿宋_GB2312" w:hAnsi="ˎ̥" w:eastAsia="仿宋_GB2312" w:cs="仿宋_GB2312"/>
          <w:kern w:val="0"/>
          <w:sz w:val="32"/>
          <w:szCs w:val="32"/>
          <w:shd w:val="clear" w:fill="FFFFFF"/>
        </w:rPr>
        <w:t>非财政拨款结余</w:t>
      </w:r>
      <w:r>
        <w:rPr>
          <w:rFonts w:hint="eastAsia" w:ascii="仿宋_GB2312" w:hAnsi="仿宋_GB2312" w:eastAsia="仿宋_GB2312" w:cs="仿宋_GB2312"/>
          <w:kern w:val="0"/>
          <w:sz w:val="32"/>
          <w:szCs w:val="32"/>
          <w:shd w:val="clear" w:fill="FFFFFF"/>
        </w:rPr>
        <w:t>”</w:t>
      </w:r>
      <w:r>
        <w:rPr>
          <w:rFonts w:hint="default" w:ascii="仿宋_GB2312" w:hAnsi="ˎ̥" w:eastAsia="仿宋_GB2312" w:cs="仿宋_GB2312"/>
          <w:kern w:val="0"/>
          <w:sz w:val="32"/>
          <w:szCs w:val="32"/>
          <w:shd w:val="clear" w:fill="FFFFFF"/>
        </w:rPr>
        <w:t>中</w:t>
      </w:r>
      <w:r>
        <w:rPr>
          <w:rFonts w:hint="default" w:ascii="仿宋_GB2312" w:hAnsi="ˎ̥" w:eastAsia="仿宋_GB2312" w:cs="仿宋_GB2312"/>
          <w:kern w:val="0"/>
          <w:sz w:val="32"/>
          <w:szCs w:val="32"/>
        </w:rPr>
        <w:t>，较2021年度决算数增加0.02万元，增长15</w:t>
      </w:r>
      <w:r>
        <w:rPr>
          <w:rFonts w:hint="eastAsia" w:ascii="仿宋_GB2312" w:hAnsi="ˎ̥" w:eastAsia="仿宋_GB2312" w:cs="仿宋_GB2312"/>
          <w:kern w:val="0"/>
          <w:sz w:val="32"/>
          <w:szCs w:val="32"/>
          <w:lang w:val="en-US" w:eastAsia="zh-CN"/>
        </w:rPr>
        <w:t>.4</w:t>
      </w:r>
      <w:r>
        <w:rPr>
          <w:rFonts w:hint="default" w:ascii="仿宋_GB2312" w:hAnsi="ˎ̥" w:eastAsia="仿宋_GB2312" w:cs="仿宋_GB2312"/>
          <w:kern w:val="0"/>
          <w:sz w:val="32"/>
          <w:szCs w:val="32"/>
        </w:rPr>
        <w:t>%。年末结转结余</w:t>
      </w:r>
      <w:r>
        <w:rPr>
          <w:rFonts w:hint="default" w:ascii="仿宋_GB2312" w:hAnsi="宋体" w:eastAsia="仿宋_GB2312" w:cs="仿宋_GB2312"/>
          <w:kern w:val="0"/>
          <w:sz w:val="32"/>
          <w:szCs w:val="32"/>
        </w:rPr>
        <w:t>1.82</w:t>
      </w:r>
      <w:r>
        <w:rPr>
          <w:rFonts w:hint="default" w:ascii="仿宋_GB2312" w:hAnsi="ˎ̥" w:eastAsia="仿宋_GB2312" w:cs="仿宋_GB2312"/>
          <w:kern w:val="0"/>
          <w:sz w:val="32"/>
          <w:szCs w:val="32"/>
        </w:rPr>
        <w:t>万元，主要是</w:t>
      </w:r>
      <w:r>
        <w:rPr>
          <w:rFonts w:hint="eastAsia" w:ascii="仿宋_GB2312" w:hAnsi="仿宋_GB2312" w:eastAsia="仿宋_GB2312" w:cs="仿宋_GB2312"/>
          <w:kern w:val="0"/>
          <w:sz w:val="32"/>
          <w:szCs w:val="32"/>
          <w:shd w:val="clear" w:fill="FFFFFF"/>
        </w:rPr>
        <w:t>“</w:t>
      </w:r>
      <w:r>
        <w:rPr>
          <w:rFonts w:hint="default" w:ascii="仿宋_GB2312" w:hAnsi="ˎ̥" w:eastAsia="仿宋_GB2312" w:cs="仿宋_GB2312"/>
          <w:kern w:val="0"/>
          <w:sz w:val="32"/>
          <w:szCs w:val="32"/>
          <w:shd w:val="clear" w:fill="FFFFFF"/>
        </w:rPr>
        <w:t>公办幼儿园运行补助项目</w:t>
      </w:r>
      <w:r>
        <w:rPr>
          <w:rFonts w:hint="eastAsia" w:ascii="仿宋_GB2312" w:hAnsi="仿宋_GB2312" w:eastAsia="仿宋_GB2312" w:cs="仿宋_GB2312"/>
          <w:kern w:val="0"/>
          <w:sz w:val="32"/>
          <w:szCs w:val="32"/>
          <w:shd w:val="clear" w:fill="FFFFFF"/>
        </w:rPr>
        <w:t>”</w:t>
      </w:r>
      <w:r>
        <w:rPr>
          <w:rFonts w:hint="default" w:ascii="仿宋_GB2312" w:hAnsi="ˎ̥" w:eastAsia="仿宋_GB2312" w:cs="仿宋_GB2312"/>
          <w:kern w:val="0"/>
          <w:sz w:val="32"/>
          <w:szCs w:val="32"/>
          <w:shd w:val="clear" w:fill="FFFFFF"/>
        </w:rPr>
        <w:t>结转经费，该资金为美兰区教育局2021年拨付我园用于保障公办幼儿园日常运转经费</w:t>
      </w:r>
      <w:r>
        <w:rPr>
          <w:rFonts w:hint="default" w:ascii="仿宋_GB2312" w:hAnsi="ˎ̥" w:eastAsia="仿宋_GB2312" w:cs="仿宋_GB2312"/>
          <w:kern w:val="0"/>
          <w:sz w:val="32"/>
          <w:szCs w:val="32"/>
        </w:rPr>
        <w:t>，较2021年度决算数减少246.18万元，下降99</w:t>
      </w:r>
      <w:r>
        <w:rPr>
          <w:rFonts w:hint="eastAsia" w:ascii="仿宋_GB2312" w:hAnsi="ˎ̥" w:eastAsia="仿宋_GB2312" w:cs="仿宋_GB2312"/>
          <w:kern w:val="0"/>
          <w:sz w:val="32"/>
          <w:szCs w:val="32"/>
          <w:lang w:val="en-US" w:eastAsia="zh-CN"/>
        </w:rPr>
        <w:t>.3</w:t>
      </w:r>
      <w:r>
        <w:rPr>
          <w:rFonts w:hint="default" w:ascii="仿宋_GB2312" w:hAnsi="ˎ̥" w:eastAsia="仿宋_GB2312" w:cs="仿宋_GB2312"/>
          <w:kern w:val="0"/>
          <w:sz w:val="32"/>
          <w:szCs w:val="32"/>
        </w:rPr>
        <w:t>%，主要原因一是2021年度户外改造项目</w:t>
      </w:r>
      <w:r>
        <w:rPr>
          <w:rFonts w:hint="eastAsia" w:ascii="仿宋" w:hAnsi="仿宋" w:eastAsia="仿宋" w:cs="仿宋"/>
          <w:kern w:val="0"/>
          <w:sz w:val="32"/>
          <w:szCs w:val="32"/>
        </w:rPr>
        <w:t>执行进度缓慢，形成财政结转资金；二是</w:t>
      </w:r>
      <w:r>
        <w:rPr>
          <w:rFonts w:hint="default" w:ascii="仿宋_GB2312" w:hAnsi="ˎ̥" w:eastAsia="仿宋_GB2312" w:cs="仿宋_GB2312"/>
          <w:kern w:val="0"/>
          <w:sz w:val="32"/>
          <w:szCs w:val="32"/>
        </w:rPr>
        <w:t>美兰区教育局于2021年12月23日拨付我园实体账户公办幼儿园运行补助项目经费，下达时间较晚，导致我园当年度无法支出，形成非财政拨款结转资金</w:t>
      </w:r>
      <w:r>
        <w:rPr>
          <w:rFonts w:hint="default" w:ascii="仿宋_GB2312" w:hAnsi="ˎ̥" w:eastAsia="仿宋_GB2312" w:cs="仿宋_GB2312"/>
          <w:color w:val="0000FF"/>
          <w:kern w:val="0"/>
          <w:sz w:val="32"/>
          <w:szCs w:val="32"/>
        </w:rPr>
        <w:t>。</w:t>
      </w:r>
    </w:p>
    <w:p>
      <w:pPr>
        <w:keepNext w:val="0"/>
        <w:keepLines w:val="0"/>
        <w:widowControl/>
        <w:suppressLineNumbers w:val="0"/>
        <w:autoSpaceDE w:val="0"/>
        <w:autoSpaceDN/>
        <w:spacing w:before="0" w:beforeAutospacing="1" w:after="0" w:afterAutospacing="1"/>
        <w:ind w:left="0" w:right="0" w:rightChars="0" w:firstLine="640" w:firstLineChars="200"/>
        <w:jc w:val="both"/>
        <w:outlineLvl w:val="1"/>
        <w:rPr>
          <w:rFonts w:hint="eastAsia" w:ascii="黑体" w:hAnsi="宋体" w:eastAsia="黑体" w:cs="黑体"/>
          <w:bCs/>
          <w:kern w:val="0"/>
          <w:sz w:val="32"/>
          <w:szCs w:val="32"/>
        </w:rPr>
      </w:pPr>
      <w:bookmarkStart w:id="11" w:name="_Toc12416"/>
      <w:bookmarkEnd w:id="11"/>
      <w:r>
        <w:rPr>
          <w:rFonts w:hint="eastAsia" w:ascii="黑体" w:hAnsi="宋体" w:eastAsia="黑体" w:cs="黑体"/>
          <w:bCs/>
          <w:kern w:val="0"/>
          <w:sz w:val="32"/>
          <w:szCs w:val="32"/>
        </w:rPr>
        <w:t>二、收入决算情况说明</w:t>
      </w:r>
    </w:p>
    <w:p>
      <w:pPr>
        <w:keepNext w:val="0"/>
        <w:keepLines w:val="0"/>
        <w:widowControl/>
        <w:suppressLineNumbers w:val="0"/>
        <w:autoSpaceDE w:val="0"/>
        <w:autoSpaceDN/>
        <w:spacing w:before="0" w:beforeAutospacing="1" w:after="0" w:afterAutospacing="1"/>
        <w:ind w:left="0" w:right="0" w:rightChars="0" w:firstLine="640" w:firstLineChars="200"/>
        <w:jc w:val="both"/>
        <w:outlineLvl w:val="1"/>
        <w:rPr>
          <w:rFonts w:hint="default" w:ascii="仿宋_GB2312" w:hAnsi="ˎ̥" w:eastAsia="仿宋_GB2312" w:cs="仿宋_GB2312"/>
          <w:kern w:val="0"/>
          <w:sz w:val="32"/>
          <w:szCs w:val="32"/>
        </w:rPr>
      </w:pPr>
      <w:bookmarkStart w:id="12" w:name="_Toc20932"/>
      <w:bookmarkEnd w:id="12"/>
      <w:r>
        <w:rPr>
          <w:rFonts w:hint="default" w:ascii="仿宋_GB2312" w:hAnsi="ˎ̥" w:eastAsia="仿宋_GB2312" w:cs="仿宋_GB2312"/>
          <w:kern w:val="0"/>
          <w:sz w:val="32"/>
          <w:szCs w:val="32"/>
        </w:rPr>
        <w:t>本年收</w:t>
      </w:r>
      <w:r>
        <w:rPr>
          <w:rFonts w:hint="default" w:ascii="仿宋_GB2312" w:hAnsi="ˎ̥" w:eastAsia="仿宋_GB2312" w:cs="仿宋_GB2312"/>
          <w:kern w:val="0"/>
          <w:sz w:val="32"/>
          <w:szCs w:val="32"/>
          <w:highlight w:val="none"/>
        </w:rPr>
        <w:t>入合计</w:t>
      </w:r>
      <w:r>
        <w:rPr>
          <w:rFonts w:hint="default" w:ascii="仿宋_GB2312" w:hAnsi="宋体" w:eastAsia="仿宋_GB2312" w:cs="仿宋_GB2312"/>
          <w:kern w:val="0"/>
          <w:sz w:val="32"/>
          <w:szCs w:val="32"/>
          <w:highlight w:val="none"/>
        </w:rPr>
        <w:t>593.8</w:t>
      </w:r>
      <w:r>
        <w:rPr>
          <w:rFonts w:hint="default" w:ascii="仿宋_GB2312" w:hAnsi="ˎ̥" w:eastAsia="仿宋_GB2312" w:cs="仿宋_GB2312"/>
          <w:kern w:val="0"/>
          <w:sz w:val="32"/>
          <w:szCs w:val="32"/>
          <w:highlight w:val="none"/>
        </w:rPr>
        <w:t>万元，其中：财政拨款收入</w:t>
      </w:r>
      <w:r>
        <w:rPr>
          <w:rFonts w:hint="default" w:ascii="仿宋_GB2312" w:hAnsi="宋体" w:eastAsia="仿宋_GB2312" w:cs="仿宋_GB2312"/>
          <w:kern w:val="0"/>
          <w:sz w:val="32"/>
          <w:szCs w:val="32"/>
          <w:highlight w:val="none"/>
        </w:rPr>
        <w:t>593.64</w:t>
      </w:r>
      <w:r>
        <w:rPr>
          <w:rFonts w:hint="default" w:ascii="仿宋_GB2312" w:hAnsi="ˎ̥" w:eastAsia="仿宋_GB2312" w:cs="仿宋_GB2312"/>
          <w:kern w:val="0"/>
          <w:sz w:val="32"/>
          <w:szCs w:val="32"/>
          <w:highlight w:val="none"/>
        </w:rPr>
        <w:t>万元，占99.97%；上级补助收入</w:t>
      </w:r>
      <w:r>
        <w:rPr>
          <w:rFonts w:hint="default" w:ascii="仿宋_GB2312" w:hAnsi="宋体" w:eastAsia="仿宋_GB2312" w:cs="仿宋_GB2312"/>
          <w:kern w:val="0"/>
          <w:sz w:val="32"/>
          <w:szCs w:val="32"/>
          <w:highlight w:val="none"/>
        </w:rPr>
        <w:t>0</w:t>
      </w:r>
      <w:r>
        <w:rPr>
          <w:rFonts w:hint="default" w:ascii="仿宋_GB2312" w:hAnsi="ˎ̥" w:eastAsia="仿宋_GB2312" w:cs="仿宋_GB2312"/>
          <w:kern w:val="0"/>
          <w:sz w:val="32"/>
          <w:szCs w:val="32"/>
          <w:highlight w:val="none"/>
        </w:rPr>
        <w:t>万元，占0%；事业收入</w:t>
      </w:r>
      <w:r>
        <w:rPr>
          <w:rFonts w:hint="default" w:ascii="仿宋_GB2312" w:hAnsi="宋体" w:eastAsia="仿宋_GB2312" w:cs="仿宋_GB2312"/>
          <w:kern w:val="0"/>
          <w:sz w:val="32"/>
          <w:szCs w:val="32"/>
          <w:highlight w:val="none"/>
        </w:rPr>
        <w:t>0</w:t>
      </w:r>
      <w:r>
        <w:rPr>
          <w:rFonts w:hint="default" w:ascii="仿宋_GB2312" w:hAnsi="ˎ̥" w:eastAsia="仿宋_GB2312" w:cs="仿宋_GB2312"/>
          <w:kern w:val="0"/>
          <w:sz w:val="32"/>
          <w:szCs w:val="32"/>
          <w:highlight w:val="none"/>
        </w:rPr>
        <w:t>万元，占0%；经营收入</w:t>
      </w:r>
      <w:r>
        <w:rPr>
          <w:rFonts w:hint="default" w:ascii="仿宋_GB2312" w:hAnsi="宋体" w:eastAsia="仿宋_GB2312" w:cs="仿宋_GB2312"/>
          <w:kern w:val="0"/>
          <w:sz w:val="32"/>
          <w:szCs w:val="32"/>
          <w:highlight w:val="none"/>
        </w:rPr>
        <w:t>0</w:t>
      </w:r>
      <w:r>
        <w:rPr>
          <w:rFonts w:hint="default" w:ascii="仿宋_GB2312" w:hAnsi="ˎ̥" w:eastAsia="仿宋_GB2312" w:cs="仿宋_GB2312"/>
          <w:kern w:val="0"/>
          <w:sz w:val="32"/>
          <w:szCs w:val="32"/>
          <w:highlight w:val="none"/>
        </w:rPr>
        <w:t>万元，占0%；附属单位上缴收入</w:t>
      </w:r>
      <w:r>
        <w:rPr>
          <w:rFonts w:hint="default" w:ascii="仿宋_GB2312" w:hAnsi="宋体" w:eastAsia="仿宋_GB2312" w:cs="仿宋_GB2312"/>
          <w:kern w:val="0"/>
          <w:sz w:val="32"/>
          <w:szCs w:val="32"/>
          <w:highlight w:val="none"/>
        </w:rPr>
        <w:t>0</w:t>
      </w:r>
      <w:r>
        <w:rPr>
          <w:rFonts w:hint="default" w:ascii="仿宋_GB2312" w:hAnsi="ˎ̥" w:eastAsia="仿宋_GB2312" w:cs="仿宋_GB2312"/>
          <w:kern w:val="0"/>
          <w:sz w:val="32"/>
          <w:szCs w:val="32"/>
          <w:highlight w:val="none"/>
        </w:rPr>
        <w:t>万元，占0%；其他收入</w:t>
      </w:r>
      <w:r>
        <w:rPr>
          <w:rFonts w:hint="default" w:ascii="仿宋_GB2312" w:hAnsi="宋体" w:eastAsia="仿宋_GB2312" w:cs="仿宋_GB2312"/>
          <w:kern w:val="0"/>
          <w:sz w:val="32"/>
          <w:szCs w:val="32"/>
          <w:highlight w:val="none"/>
        </w:rPr>
        <w:t>0.16</w:t>
      </w:r>
      <w:r>
        <w:rPr>
          <w:rFonts w:hint="default" w:ascii="仿宋_GB2312" w:hAnsi="ˎ̥" w:eastAsia="仿宋_GB2312" w:cs="仿宋_GB2312"/>
          <w:kern w:val="0"/>
          <w:sz w:val="32"/>
          <w:szCs w:val="32"/>
          <w:highlight w:val="none"/>
        </w:rPr>
        <w:t>万元，占0.03%。</w:t>
      </w:r>
    </w:p>
    <w:p>
      <w:pPr>
        <w:keepNext w:val="0"/>
        <w:keepLines w:val="0"/>
        <w:widowControl/>
        <w:suppressLineNumbers w:val="0"/>
        <w:autoSpaceDE w:val="0"/>
        <w:autoSpaceDN/>
        <w:spacing w:before="0" w:beforeAutospacing="1" w:after="0" w:afterAutospacing="1"/>
        <w:ind w:left="0" w:right="0" w:firstLine="640" w:firstLineChars="200"/>
        <w:jc w:val="both"/>
        <w:outlineLvl w:val="1"/>
        <w:rPr>
          <w:rFonts w:hint="eastAsia" w:ascii="黑体" w:hAnsi="宋体" w:eastAsia="黑体" w:cs="黑体"/>
          <w:bCs/>
          <w:kern w:val="0"/>
          <w:sz w:val="32"/>
          <w:szCs w:val="32"/>
        </w:rPr>
      </w:pPr>
      <w:bookmarkStart w:id="13" w:name="_Toc24198"/>
      <w:bookmarkEnd w:id="13"/>
      <w:bookmarkStart w:id="14" w:name="_Toc10645"/>
      <w:r>
        <w:rPr>
          <w:rFonts w:hint="eastAsia" w:ascii="黑体" w:hAnsi="宋体" w:eastAsia="黑体" w:cs="黑体"/>
          <w:bCs/>
          <w:kern w:val="0"/>
          <w:sz w:val="32"/>
          <w:szCs w:val="32"/>
        </w:rPr>
        <w:t>三、支出决算情况说明</w:t>
      </w:r>
      <w:bookmarkEnd w:id="14"/>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本年支出合计</w:t>
      </w:r>
      <w:r>
        <w:rPr>
          <w:rFonts w:hint="default" w:ascii="仿宋_GB2312" w:hAnsi="宋体" w:eastAsia="仿宋_GB2312" w:cs="仿宋_GB2312"/>
          <w:kern w:val="0"/>
          <w:sz w:val="32"/>
          <w:szCs w:val="32"/>
        </w:rPr>
        <w:t>682.74</w:t>
      </w:r>
      <w:r>
        <w:rPr>
          <w:rFonts w:hint="default" w:ascii="仿宋_GB2312" w:hAnsi="ˎ̥" w:eastAsia="仿宋_GB2312" w:cs="仿宋_GB2312"/>
          <w:kern w:val="0"/>
          <w:sz w:val="32"/>
          <w:szCs w:val="32"/>
        </w:rPr>
        <w:t>万元，其中：基本支出</w:t>
      </w:r>
      <w:r>
        <w:rPr>
          <w:rFonts w:hint="default" w:ascii="仿宋_GB2312" w:hAnsi="宋体" w:eastAsia="仿宋_GB2312" w:cs="仿宋_GB2312"/>
          <w:kern w:val="0"/>
          <w:sz w:val="32"/>
          <w:szCs w:val="32"/>
        </w:rPr>
        <w:t>306.43</w:t>
      </w:r>
      <w:r>
        <w:rPr>
          <w:rFonts w:hint="default" w:ascii="仿宋_GB2312" w:hAnsi="ˎ̥" w:eastAsia="仿宋_GB2312" w:cs="仿宋_GB2312"/>
          <w:kern w:val="0"/>
          <w:sz w:val="32"/>
          <w:szCs w:val="32"/>
        </w:rPr>
        <w:t>万元，占4</w:t>
      </w:r>
      <w:r>
        <w:rPr>
          <w:rFonts w:hint="eastAsia" w:ascii="仿宋_GB2312" w:hAnsi="ˎ̥" w:eastAsia="仿宋_GB2312" w:cs="仿宋_GB2312"/>
          <w:kern w:val="0"/>
          <w:sz w:val="32"/>
          <w:szCs w:val="32"/>
          <w:lang w:val="en-US" w:eastAsia="zh-CN"/>
        </w:rPr>
        <w:t>4.9</w:t>
      </w:r>
      <w:r>
        <w:rPr>
          <w:rFonts w:hint="default" w:ascii="仿宋_GB2312" w:hAnsi="ˎ̥" w:eastAsia="仿宋_GB2312" w:cs="仿宋_GB2312"/>
          <w:kern w:val="0"/>
          <w:sz w:val="32"/>
          <w:szCs w:val="32"/>
        </w:rPr>
        <w:t>%；项目支出</w:t>
      </w:r>
      <w:r>
        <w:rPr>
          <w:rFonts w:hint="default" w:ascii="仿宋_GB2312" w:hAnsi="宋体" w:eastAsia="仿宋_GB2312" w:cs="仿宋_GB2312"/>
          <w:kern w:val="0"/>
          <w:sz w:val="32"/>
          <w:szCs w:val="32"/>
        </w:rPr>
        <w:t>376.32</w:t>
      </w:r>
      <w:r>
        <w:rPr>
          <w:rFonts w:hint="default" w:ascii="仿宋_GB2312" w:hAnsi="ˎ̥" w:eastAsia="仿宋_GB2312" w:cs="仿宋_GB2312"/>
          <w:kern w:val="0"/>
          <w:sz w:val="32"/>
          <w:szCs w:val="32"/>
        </w:rPr>
        <w:t>万元，占55</w:t>
      </w:r>
      <w:r>
        <w:rPr>
          <w:rFonts w:hint="eastAsia" w:ascii="仿宋_GB2312" w:hAnsi="ˎ̥" w:eastAsia="仿宋_GB2312" w:cs="仿宋_GB2312"/>
          <w:kern w:val="0"/>
          <w:sz w:val="32"/>
          <w:szCs w:val="32"/>
          <w:lang w:val="en-US" w:eastAsia="zh-CN"/>
        </w:rPr>
        <w:t>.1</w:t>
      </w:r>
      <w:r>
        <w:rPr>
          <w:rFonts w:hint="default" w:ascii="仿宋_GB2312" w:hAnsi="ˎ̥" w:eastAsia="仿宋_GB2312" w:cs="仿宋_GB2312"/>
          <w:kern w:val="0"/>
          <w:sz w:val="32"/>
          <w:szCs w:val="32"/>
        </w:rPr>
        <w:t>%；上缴上级支出</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万元，占0%；经营支出</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万元，占0%；对附属单位补助支出</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万元，占0%。</w:t>
      </w:r>
    </w:p>
    <w:p>
      <w:pPr>
        <w:keepNext w:val="0"/>
        <w:keepLines w:val="0"/>
        <w:widowControl/>
        <w:suppressLineNumbers w:val="0"/>
        <w:spacing w:before="0" w:beforeAutospacing="1" w:after="0" w:afterAutospacing="1"/>
        <w:ind w:left="0" w:right="0" w:firstLine="627" w:firstLineChars="196"/>
        <w:jc w:val="both"/>
        <w:outlineLvl w:val="1"/>
        <w:rPr>
          <w:rFonts w:hint="eastAsia" w:ascii="黑体" w:hAnsi="宋体" w:eastAsia="黑体" w:cs="黑体"/>
          <w:bCs/>
          <w:kern w:val="0"/>
          <w:sz w:val="32"/>
          <w:szCs w:val="32"/>
        </w:rPr>
      </w:pPr>
      <w:bookmarkStart w:id="15" w:name="_Toc6234"/>
      <w:bookmarkEnd w:id="15"/>
      <w:bookmarkStart w:id="16" w:name="_Toc13050"/>
      <w:r>
        <w:rPr>
          <w:rFonts w:hint="eastAsia" w:ascii="黑体" w:hAnsi="宋体" w:eastAsia="黑体" w:cs="黑体"/>
          <w:bCs/>
          <w:kern w:val="0"/>
          <w:sz w:val="32"/>
          <w:szCs w:val="32"/>
        </w:rPr>
        <w:t>四、财政拨款收入支出决算总体情况说明</w:t>
      </w:r>
      <w:bookmarkEnd w:id="16"/>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2022年度财政拨款收入</w:t>
      </w:r>
      <w:r>
        <w:rPr>
          <w:rFonts w:hint="default" w:ascii="仿宋_GB2312" w:hAnsi="宋体" w:eastAsia="仿宋_GB2312" w:cs="仿宋_GB2312"/>
          <w:kern w:val="0"/>
          <w:sz w:val="32"/>
          <w:szCs w:val="32"/>
        </w:rPr>
        <w:t>646.56</w:t>
      </w:r>
      <w:r>
        <w:rPr>
          <w:rFonts w:hint="default" w:ascii="仿宋_GB2312" w:hAnsi="ˎ̥" w:eastAsia="仿宋_GB2312" w:cs="仿宋_GB2312"/>
          <w:kern w:val="0"/>
          <w:sz w:val="32"/>
          <w:szCs w:val="32"/>
        </w:rPr>
        <w:t>万元，支出</w:t>
      </w:r>
      <w:r>
        <w:rPr>
          <w:rFonts w:hint="default" w:ascii="仿宋_GB2312" w:hAnsi="宋体" w:eastAsia="仿宋_GB2312" w:cs="仿宋_GB2312"/>
          <w:kern w:val="0"/>
          <w:sz w:val="32"/>
          <w:szCs w:val="32"/>
        </w:rPr>
        <w:t>646.56</w:t>
      </w:r>
      <w:r>
        <w:rPr>
          <w:rFonts w:hint="default" w:ascii="仿宋_GB2312" w:hAnsi="ˎ̥" w:eastAsia="仿宋_GB2312" w:cs="仿宋_GB2312"/>
          <w:kern w:val="0"/>
          <w:sz w:val="32"/>
          <w:szCs w:val="32"/>
        </w:rPr>
        <w:t>万元。与2021年度相比，财政拨款收入减少162.86万元，下降20</w:t>
      </w:r>
      <w:r>
        <w:rPr>
          <w:rFonts w:hint="eastAsia" w:ascii="仿宋_GB2312" w:hAnsi="ˎ̥" w:eastAsia="仿宋_GB2312" w:cs="仿宋_GB2312"/>
          <w:kern w:val="0"/>
          <w:sz w:val="32"/>
          <w:szCs w:val="32"/>
          <w:lang w:val="en-US" w:eastAsia="zh-CN"/>
        </w:rPr>
        <w:t>.1</w:t>
      </w:r>
      <w:r>
        <w:rPr>
          <w:rFonts w:hint="default" w:ascii="仿宋_GB2312" w:hAnsi="ˎ̥" w:eastAsia="仿宋_GB2312" w:cs="仿宋_GB2312"/>
          <w:kern w:val="0"/>
          <w:sz w:val="32"/>
          <w:szCs w:val="32"/>
        </w:rPr>
        <w:t>%、支出增加47.14万元，增长</w:t>
      </w:r>
      <w:r>
        <w:rPr>
          <w:rFonts w:hint="eastAsia" w:ascii="仿宋_GB2312" w:hAnsi="ˎ̥" w:eastAsia="仿宋_GB2312" w:cs="仿宋_GB2312"/>
          <w:kern w:val="0"/>
          <w:sz w:val="32"/>
          <w:szCs w:val="32"/>
          <w:lang w:val="en-US" w:eastAsia="zh-CN"/>
        </w:rPr>
        <w:t>7.9</w:t>
      </w:r>
      <w:r>
        <w:rPr>
          <w:rFonts w:hint="default" w:ascii="仿宋_GB2312" w:hAnsi="ˎ̥" w:eastAsia="仿宋_GB2312" w:cs="仿宋_GB2312"/>
          <w:kern w:val="0"/>
          <w:sz w:val="32"/>
          <w:szCs w:val="32"/>
        </w:rPr>
        <w:t>%。主要原因：一是</w:t>
      </w:r>
      <w:r>
        <w:rPr>
          <w:rFonts w:hint="default" w:ascii="仿宋_GB2312" w:hAnsi="宋体" w:eastAsia="仿宋_GB2312" w:cs="仿宋_GB2312"/>
          <w:kern w:val="0"/>
          <w:sz w:val="32"/>
          <w:szCs w:val="32"/>
        </w:rPr>
        <w:t>财政拨款项目收入减少，中央提前下达</w:t>
      </w:r>
      <w:r>
        <w:rPr>
          <w:rFonts w:hint="eastAsia" w:ascii="仿宋" w:hAnsi="仿宋" w:eastAsia="仿宋" w:cs="仿宋"/>
          <w:kern w:val="0"/>
          <w:sz w:val="32"/>
          <w:szCs w:val="32"/>
        </w:rPr>
        <w:t>用于支持我园改造户外场地、支持我园改善办园条件</w:t>
      </w:r>
      <w:r>
        <w:rPr>
          <w:rFonts w:hint="default" w:ascii="仿宋_GB2312" w:hAnsi="宋体" w:eastAsia="仿宋_GB2312" w:cs="仿宋_GB2312"/>
          <w:kern w:val="0"/>
          <w:sz w:val="32"/>
          <w:szCs w:val="32"/>
        </w:rPr>
        <w:t>的教育发展专项资金减少，财政拨款收入减少</w:t>
      </w:r>
      <w:r>
        <w:rPr>
          <w:rFonts w:hint="default" w:ascii="仿宋_GB2312" w:hAnsi="ˎ̥" w:eastAsia="仿宋_GB2312" w:cs="仿宋_GB2312"/>
          <w:kern w:val="0"/>
          <w:sz w:val="32"/>
          <w:szCs w:val="32"/>
        </w:rPr>
        <w:t>；二是</w:t>
      </w:r>
      <w:r>
        <w:rPr>
          <w:rFonts w:hint="default" w:ascii="仿宋_GB2312" w:hAnsi="宋体" w:eastAsia="仿宋_GB2312" w:cs="仿宋_GB2312"/>
          <w:kern w:val="0"/>
          <w:sz w:val="32"/>
          <w:szCs w:val="32"/>
        </w:rPr>
        <w:t>基础绩效奖纳入养老保险基数计算，基础绩效奖及年度考核奖纳入公积金基数计算，单位缴纳部分养老保险、住房公积金增加，</w:t>
      </w:r>
      <w:r>
        <w:rPr>
          <w:rFonts w:hint="default" w:ascii="仿宋_GB2312" w:hAnsi="ˎ̥" w:eastAsia="仿宋_GB2312" w:cs="仿宋_GB2312"/>
          <w:kern w:val="0"/>
          <w:sz w:val="32"/>
          <w:szCs w:val="32"/>
        </w:rPr>
        <w:t>财政拨款支出增加</w:t>
      </w:r>
      <w:r>
        <w:rPr>
          <w:rFonts w:hint="default" w:ascii="仿宋_GB2312" w:hAnsi="宋体" w:eastAsia="仿宋_GB2312" w:cs="仿宋_GB2312"/>
          <w:kern w:val="0"/>
          <w:sz w:val="32"/>
          <w:szCs w:val="32"/>
        </w:rPr>
        <w:t>；三是2022年将单位职业年金纪实管理，增加支付单位部分职业年金，</w:t>
      </w:r>
      <w:r>
        <w:rPr>
          <w:rFonts w:hint="default" w:ascii="仿宋_GB2312" w:hAnsi="ˎ̥" w:eastAsia="仿宋_GB2312" w:cs="仿宋_GB2312"/>
          <w:kern w:val="0"/>
          <w:sz w:val="32"/>
          <w:szCs w:val="32"/>
        </w:rPr>
        <w:t>财政拨款支出增加。</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财政拨款年初结转结余</w:t>
      </w:r>
      <w:r>
        <w:rPr>
          <w:rFonts w:hint="default" w:ascii="仿宋_GB2312" w:hAnsi="宋体" w:eastAsia="仿宋_GB2312" w:cs="仿宋_GB2312"/>
          <w:kern w:val="0"/>
          <w:sz w:val="32"/>
          <w:szCs w:val="32"/>
        </w:rPr>
        <w:t>52.92</w:t>
      </w:r>
      <w:r>
        <w:rPr>
          <w:rFonts w:hint="default" w:ascii="仿宋_GB2312" w:hAnsi="ˎ̥" w:eastAsia="仿宋_GB2312" w:cs="仿宋_GB2312"/>
          <w:kern w:val="0"/>
          <w:sz w:val="32"/>
          <w:szCs w:val="32"/>
        </w:rPr>
        <w:t>万元，主要是</w:t>
      </w:r>
      <w:r>
        <w:rPr>
          <w:rFonts w:hint="eastAsia" w:ascii="仿宋_GB2312" w:hAnsi="仿宋_GB2312" w:eastAsia="仿宋_GB2312" w:cs="仿宋_GB2312"/>
          <w:kern w:val="0"/>
          <w:sz w:val="32"/>
          <w:szCs w:val="32"/>
          <w:shd w:val="clear" w:fill="FFFFFF"/>
        </w:rPr>
        <w:t>“</w:t>
      </w:r>
      <w:r>
        <w:rPr>
          <w:rFonts w:hint="default" w:ascii="仿宋_GB2312" w:hAnsi="ˎ̥" w:eastAsia="仿宋_GB2312" w:cs="仿宋_GB2312"/>
          <w:kern w:val="0"/>
          <w:sz w:val="32"/>
          <w:szCs w:val="32"/>
          <w:shd w:val="clear" w:fill="FFFFFF"/>
        </w:rPr>
        <w:t>教育发展专项资金</w:t>
      </w:r>
      <w:r>
        <w:rPr>
          <w:rFonts w:hint="eastAsia" w:ascii="仿宋_GB2312" w:hAnsi="仿宋_GB2312" w:eastAsia="仿宋_GB2312" w:cs="仿宋_GB2312"/>
          <w:kern w:val="0"/>
          <w:sz w:val="32"/>
          <w:szCs w:val="32"/>
          <w:shd w:val="clear" w:fill="FFFFFF"/>
        </w:rPr>
        <w:t>”</w:t>
      </w:r>
      <w:r>
        <w:rPr>
          <w:rFonts w:hint="default" w:ascii="仿宋_GB2312" w:hAnsi="ˎ̥" w:eastAsia="仿宋_GB2312" w:cs="仿宋_GB2312"/>
          <w:kern w:val="0"/>
          <w:sz w:val="32"/>
          <w:szCs w:val="32"/>
          <w:shd w:val="clear" w:fill="FFFFFF"/>
        </w:rPr>
        <w:t>项目结转经费，该资金为</w:t>
      </w:r>
      <w:r>
        <w:rPr>
          <w:rFonts w:hint="default" w:ascii="仿宋_GB2312" w:hAnsi="ˎ̥" w:eastAsia="仿宋_GB2312" w:cs="仿宋_GB2312"/>
          <w:kern w:val="0"/>
          <w:sz w:val="32"/>
          <w:szCs w:val="32"/>
        </w:rPr>
        <w:t>上级</w:t>
      </w:r>
      <w:r>
        <w:rPr>
          <w:rFonts w:hint="default" w:ascii="仿宋_GB2312" w:hAnsi="ˎ̥" w:eastAsia="仿宋_GB2312" w:cs="仿宋_GB2312"/>
          <w:kern w:val="0"/>
          <w:sz w:val="32"/>
          <w:szCs w:val="32"/>
          <w:shd w:val="clear" w:fill="FFFFFF"/>
        </w:rPr>
        <w:t>2021年</w:t>
      </w:r>
      <w:r>
        <w:rPr>
          <w:rFonts w:hint="default" w:ascii="仿宋_GB2312" w:hAnsi="ˎ̥" w:eastAsia="仿宋_GB2312" w:cs="仿宋_GB2312"/>
          <w:kern w:val="0"/>
          <w:sz w:val="32"/>
          <w:szCs w:val="32"/>
        </w:rPr>
        <w:t>拨付我园用于</w:t>
      </w:r>
      <w:r>
        <w:rPr>
          <w:rFonts w:hint="default" w:ascii="仿宋_GB2312" w:hAnsi="仿宋" w:eastAsia="仿宋_GB2312" w:cs="仿宋_GB2312"/>
          <w:kern w:val="0"/>
          <w:sz w:val="32"/>
          <w:szCs w:val="32"/>
        </w:rPr>
        <w:t>幼儿园户外场所改造经费</w:t>
      </w:r>
      <w:r>
        <w:rPr>
          <w:rFonts w:hint="default" w:ascii="仿宋_GB2312" w:hAnsi="ˎ̥" w:eastAsia="仿宋_GB2312" w:cs="仿宋_GB2312"/>
          <w:kern w:val="0"/>
          <w:sz w:val="32"/>
          <w:szCs w:val="32"/>
        </w:rPr>
        <w:t>，较2021年度决算数增加</w:t>
      </w:r>
      <w:r>
        <w:rPr>
          <w:rFonts w:hint="default" w:ascii="仿宋_GB2312" w:hAnsi="宋体" w:eastAsia="仿宋_GB2312" w:cs="仿宋_GB2312"/>
          <w:kern w:val="0"/>
          <w:sz w:val="32"/>
          <w:szCs w:val="32"/>
        </w:rPr>
        <w:t>52.92</w:t>
      </w:r>
      <w:r>
        <w:rPr>
          <w:rFonts w:hint="default" w:ascii="仿宋_GB2312" w:hAnsi="ˎ̥" w:eastAsia="仿宋_GB2312" w:cs="仿宋_GB2312"/>
          <w:kern w:val="0"/>
          <w:sz w:val="32"/>
          <w:szCs w:val="32"/>
        </w:rPr>
        <w:t>万元，主要原因是2021年度户外改造项目</w:t>
      </w:r>
      <w:r>
        <w:rPr>
          <w:rFonts w:hint="eastAsia" w:ascii="仿宋" w:hAnsi="仿宋" w:eastAsia="仿宋" w:cs="仿宋"/>
          <w:kern w:val="0"/>
          <w:sz w:val="32"/>
          <w:szCs w:val="32"/>
        </w:rPr>
        <w:t>执行进度缓慢，形成财政结转资金</w:t>
      </w:r>
      <w:r>
        <w:rPr>
          <w:rFonts w:hint="default" w:ascii="仿宋_GB2312" w:hAnsi="ˎ̥" w:eastAsia="仿宋_GB2312" w:cs="仿宋_GB2312"/>
          <w:kern w:val="0"/>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财政拨款年末结转结余</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万元，较2021年度年末决算数减少210万元，下降100%，主要原因是2021年度户外改造项目</w:t>
      </w:r>
      <w:r>
        <w:rPr>
          <w:rFonts w:hint="eastAsia" w:ascii="仿宋" w:hAnsi="仿宋" w:eastAsia="仿宋" w:cs="仿宋"/>
          <w:kern w:val="0"/>
          <w:sz w:val="32"/>
          <w:szCs w:val="32"/>
        </w:rPr>
        <w:t>执行进度缓慢，形成财政结转资金</w:t>
      </w:r>
      <w:r>
        <w:rPr>
          <w:rFonts w:hint="default" w:ascii="仿宋_GB2312" w:hAnsi="ˎ̥" w:eastAsia="仿宋_GB2312" w:cs="仿宋_GB2312"/>
          <w:kern w:val="0"/>
          <w:sz w:val="32"/>
          <w:szCs w:val="32"/>
        </w:rPr>
        <w:t>。</w:t>
      </w:r>
    </w:p>
    <w:p>
      <w:pPr>
        <w:keepNext w:val="0"/>
        <w:keepLines w:val="0"/>
        <w:widowControl/>
        <w:suppressLineNumbers w:val="0"/>
        <w:spacing w:before="0" w:beforeAutospacing="1" w:after="0" w:afterAutospacing="1"/>
        <w:ind w:left="0" w:right="0" w:firstLine="627" w:firstLineChars="196"/>
        <w:jc w:val="both"/>
        <w:outlineLvl w:val="1"/>
        <w:rPr>
          <w:rFonts w:hint="eastAsia" w:ascii="黑体" w:hAnsi="宋体" w:eastAsia="黑体" w:cs="黑体"/>
          <w:bCs/>
          <w:kern w:val="0"/>
          <w:sz w:val="32"/>
          <w:szCs w:val="32"/>
        </w:rPr>
      </w:pPr>
      <w:bookmarkStart w:id="17" w:name="_Toc1027"/>
      <w:bookmarkEnd w:id="17"/>
      <w:bookmarkStart w:id="18" w:name="_Toc22832"/>
      <w:r>
        <w:rPr>
          <w:rFonts w:hint="eastAsia" w:ascii="黑体" w:hAnsi="宋体" w:eastAsia="黑体" w:cs="黑体"/>
          <w:bCs/>
          <w:kern w:val="0"/>
          <w:sz w:val="32"/>
          <w:szCs w:val="32"/>
        </w:rPr>
        <w:t>五、一般公共预算财政拨款支出决算情况说明</w:t>
      </w:r>
      <w:bookmarkEnd w:id="18"/>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kern w:val="0"/>
          <w:sz w:val="32"/>
          <w:szCs w:val="32"/>
        </w:rPr>
      </w:pPr>
      <w:r>
        <w:rPr>
          <w:rFonts w:hint="eastAsia" w:ascii="楷体" w:hAnsi="楷体" w:eastAsia="楷体" w:cs="楷体"/>
          <w:kern w:val="0"/>
          <w:sz w:val="32"/>
          <w:szCs w:val="32"/>
        </w:rPr>
        <w:t>（一）一般公共预算财政拨款支出决算总体情况。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2022年度一般公共预算财政拨款支出</w:t>
      </w:r>
      <w:r>
        <w:rPr>
          <w:rFonts w:hint="default" w:ascii="仿宋_GB2312" w:hAnsi="宋体" w:eastAsia="仿宋_GB2312" w:cs="仿宋_GB2312"/>
          <w:kern w:val="0"/>
          <w:sz w:val="32"/>
          <w:szCs w:val="32"/>
        </w:rPr>
        <w:t>646.56</w:t>
      </w:r>
      <w:r>
        <w:rPr>
          <w:rFonts w:hint="default" w:ascii="仿宋_GB2312" w:hAnsi="ˎ̥" w:eastAsia="仿宋_GB2312" w:cs="仿宋_GB2312"/>
          <w:kern w:val="0"/>
          <w:sz w:val="32"/>
          <w:szCs w:val="32"/>
        </w:rPr>
        <w:t>万元，占本年支出合计的9</w:t>
      </w:r>
      <w:r>
        <w:rPr>
          <w:rFonts w:hint="eastAsia" w:ascii="仿宋_GB2312" w:hAnsi="ˎ̥" w:eastAsia="仿宋_GB2312" w:cs="仿宋_GB2312"/>
          <w:kern w:val="0"/>
          <w:sz w:val="32"/>
          <w:szCs w:val="32"/>
          <w:lang w:val="en-US" w:eastAsia="zh-CN"/>
        </w:rPr>
        <w:t>4.7</w:t>
      </w:r>
      <w:r>
        <w:rPr>
          <w:rFonts w:hint="default" w:ascii="仿宋_GB2312" w:hAnsi="ˎ̥" w:eastAsia="仿宋_GB2312" w:cs="仿宋_GB2312"/>
          <w:kern w:val="0"/>
          <w:sz w:val="32"/>
          <w:szCs w:val="32"/>
        </w:rPr>
        <w:t>%。与2021年度相比，一般公共预算财政拨款支出增加47.14万元，增长</w:t>
      </w:r>
      <w:r>
        <w:rPr>
          <w:rFonts w:hint="eastAsia" w:ascii="仿宋_GB2312" w:hAnsi="ˎ̥" w:eastAsia="仿宋_GB2312" w:cs="仿宋_GB2312"/>
          <w:kern w:val="0"/>
          <w:sz w:val="32"/>
          <w:szCs w:val="32"/>
          <w:lang w:val="en-US" w:eastAsia="zh-CN"/>
        </w:rPr>
        <w:t>7.9</w:t>
      </w:r>
      <w:r>
        <w:rPr>
          <w:rFonts w:hint="default" w:ascii="仿宋_GB2312" w:hAnsi="ˎ̥" w:eastAsia="仿宋_GB2312" w:cs="仿宋_GB2312"/>
          <w:kern w:val="0"/>
          <w:sz w:val="32"/>
          <w:szCs w:val="32"/>
        </w:rPr>
        <w:t>%，主要原因：一是</w:t>
      </w:r>
      <w:r>
        <w:rPr>
          <w:rFonts w:hint="default" w:ascii="仿宋_GB2312" w:hAnsi="宋体" w:eastAsia="仿宋_GB2312" w:cs="仿宋_GB2312"/>
          <w:kern w:val="0"/>
          <w:sz w:val="32"/>
          <w:szCs w:val="32"/>
        </w:rPr>
        <w:t>基础绩效奖纳入养老保险基数计算，基础绩效奖及年度考核奖纳入公积金基数计算，单位缴纳部分养老保险、住房公积金增加；二是2022年将单位职业年金纪实管理，增加支付单位部分职业年金</w:t>
      </w:r>
      <w:r>
        <w:rPr>
          <w:rFonts w:hint="default" w:ascii="仿宋_GB2312" w:hAnsi="ˎ̥" w:eastAsia="仿宋_GB2312" w:cs="仿宋_GB2312"/>
          <w:kern w:val="0"/>
          <w:sz w:val="32"/>
          <w:szCs w:val="32"/>
        </w:rPr>
        <w:t>。</w:t>
      </w:r>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kern w:val="0"/>
          <w:sz w:val="32"/>
          <w:szCs w:val="32"/>
        </w:rPr>
      </w:pPr>
      <w:r>
        <w:rPr>
          <w:rFonts w:hint="eastAsia" w:ascii="楷体" w:hAnsi="楷体" w:eastAsia="楷体" w:cs="楷体"/>
          <w:kern w:val="0"/>
          <w:sz w:val="32"/>
          <w:szCs w:val="32"/>
        </w:rPr>
        <w:t>（二）一般公共预算财政拨款支出决算结构情况。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2022年度一般公共预算财政拨款支出</w:t>
      </w:r>
      <w:r>
        <w:rPr>
          <w:rFonts w:hint="default" w:ascii="仿宋_GB2312" w:hAnsi="宋体" w:eastAsia="仿宋_GB2312" w:cs="仿宋_GB2312"/>
          <w:kern w:val="0"/>
          <w:sz w:val="32"/>
          <w:szCs w:val="32"/>
        </w:rPr>
        <w:t>646.56</w:t>
      </w:r>
      <w:r>
        <w:rPr>
          <w:rFonts w:hint="default" w:ascii="仿宋_GB2312" w:hAnsi="ˎ̥" w:eastAsia="仿宋_GB2312" w:cs="仿宋_GB2312"/>
          <w:kern w:val="0"/>
          <w:sz w:val="32"/>
          <w:szCs w:val="32"/>
        </w:rPr>
        <w:t>万元，主要用于以下方面：</w:t>
      </w:r>
      <w:r>
        <w:rPr>
          <w:rFonts w:hint="default" w:ascii="仿宋_GB2312" w:hAnsi="ˎ̥" w:eastAsia="仿宋_GB2312" w:cs="仿宋_GB2312"/>
          <w:b/>
          <w:bCs w:val="0"/>
          <w:kern w:val="0"/>
          <w:sz w:val="32"/>
          <w:szCs w:val="32"/>
        </w:rPr>
        <w:t>教育（类）</w:t>
      </w:r>
      <w:r>
        <w:rPr>
          <w:rFonts w:hint="default" w:ascii="仿宋_GB2312" w:hAnsi="ˎ̥" w:eastAsia="仿宋_GB2312" w:cs="仿宋_GB2312"/>
          <w:kern w:val="0"/>
          <w:sz w:val="32"/>
          <w:szCs w:val="32"/>
        </w:rPr>
        <w:t>支出594.96万元，占92%；</w:t>
      </w:r>
      <w:r>
        <w:rPr>
          <w:rFonts w:hint="default" w:ascii="仿宋_GB2312" w:hAnsi="ˎ̥" w:eastAsia="仿宋_GB2312" w:cs="仿宋_GB2312"/>
          <w:b/>
          <w:bCs w:val="0"/>
          <w:kern w:val="0"/>
          <w:sz w:val="32"/>
          <w:szCs w:val="32"/>
        </w:rPr>
        <w:t>社会保障和就业（类）</w:t>
      </w:r>
      <w:r>
        <w:rPr>
          <w:rFonts w:hint="default" w:ascii="仿宋_GB2312" w:hAnsi="ˎ̥" w:eastAsia="仿宋_GB2312" w:cs="仿宋_GB2312"/>
          <w:kern w:val="0"/>
          <w:sz w:val="32"/>
          <w:szCs w:val="32"/>
        </w:rPr>
        <w:t>支出27.88万元，占4</w:t>
      </w:r>
      <w:r>
        <w:rPr>
          <w:rFonts w:hint="eastAsia" w:ascii="仿宋_GB2312" w:hAnsi="ˎ̥" w:eastAsia="仿宋_GB2312" w:cs="仿宋_GB2312"/>
          <w:kern w:val="0"/>
          <w:sz w:val="32"/>
          <w:szCs w:val="32"/>
          <w:lang w:val="en-US" w:eastAsia="zh-CN"/>
        </w:rPr>
        <w:t>.3</w:t>
      </w:r>
      <w:r>
        <w:rPr>
          <w:rFonts w:hint="default" w:ascii="仿宋_GB2312" w:hAnsi="ˎ̥" w:eastAsia="仿宋_GB2312" w:cs="仿宋_GB2312"/>
          <w:kern w:val="0"/>
          <w:sz w:val="32"/>
          <w:szCs w:val="32"/>
        </w:rPr>
        <w:t>%；</w:t>
      </w:r>
      <w:r>
        <w:rPr>
          <w:rFonts w:hint="default" w:ascii="仿宋_GB2312" w:hAnsi="ˎ̥" w:eastAsia="仿宋_GB2312" w:cs="仿宋_GB2312"/>
          <w:b/>
          <w:bCs w:val="0"/>
          <w:kern w:val="0"/>
          <w:sz w:val="32"/>
          <w:szCs w:val="32"/>
        </w:rPr>
        <w:t>卫生健康（类）</w:t>
      </w:r>
      <w:r>
        <w:rPr>
          <w:rFonts w:hint="default" w:ascii="仿宋_GB2312" w:hAnsi="ˎ̥" w:eastAsia="仿宋_GB2312" w:cs="仿宋_GB2312"/>
          <w:kern w:val="0"/>
          <w:sz w:val="32"/>
          <w:szCs w:val="32"/>
          <w:shd w:val="clear" w:fill="FFFFFF"/>
        </w:rPr>
        <w:t>支出7.98万元，占1</w:t>
      </w:r>
      <w:r>
        <w:rPr>
          <w:rFonts w:hint="eastAsia" w:ascii="仿宋_GB2312" w:hAnsi="ˎ̥" w:eastAsia="仿宋_GB2312" w:cs="仿宋_GB2312"/>
          <w:kern w:val="0"/>
          <w:sz w:val="32"/>
          <w:szCs w:val="32"/>
          <w:shd w:val="clear" w:fill="FFFFFF"/>
          <w:lang w:val="en-US" w:eastAsia="zh-CN"/>
        </w:rPr>
        <w:t>.2</w:t>
      </w:r>
      <w:r>
        <w:rPr>
          <w:rFonts w:hint="default" w:ascii="仿宋_GB2312" w:hAnsi="ˎ̥" w:eastAsia="仿宋_GB2312" w:cs="仿宋_GB2312"/>
          <w:kern w:val="0"/>
          <w:sz w:val="32"/>
          <w:szCs w:val="32"/>
          <w:shd w:val="clear" w:fill="FFFFFF"/>
        </w:rPr>
        <w:t>%；</w:t>
      </w:r>
      <w:r>
        <w:rPr>
          <w:rFonts w:hint="default" w:ascii="仿宋_GB2312" w:hAnsi="ˎ̥" w:eastAsia="仿宋_GB2312" w:cs="仿宋_GB2312"/>
          <w:b/>
          <w:bCs/>
          <w:kern w:val="0"/>
          <w:sz w:val="32"/>
          <w:szCs w:val="32"/>
        </w:rPr>
        <w:t>住房保障（类）</w:t>
      </w:r>
      <w:r>
        <w:rPr>
          <w:rFonts w:hint="default" w:ascii="仿宋_GB2312" w:hAnsi="ˎ̥" w:eastAsia="仿宋_GB2312" w:cs="仿宋_GB2312"/>
          <w:kern w:val="0"/>
          <w:sz w:val="32"/>
          <w:szCs w:val="32"/>
        </w:rPr>
        <w:t>支出15.74万元，占</w:t>
      </w:r>
      <w:r>
        <w:rPr>
          <w:rFonts w:hint="eastAsia" w:ascii="仿宋_GB2312" w:hAnsi="ˎ̥" w:eastAsia="仿宋_GB2312" w:cs="仿宋_GB2312"/>
          <w:kern w:val="0"/>
          <w:sz w:val="32"/>
          <w:szCs w:val="32"/>
          <w:lang w:val="en-US" w:eastAsia="zh-CN"/>
        </w:rPr>
        <w:t>2.5</w:t>
      </w:r>
      <w:r>
        <w:rPr>
          <w:rFonts w:hint="default" w:ascii="仿宋_GB2312" w:hAnsi="ˎ̥" w:eastAsia="仿宋_GB2312" w:cs="仿宋_GB2312"/>
          <w:kern w:val="0"/>
          <w:sz w:val="32"/>
          <w:szCs w:val="32"/>
        </w:rPr>
        <w:t>%。</w:t>
      </w:r>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kern w:val="0"/>
          <w:sz w:val="32"/>
          <w:szCs w:val="32"/>
        </w:rPr>
      </w:pPr>
      <w:r>
        <w:rPr>
          <w:rFonts w:hint="eastAsia" w:ascii="楷体" w:hAnsi="楷体" w:eastAsia="楷体" w:cs="楷体"/>
          <w:kern w:val="0"/>
          <w:sz w:val="32"/>
          <w:szCs w:val="32"/>
        </w:rPr>
        <w:t>（三）一般公共预算财政拨款支出决算具体情况。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2022年度一般公共预算财政拨款支出年初预算为641.66万元，支出决算为</w:t>
      </w:r>
      <w:r>
        <w:rPr>
          <w:rFonts w:hint="default" w:ascii="仿宋_GB2312" w:hAnsi="宋体" w:eastAsia="仿宋_GB2312" w:cs="仿宋_GB2312"/>
          <w:kern w:val="0"/>
          <w:sz w:val="32"/>
          <w:szCs w:val="32"/>
        </w:rPr>
        <w:t>646.56</w:t>
      </w:r>
      <w:r>
        <w:rPr>
          <w:rFonts w:hint="default" w:ascii="仿宋_GB2312" w:hAnsi="ˎ̥" w:eastAsia="仿宋_GB2312" w:cs="仿宋_GB2312"/>
          <w:kern w:val="0"/>
          <w:sz w:val="32"/>
          <w:szCs w:val="32"/>
        </w:rPr>
        <w:t>万元，完成年初预算的100.8%。其中：</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b/>
          <w:bCs w:val="0"/>
          <w:kern w:val="0"/>
          <w:sz w:val="32"/>
          <w:szCs w:val="32"/>
        </w:rPr>
      </w:pPr>
      <w:r>
        <w:rPr>
          <w:rFonts w:hint="default" w:ascii="仿宋_GB2312" w:hAnsi="ˎ̥" w:eastAsia="仿宋_GB2312" w:cs="仿宋_GB2312"/>
          <w:b/>
          <w:bCs/>
          <w:kern w:val="0"/>
          <w:sz w:val="32"/>
          <w:szCs w:val="32"/>
        </w:rPr>
        <w:t>1.</w:t>
      </w:r>
      <w:r>
        <w:rPr>
          <w:rFonts w:hint="default" w:ascii="仿宋_GB2312" w:hAnsi="ˎ̥" w:eastAsia="仿宋_GB2312" w:cs="仿宋_GB2312"/>
          <w:b/>
          <w:bCs w:val="0"/>
          <w:kern w:val="0"/>
          <w:sz w:val="32"/>
          <w:szCs w:val="32"/>
        </w:rPr>
        <w:t>教育支出（类）普通教育（款）学前教育（项）</w:t>
      </w:r>
    </w:p>
    <w:p>
      <w:pPr>
        <w:keepNext w:val="0"/>
        <w:keepLines w:val="0"/>
        <w:widowControl/>
        <w:suppressLineNumbers w:val="0"/>
        <w:autoSpaceDE w:val="0"/>
        <w:autoSpaceDN/>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年初预算为606.68万元，支出决算为594.96万元，完成年初预算的98</w:t>
      </w:r>
      <w:r>
        <w:rPr>
          <w:rFonts w:hint="eastAsia" w:ascii="仿宋_GB2312" w:hAnsi="ˎ̥" w:eastAsia="仿宋_GB2312" w:cs="仿宋_GB2312"/>
          <w:kern w:val="0"/>
          <w:sz w:val="32"/>
          <w:szCs w:val="32"/>
          <w:lang w:val="en-US" w:eastAsia="zh-CN"/>
        </w:rPr>
        <w:t>.1</w:t>
      </w:r>
      <w:r>
        <w:rPr>
          <w:rFonts w:hint="default" w:ascii="仿宋_GB2312" w:hAnsi="ˎ̥" w:eastAsia="仿宋_GB2312" w:cs="仿宋_GB2312"/>
          <w:kern w:val="0"/>
          <w:sz w:val="32"/>
          <w:szCs w:val="32"/>
        </w:rPr>
        <w:t>%。决算数小于预算数的主要原因：</w:t>
      </w:r>
      <w:r>
        <w:rPr>
          <w:rFonts w:hint="default" w:ascii="仿宋_GB2312" w:hAnsi="宋体" w:eastAsia="仿宋_GB2312" w:cs="仿宋_GB2312"/>
          <w:kern w:val="0"/>
          <w:sz w:val="32"/>
          <w:szCs w:val="32"/>
          <w:shd w:val="clear" w:fill="FFFFFF"/>
        </w:rPr>
        <w:t>幼儿园室内视频监控系统的购置安装</w:t>
      </w:r>
      <w:r>
        <w:rPr>
          <w:rFonts w:hint="default" w:ascii="仿宋_GB2312" w:hAnsi="宋体" w:eastAsia="仿宋_GB2312" w:cs="仿宋_GB2312"/>
          <w:kern w:val="0"/>
          <w:sz w:val="32"/>
          <w:szCs w:val="32"/>
        </w:rPr>
        <w:t>项目</w:t>
      </w:r>
      <w:r>
        <w:rPr>
          <w:rFonts w:hint="default" w:ascii="仿宋_GB2312" w:hAnsi="仿宋" w:eastAsia="仿宋_GB2312" w:cs="仿宋_GB2312"/>
          <w:kern w:val="0"/>
          <w:sz w:val="32"/>
          <w:szCs w:val="32"/>
        </w:rPr>
        <w:t>未提前做好项目前期工作，项目预算审核与中标金额低于年初预算金额</w:t>
      </w:r>
      <w:r>
        <w:rPr>
          <w:rFonts w:hint="default" w:ascii="仿宋_GB2312" w:hAnsi="ˎ̥" w:eastAsia="仿宋_GB2312" w:cs="仿宋_GB2312"/>
          <w:kern w:val="0"/>
          <w:sz w:val="32"/>
          <w:szCs w:val="32"/>
        </w:rPr>
        <w:t>，导致预算结余</w:t>
      </w:r>
      <w:r>
        <w:rPr>
          <w:rFonts w:hint="default" w:ascii="仿宋_GB2312" w:hAnsi="ˎ̥" w:eastAsia="仿宋_GB2312" w:cs="仿宋_GB2312"/>
          <w:color w:val="0000FF"/>
          <w:kern w:val="0"/>
          <w:sz w:val="32"/>
          <w:szCs w:val="32"/>
        </w:rPr>
        <w:t>。</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b/>
          <w:bCs w:val="0"/>
          <w:kern w:val="0"/>
          <w:sz w:val="32"/>
          <w:szCs w:val="32"/>
        </w:rPr>
      </w:pPr>
      <w:r>
        <w:rPr>
          <w:rFonts w:hint="default" w:ascii="仿宋_GB2312" w:hAnsi="ˎ̥" w:eastAsia="仿宋_GB2312" w:cs="仿宋_GB2312"/>
          <w:b/>
          <w:bCs w:val="0"/>
          <w:kern w:val="0"/>
          <w:sz w:val="32"/>
          <w:szCs w:val="32"/>
        </w:rPr>
        <w:t>2.社会保障和就业支出（类）行政事业单位养老支出（款）机关事业单位基本养老保险缴费支出（项）</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宋体"/>
          <w:kern w:val="0"/>
          <w:sz w:val="32"/>
          <w:szCs w:val="32"/>
        </w:rPr>
      </w:pPr>
      <w:r>
        <w:rPr>
          <w:rFonts w:hint="default" w:ascii="仿宋_GB2312" w:hAnsi="ˎ̥" w:eastAsia="仿宋_GB2312" w:cs="仿宋_GB2312"/>
          <w:kern w:val="0"/>
          <w:sz w:val="32"/>
          <w:szCs w:val="32"/>
        </w:rPr>
        <w:t>年初预算为15.12万元，支出决算为18.61万元，完成年初预算的123</w:t>
      </w:r>
      <w:r>
        <w:rPr>
          <w:rFonts w:hint="eastAsia" w:ascii="仿宋_GB2312" w:hAnsi="ˎ̥" w:eastAsia="仿宋_GB2312" w:cs="仿宋_GB2312"/>
          <w:kern w:val="0"/>
          <w:sz w:val="32"/>
          <w:szCs w:val="32"/>
          <w:lang w:val="en-US" w:eastAsia="zh-CN"/>
        </w:rPr>
        <w:t>.1</w:t>
      </w:r>
      <w:r>
        <w:rPr>
          <w:rFonts w:hint="default" w:ascii="仿宋_GB2312" w:hAnsi="ˎ̥" w:eastAsia="仿宋_GB2312" w:cs="仿宋_GB2312"/>
          <w:kern w:val="0"/>
          <w:sz w:val="32"/>
          <w:szCs w:val="32"/>
        </w:rPr>
        <w:t>%。决算数大于预算数的主要原因是</w:t>
      </w:r>
      <w:r>
        <w:rPr>
          <w:rFonts w:hint="default" w:ascii="仿宋_GB2312" w:hAnsi="宋体" w:eastAsia="仿宋_GB2312" w:cs="仿宋_GB2312"/>
          <w:kern w:val="0"/>
          <w:sz w:val="32"/>
          <w:szCs w:val="32"/>
        </w:rPr>
        <w:t>基础绩效奖纳入养老保险基数计算，单位缴纳部分养老保险增加。</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b/>
          <w:bCs w:val="0"/>
          <w:kern w:val="0"/>
          <w:sz w:val="32"/>
          <w:szCs w:val="32"/>
        </w:rPr>
      </w:pPr>
      <w:r>
        <w:rPr>
          <w:rFonts w:hint="default" w:ascii="仿宋_GB2312" w:hAnsi="ˎ̥" w:eastAsia="仿宋_GB2312" w:cs="仿宋_GB2312"/>
          <w:b/>
          <w:bCs w:val="0"/>
          <w:kern w:val="0"/>
          <w:sz w:val="32"/>
          <w:szCs w:val="32"/>
        </w:rPr>
        <w:t>3.社会保障和就业支出（类）行政事业单位养老支出（款）机关事业单位职业年金缴费支出（项）</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宋体"/>
          <w:kern w:val="0"/>
          <w:sz w:val="32"/>
          <w:szCs w:val="32"/>
        </w:rPr>
      </w:pPr>
      <w:r>
        <w:rPr>
          <w:rFonts w:hint="default" w:ascii="仿宋_GB2312" w:hAnsi="ˎ̥" w:eastAsia="仿宋_GB2312" w:cs="仿宋_GB2312"/>
          <w:kern w:val="0"/>
          <w:sz w:val="32"/>
          <w:szCs w:val="32"/>
        </w:rPr>
        <w:t>年初预算为0万元，支出决算为9.27万元。决算数大于预算数的主要原因</w:t>
      </w:r>
      <w:r>
        <w:rPr>
          <w:rFonts w:hint="default" w:ascii="仿宋_GB2312" w:hAnsi="宋体" w:eastAsia="仿宋_GB2312" w:cs="仿宋_GB2312"/>
          <w:kern w:val="0"/>
          <w:sz w:val="32"/>
          <w:szCs w:val="32"/>
        </w:rPr>
        <w:t>是2022年将单位职业年金纪实管理，增加支付单位部分职业年金。</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b/>
          <w:bCs w:val="0"/>
          <w:kern w:val="0"/>
          <w:sz w:val="32"/>
          <w:szCs w:val="32"/>
        </w:rPr>
      </w:pPr>
      <w:r>
        <w:rPr>
          <w:rFonts w:hint="default" w:ascii="仿宋_GB2312" w:hAnsi="ˎ̥" w:eastAsia="仿宋_GB2312" w:cs="仿宋_GB2312"/>
          <w:b/>
          <w:bCs w:val="0"/>
          <w:kern w:val="0"/>
          <w:sz w:val="32"/>
          <w:szCs w:val="32"/>
        </w:rPr>
        <w:t>4.卫生健康支出（类）行政事业单位医疗（款）事业单位医疗（项）</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shd w:val="clear" w:fill="FFFFFF"/>
        </w:rPr>
      </w:pPr>
      <w:r>
        <w:rPr>
          <w:rFonts w:hint="default" w:ascii="仿宋_GB2312" w:hAnsi="ˎ̥" w:eastAsia="仿宋_GB2312" w:cs="仿宋_GB2312"/>
          <w:kern w:val="0"/>
          <w:sz w:val="32"/>
          <w:szCs w:val="32"/>
        </w:rPr>
        <w:t>年初预算为8.03万元，支出决算为7.98万元，完成年初预算的99</w:t>
      </w:r>
      <w:r>
        <w:rPr>
          <w:rFonts w:hint="eastAsia" w:ascii="仿宋_GB2312" w:hAnsi="ˎ̥" w:eastAsia="仿宋_GB2312" w:cs="仿宋_GB2312"/>
          <w:kern w:val="0"/>
          <w:sz w:val="32"/>
          <w:szCs w:val="32"/>
          <w:lang w:val="en-US" w:eastAsia="zh-CN"/>
        </w:rPr>
        <w:t>.4</w:t>
      </w:r>
      <w:r>
        <w:rPr>
          <w:rFonts w:hint="default" w:ascii="仿宋_GB2312" w:hAnsi="ˎ̥" w:eastAsia="仿宋_GB2312" w:cs="仿宋_GB2312"/>
          <w:kern w:val="0"/>
          <w:sz w:val="32"/>
          <w:szCs w:val="32"/>
        </w:rPr>
        <w:t>%。决算数小于预算数的主要原因</w:t>
      </w:r>
      <w:r>
        <w:rPr>
          <w:rFonts w:hint="default" w:ascii="仿宋_GB2312" w:hAnsi="ˎ̥" w:eastAsia="仿宋_GB2312" w:cs="仿宋_GB2312"/>
          <w:kern w:val="0"/>
          <w:sz w:val="32"/>
          <w:szCs w:val="32"/>
          <w:shd w:val="clear" w:fill="FFFFFF"/>
        </w:rPr>
        <w:t>单位实际缴存社保基数小于预算系统自动取数基数。</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b/>
          <w:bCs w:val="0"/>
          <w:kern w:val="0"/>
          <w:sz w:val="32"/>
          <w:szCs w:val="32"/>
        </w:rPr>
      </w:pPr>
      <w:r>
        <w:rPr>
          <w:rFonts w:hint="default" w:ascii="仿宋_GB2312" w:hAnsi="ˎ̥" w:eastAsia="仿宋_GB2312" w:cs="仿宋_GB2312"/>
          <w:b/>
          <w:bCs w:val="0"/>
          <w:kern w:val="0"/>
          <w:sz w:val="32"/>
          <w:szCs w:val="32"/>
        </w:rPr>
        <w:t>5.住房保障支出（类）住房改革支出（款）住房公积金（项）</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shd w:val="clear" w:fill="FFFFFF"/>
        </w:rPr>
      </w:pPr>
      <w:r>
        <w:rPr>
          <w:rFonts w:hint="default" w:ascii="仿宋_GB2312" w:hAnsi="ˎ̥" w:eastAsia="仿宋_GB2312" w:cs="仿宋_GB2312"/>
          <w:kern w:val="0"/>
          <w:sz w:val="32"/>
          <w:szCs w:val="32"/>
        </w:rPr>
        <w:t>年初预算为11.83万元，支出决算为15.74万元，完成年初预算的133%。决算数大于预算数的主要原因是</w:t>
      </w:r>
      <w:r>
        <w:rPr>
          <w:rFonts w:hint="default" w:ascii="仿宋_GB2312" w:hAnsi="宋体" w:eastAsia="仿宋_GB2312" w:cs="仿宋_GB2312"/>
          <w:kern w:val="0"/>
          <w:sz w:val="32"/>
          <w:szCs w:val="32"/>
        </w:rPr>
        <w:t>基础绩效奖及年度考核奖纳入公积金基数计算，单位缴纳住房公积金增加。</w:t>
      </w:r>
    </w:p>
    <w:p>
      <w:pPr>
        <w:keepNext w:val="0"/>
        <w:keepLines w:val="0"/>
        <w:widowControl/>
        <w:suppressLineNumbers w:val="0"/>
        <w:spacing w:before="0" w:beforeAutospacing="1" w:after="0" w:afterAutospacing="1"/>
        <w:ind w:left="0" w:right="0" w:firstLine="627" w:firstLineChars="196"/>
        <w:jc w:val="both"/>
        <w:outlineLvl w:val="1"/>
        <w:rPr>
          <w:rFonts w:hint="eastAsia" w:ascii="黑体" w:hAnsi="宋体" w:eastAsia="黑体" w:cs="黑体"/>
          <w:kern w:val="0"/>
          <w:sz w:val="32"/>
          <w:szCs w:val="32"/>
        </w:rPr>
      </w:pPr>
      <w:bookmarkStart w:id="19" w:name="_Toc30860"/>
      <w:bookmarkEnd w:id="19"/>
      <w:bookmarkStart w:id="20" w:name="_Toc138"/>
      <w:r>
        <w:rPr>
          <w:rFonts w:hint="eastAsia" w:ascii="黑体" w:hAnsi="宋体" w:eastAsia="黑体" w:cs="黑体"/>
          <w:bCs/>
          <w:kern w:val="0"/>
          <w:sz w:val="32"/>
          <w:szCs w:val="32"/>
        </w:rPr>
        <w:t>六、一般公共预算财政拨款基本支出决算情况说明</w:t>
      </w:r>
      <w:bookmarkEnd w:id="20"/>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2022年度财政拨款基本支出</w:t>
      </w:r>
      <w:r>
        <w:rPr>
          <w:rFonts w:hint="default" w:ascii="仿宋_GB2312" w:hAnsi="宋体" w:eastAsia="仿宋_GB2312" w:cs="仿宋_GB2312"/>
          <w:kern w:val="0"/>
          <w:sz w:val="32"/>
          <w:szCs w:val="32"/>
        </w:rPr>
        <w:t>306.41</w:t>
      </w:r>
      <w:r>
        <w:rPr>
          <w:rFonts w:hint="default" w:ascii="仿宋_GB2312" w:hAnsi="ˎ̥" w:eastAsia="仿宋_GB2312" w:cs="仿宋_GB2312"/>
          <w:kern w:val="0"/>
          <w:sz w:val="32"/>
          <w:szCs w:val="32"/>
        </w:rPr>
        <w:t>万元，其中：人员经费</w:t>
      </w:r>
      <w:r>
        <w:rPr>
          <w:rFonts w:hint="default" w:ascii="仿宋_GB2312" w:hAnsi="宋体" w:eastAsia="仿宋_GB2312" w:cs="仿宋_GB2312"/>
          <w:kern w:val="0"/>
          <w:sz w:val="32"/>
          <w:szCs w:val="32"/>
        </w:rPr>
        <w:t>276.94</w:t>
      </w:r>
      <w:r>
        <w:rPr>
          <w:rFonts w:hint="default" w:ascii="仿宋_GB2312" w:hAnsi="ˎ̥" w:eastAsia="仿宋_GB2312" w:cs="仿宋_GB2312"/>
          <w:kern w:val="0"/>
          <w:sz w:val="32"/>
          <w:szCs w:val="32"/>
        </w:rPr>
        <w:t>万元，主要包括：工资福利支出中的基本工资、津贴补贴、绩效工资、机关事业单位基本养老保险缴费、职业年金缴费、职工基本医疗保险缴费、其他社会保障缴费、住房公积金、医疗费、其他工资福利支出；对个人和家庭的补助中的奖励金。公用经费</w:t>
      </w:r>
      <w:r>
        <w:rPr>
          <w:rFonts w:hint="default" w:ascii="仿宋_GB2312" w:hAnsi="宋体" w:eastAsia="仿宋_GB2312" w:cs="仿宋_GB2312"/>
          <w:kern w:val="0"/>
          <w:sz w:val="32"/>
          <w:szCs w:val="32"/>
        </w:rPr>
        <w:t>29.47</w:t>
      </w:r>
      <w:r>
        <w:rPr>
          <w:rFonts w:hint="default" w:ascii="仿宋_GB2312" w:hAnsi="ˎ̥" w:eastAsia="仿宋_GB2312" w:cs="仿宋_GB2312"/>
          <w:kern w:val="0"/>
          <w:sz w:val="32"/>
          <w:szCs w:val="32"/>
        </w:rPr>
        <w:t>万元，主要包括：商品和服务支出中的办公费、邮电费、专用材料费、委托业务费、工会经费、其他商品和服务支出。</w:t>
      </w:r>
    </w:p>
    <w:p>
      <w:pPr>
        <w:keepNext w:val="0"/>
        <w:keepLines w:val="0"/>
        <w:widowControl/>
        <w:suppressLineNumbers w:val="0"/>
        <w:spacing w:before="0" w:beforeAutospacing="1" w:after="0" w:afterAutospacing="1"/>
        <w:ind w:left="0" w:right="0" w:firstLine="627" w:firstLineChars="196"/>
        <w:jc w:val="both"/>
        <w:outlineLvl w:val="1"/>
        <w:rPr>
          <w:rFonts w:hint="eastAsia" w:ascii="黑体" w:hAnsi="宋体" w:eastAsia="黑体" w:cs="黑体"/>
          <w:bCs/>
          <w:kern w:val="0"/>
          <w:sz w:val="32"/>
          <w:szCs w:val="32"/>
        </w:rPr>
      </w:pPr>
      <w:bookmarkStart w:id="21" w:name="_Toc11157"/>
      <w:bookmarkEnd w:id="21"/>
      <w:bookmarkStart w:id="22" w:name="_Toc22776"/>
      <w:r>
        <w:rPr>
          <w:rFonts w:hint="eastAsia" w:ascii="黑体" w:hAnsi="宋体" w:eastAsia="黑体" w:cs="黑体"/>
          <w:bCs/>
          <w:kern w:val="0"/>
          <w:sz w:val="32"/>
          <w:szCs w:val="32"/>
        </w:rPr>
        <w:t>七、政府性基金预算财政拨款支出决算情况说明</w:t>
      </w:r>
      <w:bookmarkEnd w:id="22"/>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kern w:val="0"/>
          <w:sz w:val="32"/>
          <w:szCs w:val="32"/>
        </w:rPr>
      </w:pPr>
      <w:r>
        <w:rPr>
          <w:rFonts w:hint="eastAsia" w:ascii="楷体" w:hAnsi="楷体" w:eastAsia="楷体" w:cs="楷体"/>
          <w:kern w:val="0"/>
          <w:sz w:val="32"/>
          <w:szCs w:val="32"/>
        </w:rPr>
        <w:t>（一）政府性基金预算财政拨款支出决算总体情况。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2022年度琼台师范学院附属桂林洋幼儿园无政府性基金预算。</w:t>
      </w:r>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kern w:val="0"/>
          <w:sz w:val="32"/>
          <w:szCs w:val="32"/>
        </w:rPr>
      </w:pPr>
      <w:r>
        <w:rPr>
          <w:rFonts w:hint="eastAsia" w:ascii="楷体" w:hAnsi="楷体" w:eastAsia="楷体" w:cs="楷体"/>
          <w:kern w:val="0"/>
          <w:sz w:val="32"/>
          <w:szCs w:val="32"/>
        </w:rPr>
        <w:t>（二）政府性基金预算财政拨款支出决算结构情况。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2022年度琼台师范学院附属桂林洋幼儿园无政府性基金预算。</w:t>
      </w:r>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kern w:val="0"/>
          <w:sz w:val="32"/>
          <w:szCs w:val="32"/>
        </w:rPr>
      </w:pPr>
      <w:r>
        <w:rPr>
          <w:rFonts w:hint="eastAsia" w:ascii="楷体" w:hAnsi="楷体" w:eastAsia="楷体" w:cs="楷体"/>
          <w:kern w:val="0"/>
          <w:sz w:val="32"/>
          <w:szCs w:val="32"/>
        </w:rPr>
        <w:t>（三）政府性基金预算财政拨款支出决算具体情况。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2022年度琼台师范学院附属桂林洋幼儿园无政府性基金预算。</w:t>
      </w:r>
    </w:p>
    <w:p>
      <w:pPr>
        <w:keepNext w:val="0"/>
        <w:keepLines w:val="0"/>
        <w:widowControl/>
        <w:suppressLineNumbers w:val="0"/>
        <w:spacing w:before="0" w:beforeAutospacing="1" w:after="0" w:afterAutospacing="1"/>
        <w:ind w:left="0" w:right="0" w:firstLine="627" w:firstLineChars="196"/>
        <w:jc w:val="both"/>
        <w:outlineLvl w:val="1"/>
        <w:rPr>
          <w:rFonts w:hint="eastAsia" w:ascii="黑体" w:hAnsi="宋体" w:eastAsia="黑体" w:cs="黑体"/>
          <w:bCs/>
          <w:kern w:val="0"/>
          <w:sz w:val="32"/>
          <w:szCs w:val="32"/>
        </w:rPr>
      </w:pPr>
      <w:bookmarkStart w:id="23" w:name="_Toc31485"/>
      <w:bookmarkEnd w:id="23"/>
      <w:bookmarkStart w:id="24" w:name="_Toc20205"/>
      <w:r>
        <w:rPr>
          <w:rFonts w:hint="eastAsia" w:ascii="黑体" w:hAnsi="宋体" w:eastAsia="黑体" w:cs="黑体"/>
          <w:bCs/>
          <w:kern w:val="0"/>
          <w:sz w:val="32"/>
          <w:szCs w:val="32"/>
        </w:rPr>
        <w:t>八、国有资本经营预算财政拨款支出决算情况说明</w:t>
      </w:r>
      <w:bookmarkEnd w:id="24"/>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kern w:val="0"/>
          <w:sz w:val="32"/>
          <w:szCs w:val="32"/>
        </w:rPr>
      </w:pPr>
      <w:r>
        <w:rPr>
          <w:rFonts w:hint="eastAsia" w:ascii="楷体" w:hAnsi="楷体" w:eastAsia="楷体" w:cs="楷体"/>
          <w:kern w:val="0"/>
          <w:sz w:val="32"/>
          <w:szCs w:val="32"/>
        </w:rPr>
        <w:t>（一）国有资本经营预算财政拨款支出决算总体情况。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2022年度琼台师范学院附属桂林洋幼儿园无国有资本经营预算。</w:t>
      </w:r>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kern w:val="0"/>
          <w:sz w:val="32"/>
          <w:szCs w:val="32"/>
        </w:rPr>
      </w:pPr>
      <w:r>
        <w:rPr>
          <w:rFonts w:hint="eastAsia" w:ascii="楷体" w:hAnsi="楷体" w:eastAsia="楷体" w:cs="楷体"/>
          <w:kern w:val="0"/>
          <w:sz w:val="32"/>
          <w:szCs w:val="32"/>
        </w:rPr>
        <w:t>（二）国有资本经营预算财政拨款支出决算结构情况。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2022年度琼台师范学院附属桂林洋幼儿园无国有资本经营预算。</w:t>
      </w:r>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kern w:val="0"/>
          <w:sz w:val="32"/>
          <w:szCs w:val="32"/>
        </w:rPr>
      </w:pPr>
      <w:r>
        <w:rPr>
          <w:rFonts w:hint="eastAsia" w:ascii="楷体" w:hAnsi="楷体" w:eastAsia="楷体" w:cs="楷体"/>
          <w:kern w:val="0"/>
          <w:sz w:val="32"/>
          <w:szCs w:val="32"/>
        </w:rPr>
        <w:t>（三）国有资本经营预算财政拨款支出决算具体情况。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2022年度琼台师范学院附属桂林洋幼儿园无国有资本经营预算。</w:t>
      </w:r>
    </w:p>
    <w:p>
      <w:pPr>
        <w:keepNext w:val="0"/>
        <w:keepLines w:val="0"/>
        <w:widowControl/>
        <w:suppressLineNumbers w:val="0"/>
        <w:spacing w:before="0" w:beforeAutospacing="1" w:after="0" w:afterAutospacing="1"/>
        <w:ind w:left="0" w:right="0" w:firstLine="627" w:firstLineChars="196"/>
        <w:jc w:val="both"/>
        <w:outlineLvl w:val="1"/>
        <w:rPr>
          <w:rFonts w:hint="default" w:ascii="仿宋_GB2312" w:hAnsi="ˎ̥" w:eastAsia="楷体_GB2312" w:cs="仿宋_GB2312"/>
          <w:kern w:val="0"/>
          <w:sz w:val="32"/>
          <w:szCs w:val="32"/>
        </w:rPr>
      </w:pPr>
      <w:bookmarkStart w:id="25" w:name="_Toc17385"/>
      <w:bookmarkEnd w:id="25"/>
      <w:bookmarkStart w:id="26" w:name="_Toc28479"/>
      <w:r>
        <w:rPr>
          <w:rFonts w:hint="eastAsia" w:ascii="黑体" w:hAnsi="宋体" w:eastAsia="黑体" w:cs="黑体"/>
          <w:bCs/>
          <w:kern w:val="0"/>
          <w:sz w:val="32"/>
          <w:szCs w:val="32"/>
        </w:rPr>
        <w:t>九、财政拨款“三公”经费支出决算情况说明</w:t>
      </w:r>
      <w:bookmarkEnd w:id="26"/>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bCs/>
          <w:kern w:val="0"/>
          <w:sz w:val="32"/>
          <w:szCs w:val="32"/>
        </w:rPr>
      </w:pPr>
      <w:r>
        <w:rPr>
          <w:rFonts w:hint="eastAsia" w:ascii="楷体" w:hAnsi="楷体" w:eastAsia="楷体" w:cs="楷体"/>
          <w:bCs/>
          <w:kern w:val="0"/>
          <w:sz w:val="32"/>
          <w:szCs w:val="32"/>
        </w:rPr>
        <w:t>（一）财政拨款“三公”经费支出决算总体情况说明。</w:t>
      </w:r>
    </w:p>
    <w:p>
      <w:pPr>
        <w:keepNext w:val="0"/>
        <w:keepLines w:val="0"/>
        <w:widowControl/>
        <w:suppressLineNumbers w:val="0"/>
        <w:spacing w:before="0" w:beforeAutospacing="1" w:after="0" w:afterAutospacing="1"/>
        <w:ind w:left="0" w:right="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 xml:space="preserve">    2022年度财政拨款</w:t>
      </w:r>
      <w:r>
        <w:rPr>
          <w:rFonts w:hint="eastAsia" w:ascii="仿宋_GB2312" w:hAnsi="仿宋_GB2312" w:eastAsia="仿宋_GB2312" w:cs="仿宋_GB2312"/>
          <w:kern w:val="0"/>
          <w:sz w:val="32"/>
          <w:szCs w:val="32"/>
        </w:rPr>
        <w:t>“</w:t>
      </w:r>
      <w:r>
        <w:rPr>
          <w:rFonts w:hint="default" w:ascii="仿宋_GB2312" w:hAnsi="ˎ̥" w:eastAsia="仿宋_GB2312" w:cs="仿宋_GB2312"/>
          <w:kern w:val="0"/>
          <w:sz w:val="32"/>
          <w:szCs w:val="32"/>
        </w:rPr>
        <w:t>三公</w:t>
      </w:r>
      <w:r>
        <w:rPr>
          <w:rFonts w:hint="eastAsia" w:ascii="仿宋_GB2312" w:hAnsi="仿宋_GB2312" w:eastAsia="仿宋_GB2312" w:cs="仿宋_GB2312"/>
          <w:kern w:val="0"/>
          <w:sz w:val="32"/>
          <w:szCs w:val="32"/>
        </w:rPr>
        <w:t>”</w:t>
      </w:r>
      <w:r>
        <w:rPr>
          <w:rFonts w:hint="default" w:ascii="仿宋_GB2312" w:hAnsi="ˎ̥" w:eastAsia="仿宋_GB2312" w:cs="仿宋_GB2312"/>
          <w:kern w:val="0"/>
          <w:sz w:val="32"/>
          <w:szCs w:val="32"/>
        </w:rPr>
        <w:t>经费支出预算为</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万元，支出决算为</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w:t>
      </w:r>
    </w:p>
    <w:p>
      <w:pPr>
        <w:keepNext w:val="0"/>
        <w:keepLines w:val="0"/>
        <w:widowControl/>
        <w:suppressLineNumbers w:val="0"/>
        <w:spacing w:before="0" w:beforeAutospacing="1" w:after="0" w:afterAutospacing="1"/>
        <w:ind w:left="0" w:right="0"/>
        <w:jc w:val="both"/>
        <w:rPr>
          <w:rFonts w:hint="eastAsia" w:ascii="楷体" w:hAnsi="楷体" w:eastAsia="楷体" w:cs="楷体"/>
          <w:kern w:val="0"/>
          <w:sz w:val="32"/>
          <w:szCs w:val="32"/>
        </w:rPr>
      </w:pPr>
      <w:r>
        <w:rPr>
          <w:rFonts w:hint="eastAsia" w:ascii="楷体" w:hAnsi="楷体" w:eastAsia="楷体" w:cs="楷体"/>
          <w:b/>
          <w:bCs/>
          <w:kern w:val="0"/>
          <w:sz w:val="32"/>
          <w:szCs w:val="32"/>
        </w:rPr>
        <w:t xml:space="preserve">   </w:t>
      </w:r>
      <w:r>
        <w:rPr>
          <w:rFonts w:hint="eastAsia" w:ascii="楷体" w:hAnsi="楷体" w:eastAsia="楷体" w:cs="楷体"/>
          <w:kern w:val="0"/>
          <w:sz w:val="32"/>
          <w:szCs w:val="32"/>
        </w:rPr>
        <w:t xml:space="preserve"> （二）财政拨款“三公”经费支出决算具体情况说明。</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2022年度财政拨款</w:t>
      </w:r>
      <w:r>
        <w:rPr>
          <w:rFonts w:hint="eastAsia" w:ascii="仿宋_GB2312" w:hAnsi="仿宋_GB2312" w:eastAsia="仿宋_GB2312" w:cs="仿宋_GB2312"/>
          <w:kern w:val="0"/>
          <w:sz w:val="32"/>
          <w:szCs w:val="32"/>
        </w:rPr>
        <w:t>“</w:t>
      </w:r>
      <w:r>
        <w:rPr>
          <w:rFonts w:hint="default" w:ascii="仿宋_GB2312" w:hAnsi="ˎ̥" w:eastAsia="仿宋_GB2312" w:cs="仿宋_GB2312"/>
          <w:kern w:val="0"/>
          <w:sz w:val="32"/>
          <w:szCs w:val="32"/>
        </w:rPr>
        <w:t>三公</w:t>
      </w:r>
      <w:r>
        <w:rPr>
          <w:rFonts w:hint="eastAsia" w:ascii="仿宋_GB2312" w:hAnsi="仿宋_GB2312" w:eastAsia="仿宋_GB2312" w:cs="仿宋_GB2312"/>
          <w:kern w:val="0"/>
          <w:sz w:val="32"/>
          <w:szCs w:val="32"/>
        </w:rPr>
        <w:t>”</w:t>
      </w:r>
      <w:r>
        <w:rPr>
          <w:rFonts w:hint="default" w:ascii="仿宋_GB2312" w:hAnsi="ˎ̥" w:eastAsia="仿宋_GB2312" w:cs="仿宋_GB2312"/>
          <w:kern w:val="0"/>
          <w:sz w:val="32"/>
          <w:szCs w:val="32"/>
        </w:rPr>
        <w:t>经费支出决算中，因公出国（境）费支出决算</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万元，占0%；公务用车购置及运行维护费支出决算</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万元，占0%；公务接待费支出决算</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万元，占0%。具体情况如下：</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1.因公出国（境）费</w:t>
      </w:r>
      <w:r>
        <w:rPr>
          <w:rFonts w:hint="default" w:ascii="仿宋_GB2312" w:hAnsi="ˎ̥" w:eastAsia="仿宋_GB2312" w:cs="仿宋_GB2312"/>
          <w:kern w:val="0"/>
          <w:sz w:val="32"/>
          <w:szCs w:val="32"/>
        </w:rPr>
        <w:t>支出</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万元。全年安排因公出国（境）团组0个，因公出国（境）0人次。</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因公出国（境）费支出决算与预算数一致，均为0万元。</w:t>
      </w:r>
    </w:p>
    <w:p>
      <w:pPr>
        <w:keepNext w:val="0"/>
        <w:keepLines w:val="0"/>
        <w:widowControl/>
        <w:suppressLineNumbers w:val="0"/>
        <w:spacing w:before="0" w:beforeAutospacing="1" w:after="0" w:afterAutospacing="1"/>
        <w:ind w:left="0" w:right="0"/>
        <w:jc w:val="both"/>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 xml:space="preserve">    2.公务用车购置及运行维护费支出</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万元。其中：</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公务用车购置支出</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万元，全年购置公务用车0辆，年末公务用车保有量0辆。</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公务用车运行维护费支出</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bCs/>
          <w:kern w:val="0"/>
          <w:sz w:val="32"/>
          <w:szCs w:val="32"/>
        </w:rPr>
      </w:pPr>
      <w:r>
        <w:rPr>
          <w:rFonts w:hint="default" w:ascii="仿宋_GB2312" w:hAnsi="ˎ̥" w:eastAsia="仿宋_GB2312" w:cs="仿宋_GB2312"/>
          <w:bCs/>
          <w:kern w:val="0"/>
          <w:sz w:val="32"/>
          <w:szCs w:val="32"/>
        </w:rPr>
        <w:t>公务用车购置及运行费支出决算数</w:t>
      </w:r>
      <w:r>
        <w:rPr>
          <w:rFonts w:hint="default" w:ascii="仿宋_GB2312" w:hAnsi="ˎ̥" w:eastAsia="仿宋_GB2312" w:cs="仿宋_GB2312"/>
          <w:kern w:val="0"/>
          <w:sz w:val="32"/>
          <w:szCs w:val="32"/>
        </w:rPr>
        <w:t>与预算数一致，均为0万元。</w:t>
      </w:r>
    </w:p>
    <w:p>
      <w:pPr>
        <w:keepNext w:val="0"/>
        <w:keepLines w:val="0"/>
        <w:widowControl/>
        <w:suppressLineNumbers w:val="0"/>
        <w:spacing w:before="0" w:beforeAutospacing="1" w:after="0" w:afterAutospacing="1"/>
        <w:ind w:left="0" w:right="0"/>
        <w:jc w:val="both"/>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 xml:space="preserve">    3.公务接待费支出</w:t>
      </w:r>
      <w:r>
        <w:rPr>
          <w:rFonts w:hint="default" w:ascii="仿宋_GB2312" w:hAnsi="宋体" w:eastAsia="仿宋_GB2312" w:cs="仿宋_GB2312"/>
          <w:kern w:val="0"/>
          <w:sz w:val="32"/>
          <w:szCs w:val="32"/>
        </w:rPr>
        <w:t>0</w:t>
      </w:r>
      <w:r>
        <w:rPr>
          <w:rFonts w:hint="default" w:ascii="仿宋_GB2312" w:hAnsi="ˎ̥" w:eastAsia="仿宋_GB2312" w:cs="仿宋_GB2312"/>
          <w:kern w:val="0"/>
          <w:sz w:val="32"/>
          <w:szCs w:val="32"/>
        </w:rPr>
        <w:t>万元，其中：</w:t>
      </w:r>
    </w:p>
    <w:p>
      <w:pPr>
        <w:keepNext w:val="0"/>
        <w:keepLines w:val="0"/>
        <w:widowControl/>
        <w:suppressLineNumbers w:val="0"/>
        <w:spacing w:before="0" w:beforeAutospacing="1" w:after="0" w:afterAutospacing="1"/>
        <w:ind w:left="0" w:right="0" w:firstLine="643" w:firstLineChars="200"/>
        <w:jc w:val="both"/>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国内接待费</w:t>
      </w:r>
      <w:r>
        <w:rPr>
          <w:rFonts w:hint="default" w:ascii="仿宋_GB2312" w:hAnsi="ˎ̥" w:eastAsia="仿宋_GB2312" w:cs="仿宋_GB2312"/>
          <w:kern w:val="0"/>
          <w:sz w:val="32"/>
          <w:szCs w:val="32"/>
        </w:rPr>
        <w:t>支出0万元，国内公务接待0批次，接待0人次。</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国（境）外接待费支出0万元，国（境）外公务接待0批次，接待0人次。</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公务接待费支出决算数与预算数一致，均为0万元。</w:t>
      </w:r>
    </w:p>
    <w:p>
      <w:pPr>
        <w:keepNext w:val="0"/>
        <w:keepLines w:val="0"/>
        <w:widowControl/>
        <w:suppressLineNumbers w:val="0"/>
        <w:spacing w:before="0" w:beforeAutospacing="1" w:after="0" w:afterAutospacing="1"/>
        <w:ind w:left="0" w:right="0" w:firstLine="640" w:firstLineChars="200"/>
        <w:jc w:val="both"/>
        <w:outlineLvl w:val="1"/>
        <w:rPr>
          <w:rFonts w:hint="eastAsia" w:ascii="黑体" w:hAnsi="宋体" w:eastAsia="黑体" w:cs="黑体"/>
          <w:bCs/>
          <w:kern w:val="0"/>
          <w:sz w:val="32"/>
          <w:szCs w:val="32"/>
        </w:rPr>
      </w:pPr>
      <w:bookmarkStart w:id="27" w:name="_Toc12717"/>
      <w:bookmarkEnd w:id="27"/>
      <w:bookmarkStart w:id="28" w:name="_Toc18403"/>
      <w:r>
        <w:rPr>
          <w:rFonts w:hint="eastAsia" w:ascii="黑体" w:hAnsi="宋体" w:eastAsia="黑体" w:cs="黑体"/>
          <w:bCs/>
          <w:kern w:val="0"/>
          <w:sz w:val="32"/>
          <w:szCs w:val="32"/>
        </w:rPr>
        <w:t>十、预算绩效情况说明</w:t>
      </w:r>
      <w:bookmarkEnd w:id="28"/>
    </w:p>
    <w:p>
      <w:pPr>
        <w:keepNext w:val="0"/>
        <w:keepLines w:val="0"/>
        <w:widowControl/>
        <w:suppressLineNumbers w:val="0"/>
        <w:spacing w:before="0" w:beforeAutospacing="1" w:after="0" w:afterAutospacing="1" w:line="578" w:lineRule="exact"/>
        <w:ind w:left="0" w:right="0" w:firstLine="640" w:firstLineChars="200"/>
        <w:jc w:val="both"/>
        <w:rPr>
          <w:rFonts w:hint="eastAsia" w:ascii="楷体" w:hAnsi="楷体" w:eastAsia="楷体" w:cs="楷体"/>
          <w:bCs/>
          <w:kern w:val="0"/>
          <w:sz w:val="32"/>
          <w:szCs w:val="32"/>
        </w:rPr>
      </w:pPr>
      <w:r>
        <w:rPr>
          <w:rFonts w:hint="eastAsia" w:ascii="楷体" w:hAnsi="楷体" w:eastAsia="楷体" w:cs="楷体"/>
          <w:bCs/>
          <w:kern w:val="0"/>
          <w:sz w:val="32"/>
          <w:szCs w:val="32"/>
        </w:rPr>
        <w:t>（一）绩效管理工作开展情况。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根据预算管理要求，我单位组织对2022年度一般公共预算项目支出全面开展绩效自评。其中，自评项目9个，共涉及资金</w:t>
      </w:r>
      <w:r>
        <w:rPr>
          <w:rFonts w:hint="default" w:ascii="仿宋_GB2312" w:hAnsi="宋体" w:eastAsia="仿宋_GB2312" w:cs="仿宋_GB2312"/>
          <w:kern w:val="0"/>
          <w:sz w:val="32"/>
          <w:szCs w:val="32"/>
          <w:highlight w:val="none"/>
        </w:rPr>
        <w:t>340.14万</w:t>
      </w:r>
      <w:r>
        <w:rPr>
          <w:rFonts w:hint="default" w:ascii="仿宋_GB2312" w:hAnsi="宋体" w:eastAsia="仿宋_GB2312" w:cs="仿宋_GB2312"/>
          <w:kern w:val="0"/>
          <w:sz w:val="32"/>
          <w:szCs w:val="32"/>
        </w:rPr>
        <w:t>元，占一般公共预算项目支出总额的100%。组织对2022年度0个政府性基金预算项目开展绩效自评，共涉及资金0万元，占政府性基金预算项目支出总额的0%。组织对2022年度0个国有资本经营预算项目开展绩效自评，共涉及资金 0万元，占国有资本经营预算项目支出总额的0%。</w:t>
      </w:r>
    </w:p>
    <w:p>
      <w:pPr>
        <w:keepNext w:val="0"/>
        <w:keepLines w:val="0"/>
        <w:widowControl/>
        <w:suppressLineNumbers w:val="0"/>
        <w:spacing w:before="0" w:beforeAutospacing="1" w:after="0" w:afterAutospacing="1" w:line="578" w:lineRule="exact"/>
        <w:ind w:left="0" w:right="0" w:firstLine="640" w:firstLineChars="200"/>
        <w:jc w:val="both"/>
        <w:rPr>
          <w:rFonts w:hint="eastAsia" w:ascii="楷体" w:hAnsi="楷体" w:eastAsia="楷体" w:cs="楷体"/>
          <w:bCs/>
          <w:kern w:val="0"/>
          <w:sz w:val="32"/>
          <w:szCs w:val="32"/>
        </w:rPr>
      </w:pPr>
      <w:r>
        <w:rPr>
          <w:rFonts w:hint="eastAsia" w:ascii="楷体" w:hAnsi="楷体" w:eastAsia="楷体" w:cs="楷体"/>
          <w:bCs/>
          <w:kern w:val="0"/>
          <w:sz w:val="32"/>
          <w:szCs w:val="32"/>
        </w:rPr>
        <w:t>（二）部门决算中项目绩效自评结果。</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我单位在部门决算中反映</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教育发展专项资金</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w:t>
      </w:r>
      <w:r>
        <w:rPr>
          <w:rFonts w:hint="eastAsia" w:ascii="仿宋_GB2312" w:hAnsi="宋体" w:eastAsia="仿宋_GB2312" w:cs="仿宋_GB2312"/>
          <w:kern w:val="0"/>
          <w:sz w:val="32"/>
          <w:szCs w:val="32"/>
        </w:rPr>
        <w:t>“</w:t>
      </w:r>
      <w:r>
        <w:rPr>
          <w:rFonts w:hint="default" w:ascii="仿宋_GB2312" w:hAnsi="宋体" w:eastAsia="仿宋_GB2312" w:cs="仿宋_GB2312"/>
          <w:kern w:val="0"/>
          <w:sz w:val="32"/>
          <w:szCs w:val="32"/>
        </w:rPr>
        <w:t>幼儿园室内视频监控系统的购置安装</w:t>
      </w:r>
      <w:r>
        <w:rPr>
          <w:rFonts w:hint="eastAsia" w:ascii="仿宋_GB2312" w:hAnsi="宋体" w:eastAsia="仿宋_GB2312" w:cs="仿宋_GB2312"/>
          <w:kern w:val="0"/>
          <w:sz w:val="32"/>
          <w:szCs w:val="32"/>
        </w:rPr>
        <w:t>”</w:t>
      </w:r>
      <w:r>
        <w:rPr>
          <w:rFonts w:hint="default" w:ascii="仿宋_GB2312" w:hAnsi="宋体" w:eastAsia="仿宋_GB2312" w:cs="仿宋_GB2312"/>
          <w:kern w:val="0"/>
          <w:sz w:val="32"/>
          <w:szCs w:val="32"/>
        </w:rPr>
        <w:t>等6个项目绩效自评结果。</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shd w:val="clear" w:fill="FFFFFF"/>
        </w:rPr>
        <w:t>教育发展专项资金</w:t>
      </w:r>
      <w:r>
        <w:rPr>
          <w:rFonts w:hint="default" w:ascii="仿宋_GB2312" w:hAnsi="宋体" w:eastAsia="仿宋_GB2312" w:cs="仿宋_GB2312"/>
          <w:kern w:val="0"/>
          <w:sz w:val="32"/>
          <w:szCs w:val="32"/>
        </w:rPr>
        <w:t>项目绩效自评综述：根据年初设定的绩效目标，项目绩效自评得分为100分。全年预算数为52.92万元，执行数为52.92万元，完成预算的100%。项目绩效目标完成情况：一是工程完成初步验收；二是改善了幼儿园户外环境，为幼儿提供一个更具备教育功能的学习生活环境场所。</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shd w:val="clear" w:fill="FFFFFF"/>
        </w:rPr>
        <w:t>幼儿园室内视频监控系统的购置安装</w:t>
      </w:r>
      <w:r>
        <w:rPr>
          <w:rFonts w:hint="default" w:ascii="仿宋_GB2312" w:hAnsi="宋体" w:eastAsia="仿宋_GB2312" w:cs="仿宋_GB2312"/>
          <w:kern w:val="0"/>
          <w:sz w:val="32"/>
          <w:szCs w:val="32"/>
        </w:rPr>
        <w:t>项目绩效自评综述：根据年初设定的绩效目标，项目绩效自评得分为98.72分。全年预算数为51.6万元，执行数为45万元，完成预算的87</w:t>
      </w:r>
      <w:r>
        <w:rPr>
          <w:rFonts w:hint="eastAsia" w:ascii="仿宋_GB2312" w:eastAsia="仿宋_GB2312" w:cs="仿宋_GB2312"/>
          <w:kern w:val="0"/>
          <w:sz w:val="32"/>
          <w:szCs w:val="32"/>
          <w:lang w:val="en-US" w:eastAsia="zh-CN"/>
        </w:rPr>
        <w:t>.2</w:t>
      </w:r>
      <w:r>
        <w:rPr>
          <w:rFonts w:hint="default" w:ascii="仿宋_GB2312" w:hAnsi="宋体" w:eastAsia="仿宋_GB2312" w:cs="仿宋_GB2312"/>
          <w:kern w:val="0"/>
          <w:sz w:val="32"/>
          <w:szCs w:val="32"/>
        </w:rPr>
        <w:t>%。项目绩效目标完成情况：一是按时完成幼儿园室内视频监控系统的购置安装；二是完善幼儿园视频监控设备，加强了幼儿园的安全管理，降低幼儿园室内安全隐患，提高幼儿及教职工的安全保障。发现的主要问题及原因：</w:t>
      </w:r>
      <w:r>
        <w:rPr>
          <w:rFonts w:hint="default" w:ascii="仿宋_GB2312" w:hAnsi="仿宋" w:eastAsia="仿宋_GB2312" w:cs="仿宋_GB2312"/>
          <w:kern w:val="0"/>
          <w:sz w:val="32"/>
          <w:szCs w:val="32"/>
        </w:rPr>
        <w:t>未提前做好项目前期工作，导致项目预算审核与中标金额低于年初申报财政预算金额</w:t>
      </w:r>
      <w:r>
        <w:rPr>
          <w:rFonts w:hint="eastAsia" w:ascii="仿宋" w:hAnsi="仿宋" w:eastAsia="仿宋" w:cs="仿宋"/>
          <w:kern w:val="0"/>
          <w:sz w:val="32"/>
          <w:szCs w:val="32"/>
        </w:rPr>
        <w:t>，从而影响了项目执行率</w:t>
      </w:r>
      <w:r>
        <w:rPr>
          <w:rFonts w:hint="default" w:ascii="仿宋_GB2312" w:hAnsi="宋体" w:eastAsia="仿宋_GB2312" w:cs="仿宋_GB2312"/>
          <w:kern w:val="0"/>
          <w:sz w:val="32"/>
          <w:szCs w:val="32"/>
        </w:rPr>
        <w:t>。下一步改进措施：</w:t>
      </w:r>
      <w:r>
        <w:rPr>
          <w:rFonts w:hint="default" w:ascii="仿宋_GB2312" w:hAnsi="仿宋" w:eastAsia="仿宋_GB2312" w:cs="仿宋_GB2312"/>
          <w:kern w:val="0"/>
          <w:sz w:val="32"/>
          <w:szCs w:val="32"/>
        </w:rPr>
        <w:t>应做好项目前期准备工作，避免申报预算金额过高</w:t>
      </w:r>
      <w:r>
        <w:rPr>
          <w:rFonts w:hint="default" w:ascii="仿宋_GB2312" w:hAnsi="宋体" w:eastAsia="仿宋_GB2312" w:cs="仿宋_GB2312"/>
          <w:kern w:val="0"/>
          <w:sz w:val="32"/>
          <w:szCs w:val="32"/>
        </w:rPr>
        <w:t>。</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仿宋_GB2312"/>
          <w:color w:val="FF0000"/>
          <w:kern w:val="0"/>
          <w:sz w:val="32"/>
          <w:szCs w:val="32"/>
        </w:rPr>
      </w:pPr>
      <w:r>
        <w:rPr>
          <w:rFonts w:hint="default" w:ascii="仿宋_GB2312" w:hAnsi="宋体" w:eastAsia="仿宋_GB2312" w:cs="仿宋_GB2312"/>
          <w:kern w:val="0"/>
          <w:sz w:val="32"/>
          <w:szCs w:val="32"/>
          <w:shd w:val="clear" w:fill="FFFFFF"/>
        </w:rPr>
        <w:t>幼儿园公共广播系统的购置安装</w:t>
      </w:r>
      <w:r>
        <w:rPr>
          <w:rFonts w:hint="default" w:ascii="仿宋_GB2312" w:hAnsi="宋体" w:eastAsia="仿宋_GB2312" w:cs="仿宋_GB2312"/>
          <w:kern w:val="0"/>
          <w:sz w:val="32"/>
          <w:szCs w:val="32"/>
        </w:rPr>
        <w:t>项目绩效自评综述：根据年初设定的绩效目标，项目绩效自评得分为99.53分。全年预算数为18.17万元，执行数为17.31万元，完成预算的95</w:t>
      </w:r>
      <w:r>
        <w:rPr>
          <w:rFonts w:hint="eastAsia" w:ascii="仿宋_GB2312" w:eastAsia="仿宋_GB2312" w:cs="仿宋_GB2312"/>
          <w:kern w:val="0"/>
          <w:sz w:val="32"/>
          <w:szCs w:val="32"/>
          <w:lang w:val="en-US" w:eastAsia="zh-CN"/>
        </w:rPr>
        <w:t>.3</w:t>
      </w:r>
      <w:r>
        <w:rPr>
          <w:rFonts w:hint="default" w:ascii="仿宋_GB2312" w:hAnsi="宋体" w:eastAsia="仿宋_GB2312" w:cs="仿宋_GB2312"/>
          <w:kern w:val="0"/>
          <w:sz w:val="32"/>
          <w:szCs w:val="32"/>
        </w:rPr>
        <w:t>%。项目绩效目标完成情况：一是按时完成幼儿园</w:t>
      </w:r>
      <w:r>
        <w:rPr>
          <w:rFonts w:hint="default" w:ascii="仿宋_GB2312" w:hAnsi="宋体" w:eastAsia="仿宋_GB2312" w:cs="仿宋_GB2312"/>
          <w:kern w:val="0"/>
          <w:sz w:val="32"/>
          <w:szCs w:val="32"/>
          <w:shd w:val="clear" w:fill="FFFFFF"/>
        </w:rPr>
        <w:t>公共广播系统</w:t>
      </w:r>
      <w:r>
        <w:rPr>
          <w:rFonts w:hint="default" w:ascii="仿宋_GB2312" w:hAnsi="宋体" w:eastAsia="仿宋_GB2312" w:cs="仿宋_GB2312"/>
          <w:kern w:val="0"/>
          <w:sz w:val="32"/>
          <w:szCs w:val="32"/>
        </w:rPr>
        <w:t>的购置安装；二是幼儿园新增公共广播系统设备，使得幼儿园场地和环境更加具备教育功能，更适合开展教育活动。</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shd w:val="clear" w:fill="FFFFFF"/>
        </w:rPr>
        <w:t>幼儿园户外改造项目</w:t>
      </w:r>
      <w:r>
        <w:rPr>
          <w:rFonts w:hint="default" w:ascii="仿宋_GB2312" w:hAnsi="宋体" w:eastAsia="仿宋_GB2312" w:cs="仿宋_GB2312"/>
          <w:kern w:val="0"/>
          <w:sz w:val="32"/>
          <w:szCs w:val="32"/>
        </w:rPr>
        <w:t>绩效自评综述：根据年初设定的绩效目标，项目绩效自评得分为100分。全年预算数为136.74万元，执行数为136.74万元，完成预算的100%。项目绩效目标完成情况：幼儿园户外改造项目完成初步验收，为幼儿创造一个更具备教育功能的学习生活环境。</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shd w:val="clear" w:fill="FFFFFF"/>
        </w:rPr>
        <w:t>幼儿园室内改造项目</w:t>
      </w:r>
      <w:r>
        <w:rPr>
          <w:rFonts w:hint="default" w:ascii="仿宋_GB2312" w:hAnsi="宋体" w:eastAsia="仿宋_GB2312" w:cs="仿宋_GB2312"/>
          <w:kern w:val="0"/>
          <w:sz w:val="32"/>
          <w:szCs w:val="32"/>
        </w:rPr>
        <w:t>绩效自评综述：根据年初设定的绩效目标，项目绩效自评得分为100分。全年预算数为13.2万元，执行数为13.2万元，完成预算的100%。项目绩效目标完成情况：完成幼儿园室内改造项目施工图审核及预算编制、审核前期准备工作，有序推进项目实施。</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shd w:val="clear" w:fill="FFFFFF"/>
        </w:rPr>
        <w:t>公办幼儿园运行补助项目</w:t>
      </w:r>
      <w:r>
        <w:rPr>
          <w:rFonts w:hint="default" w:ascii="仿宋_GB2312" w:hAnsi="宋体" w:eastAsia="仿宋_GB2312" w:cs="仿宋_GB2312"/>
          <w:kern w:val="0"/>
          <w:sz w:val="32"/>
          <w:szCs w:val="32"/>
        </w:rPr>
        <w:t>绩效自评综述：根据年初设定的绩效目标，项目绩效自评得分为100分。全年预算数为19万元，执行数为18.99万元，完成预</w:t>
      </w:r>
      <w:r>
        <w:rPr>
          <w:rFonts w:hint="default" w:ascii="仿宋_GB2312" w:hAnsi="宋体" w:eastAsia="仿宋_GB2312" w:cs="仿宋_GB2312"/>
          <w:color w:val="auto"/>
          <w:kern w:val="0"/>
          <w:sz w:val="32"/>
          <w:szCs w:val="32"/>
          <w:highlight w:val="none"/>
        </w:rPr>
        <w:t>算的99.9%。</w:t>
      </w:r>
      <w:r>
        <w:rPr>
          <w:rFonts w:hint="default" w:ascii="仿宋_GB2312" w:hAnsi="宋体" w:eastAsia="仿宋_GB2312" w:cs="仿宋_GB2312"/>
          <w:kern w:val="0"/>
          <w:sz w:val="32"/>
          <w:szCs w:val="32"/>
        </w:rPr>
        <w:t>项目绩效目标完成情况：保障编外聘用人员经费，弥补公用经费不足，保障幼儿园日常运转。</w:t>
      </w:r>
    </w:p>
    <w:p>
      <w:pPr>
        <w:keepNext w:val="0"/>
        <w:keepLines w:val="0"/>
        <w:widowControl/>
        <w:suppressLineNumbers w:val="0"/>
        <w:spacing w:before="0" w:beforeAutospacing="1" w:after="0" w:afterAutospacing="1" w:line="578" w:lineRule="exact"/>
        <w:ind w:left="0" w:right="0" w:firstLine="640" w:firstLineChars="200"/>
        <w:jc w:val="both"/>
        <w:rPr>
          <w:rFonts w:hint="eastAsia" w:ascii="楷体" w:hAnsi="楷体" w:eastAsia="楷体" w:cs="楷体"/>
          <w:bCs/>
          <w:kern w:val="0"/>
          <w:sz w:val="32"/>
          <w:szCs w:val="32"/>
        </w:rPr>
      </w:pPr>
      <w:r>
        <w:rPr>
          <w:rFonts w:hint="eastAsia" w:ascii="楷体" w:hAnsi="楷体" w:eastAsia="楷体" w:cs="楷体"/>
          <w:bCs/>
          <w:kern w:val="0"/>
          <w:sz w:val="32"/>
          <w:szCs w:val="32"/>
        </w:rPr>
        <w:t>（三）部门评价结果。</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仿宋_GB2312"/>
          <w:kern w:val="0"/>
          <w:sz w:val="32"/>
          <w:szCs w:val="32"/>
        </w:rPr>
      </w:pPr>
      <w:r>
        <w:rPr>
          <w:rFonts w:hint="eastAsia" w:ascii="仿宋_GB2312" w:eastAsia="仿宋_GB2312" w:cs="仿宋_GB2312"/>
          <w:kern w:val="0"/>
          <w:sz w:val="32"/>
          <w:szCs w:val="32"/>
          <w:lang w:val="en-US" w:eastAsia="zh-CN"/>
        </w:rPr>
        <w:t>琼台师范学院附属桂林洋幼儿隶属</w:t>
      </w:r>
      <w:r>
        <w:rPr>
          <w:rFonts w:hint="eastAsia" w:ascii="仿宋_GB2312" w:eastAsia="仿宋_GB2312" w:cs="仿宋_GB2312"/>
          <w:kern w:val="0"/>
          <w:sz w:val="32"/>
          <w:szCs w:val="32"/>
          <w:highlight w:val="none"/>
          <w:lang w:val="en-US" w:eastAsia="zh-CN"/>
        </w:rPr>
        <w:t>三级预</w:t>
      </w:r>
      <w:r>
        <w:rPr>
          <w:rFonts w:hint="eastAsia" w:ascii="仿宋_GB2312" w:eastAsia="仿宋_GB2312" w:cs="仿宋_GB2312"/>
          <w:kern w:val="0"/>
          <w:sz w:val="32"/>
          <w:szCs w:val="32"/>
          <w:lang w:val="en-US" w:eastAsia="zh-CN"/>
        </w:rPr>
        <w:t>算单位，不需填写2022年部门决算中项目绩效部门评价</w:t>
      </w:r>
      <w:r>
        <w:rPr>
          <w:rFonts w:hint="default" w:ascii="仿宋_GB2312" w:hAnsi="宋体" w:eastAsia="仿宋_GB2312" w:cs="仿宋_GB2312"/>
          <w:kern w:val="0"/>
          <w:sz w:val="32"/>
          <w:szCs w:val="32"/>
        </w:rPr>
        <w:t>。</w:t>
      </w:r>
    </w:p>
    <w:p>
      <w:pPr>
        <w:keepNext w:val="0"/>
        <w:keepLines w:val="0"/>
        <w:widowControl/>
        <w:suppressLineNumbers w:val="0"/>
        <w:spacing w:before="0" w:beforeAutospacing="1" w:after="0" w:afterAutospacing="1" w:line="578" w:lineRule="exact"/>
        <w:ind w:left="0" w:right="0" w:firstLine="640" w:firstLineChars="200"/>
        <w:jc w:val="both"/>
        <w:rPr>
          <w:rFonts w:hint="eastAsia" w:ascii="楷体" w:hAnsi="楷体" w:eastAsia="楷体" w:cs="楷体"/>
          <w:bCs/>
          <w:kern w:val="0"/>
          <w:sz w:val="32"/>
          <w:szCs w:val="32"/>
        </w:rPr>
      </w:pPr>
      <w:r>
        <w:rPr>
          <w:rFonts w:hint="eastAsia" w:ascii="楷体" w:hAnsi="楷体" w:eastAsia="楷体" w:cs="楷体"/>
          <w:bCs/>
          <w:kern w:val="0"/>
          <w:sz w:val="32"/>
          <w:szCs w:val="32"/>
        </w:rPr>
        <w:t>（四）财政评价结果。</w:t>
      </w:r>
    </w:p>
    <w:p>
      <w:pPr>
        <w:keepNext w:val="0"/>
        <w:keepLines w:val="0"/>
        <w:widowControl/>
        <w:suppressLineNumbers w:val="0"/>
        <w:spacing w:before="0" w:beforeAutospacing="1" w:after="0" w:afterAutospacing="1"/>
        <w:ind w:left="0" w:right="0" w:firstLine="640" w:firstLineChars="200"/>
        <w:jc w:val="both"/>
        <w:rPr>
          <w:rFonts w:hint="default" w:ascii="仿宋_GB2312" w:hAnsi="宋体" w:eastAsia="仿宋_GB2312" w:cs="仿宋_GB2312"/>
          <w:kern w:val="0"/>
          <w:sz w:val="32"/>
          <w:szCs w:val="32"/>
        </w:rPr>
      </w:pPr>
      <w:r>
        <w:rPr>
          <w:rFonts w:hint="eastAsia" w:ascii="仿宋_GB2312" w:eastAsia="仿宋_GB2312" w:cs="仿宋_GB2312"/>
          <w:kern w:val="0"/>
          <w:sz w:val="32"/>
          <w:szCs w:val="32"/>
          <w:lang w:val="en-US" w:eastAsia="zh-CN"/>
        </w:rPr>
        <w:t>琼台师范学院附属桂林洋幼儿隶属</w:t>
      </w:r>
      <w:r>
        <w:rPr>
          <w:rFonts w:hint="eastAsia" w:ascii="仿宋_GB2312" w:eastAsia="仿宋_GB2312" w:cs="仿宋_GB2312"/>
          <w:kern w:val="0"/>
          <w:sz w:val="32"/>
          <w:szCs w:val="32"/>
          <w:highlight w:val="none"/>
          <w:lang w:val="en-US" w:eastAsia="zh-CN"/>
        </w:rPr>
        <w:t>三级预</w:t>
      </w:r>
      <w:r>
        <w:rPr>
          <w:rFonts w:hint="eastAsia" w:ascii="仿宋_GB2312" w:eastAsia="仿宋_GB2312" w:cs="仿宋_GB2312"/>
          <w:kern w:val="0"/>
          <w:sz w:val="32"/>
          <w:szCs w:val="32"/>
          <w:lang w:val="en-US" w:eastAsia="zh-CN"/>
        </w:rPr>
        <w:t>算单位，2022年部门决算中项目绩效未进行财政评价</w:t>
      </w:r>
      <w:r>
        <w:rPr>
          <w:rFonts w:hint="default" w:ascii="仿宋_GB2312" w:hAnsi="宋体" w:eastAsia="仿宋_GB2312" w:cs="仿宋_GB2312"/>
          <w:kern w:val="0"/>
          <w:sz w:val="32"/>
          <w:szCs w:val="32"/>
        </w:rPr>
        <w:t>。</w:t>
      </w:r>
    </w:p>
    <w:p>
      <w:pPr>
        <w:keepNext w:val="0"/>
        <w:keepLines w:val="0"/>
        <w:widowControl/>
        <w:suppressLineNumbers w:val="0"/>
        <w:spacing w:before="0" w:beforeAutospacing="1" w:after="0" w:afterAutospacing="1"/>
        <w:ind w:left="0" w:right="0" w:firstLine="640" w:firstLineChars="200"/>
        <w:jc w:val="both"/>
        <w:outlineLvl w:val="1"/>
        <w:rPr>
          <w:rFonts w:hint="eastAsia" w:ascii="黑体" w:hAnsi="宋体" w:eastAsia="黑体" w:cs="黑体"/>
          <w:bCs/>
          <w:kern w:val="0"/>
          <w:sz w:val="32"/>
          <w:szCs w:val="32"/>
        </w:rPr>
      </w:pPr>
      <w:bookmarkStart w:id="29" w:name="_Toc1274"/>
      <w:bookmarkEnd w:id="29"/>
      <w:bookmarkStart w:id="30" w:name="_Toc4254"/>
      <w:r>
        <w:rPr>
          <w:rFonts w:hint="eastAsia" w:ascii="黑体" w:hAnsi="宋体" w:eastAsia="黑体" w:cs="黑体"/>
          <w:bCs/>
          <w:kern w:val="0"/>
          <w:sz w:val="32"/>
          <w:szCs w:val="32"/>
        </w:rPr>
        <w:t>十一、其他重要事项情况说明</w:t>
      </w:r>
      <w:bookmarkEnd w:id="30"/>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bCs/>
          <w:kern w:val="0"/>
          <w:sz w:val="32"/>
          <w:szCs w:val="32"/>
        </w:rPr>
      </w:pPr>
      <w:r>
        <w:rPr>
          <w:rFonts w:hint="eastAsia" w:ascii="楷体" w:hAnsi="楷体" w:eastAsia="楷体" w:cs="楷体"/>
          <w:bCs/>
          <w:kern w:val="0"/>
          <w:sz w:val="32"/>
          <w:szCs w:val="32"/>
        </w:rPr>
        <w:t>（一）机关运行经费支出情况。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shd w:val="clear" w:fill="FFFFFF"/>
        </w:rPr>
        <w:t>琼台师范学院附属桂林洋幼儿园为事业单位，无机关运行经费支出。</w:t>
      </w:r>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bCs/>
          <w:kern w:val="0"/>
          <w:sz w:val="32"/>
          <w:szCs w:val="32"/>
        </w:rPr>
      </w:pPr>
      <w:r>
        <w:rPr>
          <w:rFonts w:hint="eastAsia" w:ascii="楷体" w:hAnsi="楷体" w:eastAsia="楷体" w:cs="楷体"/>
          <w:bCs/>
          <w:kern w:val="0"/>
          <w:sz w:val="32"/>
          <w:szCs w:val="32"/>
        </w:rPr>
        <w:t>（二）政府采购支出情况。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宋体"/>
          <w:kern w:val="0"/>
          <w:sz w:val="32"/>
          <w:szCs w:val="32"/>
        </w:rPr>
      </w:pPr>
      <w:r>
        <w:rPr>
          <w:rFonts w:hint="default" w:ascii="仿宋_GB2312" w:hAnsi="ˎ̥" w:eastAsia="仿宋_GB2312" w:cs="仿宋_GB2312"/>
          <w:kern w:val="0"/>
          <w:sz w:val="32"/>
          <w:szCs w:val="32"/>
        </w:rPr>
        <w:t>2022年度</w:t>
      </w:r>
      <w:r>
        <w:rPr>
          <w:rFonts w:hint="default" w:ascii="仿宋_GB2312" w:hAnsi="ˎ̥" w:eastAsia="仿宋_GB2312" w:cs="仿宋_GB2312"/>
          <w:kern w:val="0"/>
          <w:sz w:val="32"/>
          <w:szCs w:val="32"/>
          <w:shd w:val="clear" w:fill="FFFFFF"/>
        </w:rPr>
        <w:t>琼台师范学院附属桂林洋幼儿园</w:t>
      </w:r>
      <w:r>
        <w:rPr>
          <w:rFonts w:hint="default" w:ascii="仿宋_GB2312" w:hAnsi="ˎ̥" w:eastAsia="仿宋_GB2312" w:cs="仿宋_GB2312"/>
          <w:kern w:val="0"/>
          <w:sz w:val="32"/>
          <w:szCs w:val="32"/>
        </w:rPr>
        <w:t>政府采购支出总额0.00万元。</w:t>
      </w:r>
    </w:p>
    <w:p>
      <w:pPr>
        <w:keepNext w:val="0"/>
        <w:keepLines w:val="0"/>
        <w:widowControl/>
        <w:suppressLineNumbers w:val="0"/>
        <w:spacing w:before="0" w:beforeAutospacing="1" w:after="0" w:afterAutospacing="1"/>
        <w:ind w:left="0" w:right="0" w:firstLine="640" w:firstLineChars="200"/>
        <w:jc w:val="both"/>
        <w:rPr>
          <w:rFonts w:hint="eastAsia" w:ascii="楷体" w:hAnsi="楷体" w:eastAsia="楷体" w:cs="楷体"/>
          <w:bCs/>
          <w:kern w:val="0"/>
          <w:sz w:val="32"/>
          <w:szCs w:val="32"/>
        </w:rPr>
      </w:pPr>
      <w:r>
        <w:rPr>
          <w:rFonts w:hint="eastAsia" w:ascii="楷体" w:hAnsi="楷体" w:eastAsia="楷体" w:cs="楷体"/>
          <w:bCs/>
          <w:kern w:val="0"/>
          <w:sz w:val="32"/>
          <w:szCs w:val="32"/>
        </w:rPr>
        <w:t>（三）国有资产占用情况。</w:t>
      </w:r>
    </w:p>
    <w:p>
      <w:pPr>
        <w:keepNext w:val="0"/>
        <w:keepLines w:val="0"/>
        <w:widowControl/>
        <w:suppressLineNumbers w:val="0"/>
        <w:spacing w:before="0" w:beforeAutospacing="1" w:after="0" w:afterAutospacing="1" w:line="578" w:lineRule="exact"/>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bCs/>
          <w:kern w:val="0"/>
          <w:sz w:val="32"/>
          <w:szCs w:val="32"/>
        </w:rPr>
        <w:t>截至2022年12月31日，</w:t>
      </w:r>
      <w:r>
        <w:rPr>
          <w:rFonts w:hint="default" w:ascii="仿宋_GB2312" w:hAnsi="ˎ̥" w:eastAsia="仿宋_GB2312" w:cs="仿宋_GB2312"/>
          <w:kern w:val="0"/>
          <w:sz w:val="32"/>
          <w:szCs w:val="32"/>
          <w:shd w:val="clear" w:fill="FFFFFF"/>
        </w:rPr>
        <w:t>本单位占用房屋面积4981平方米，其中：办公用房540平方米，业务用房2926平方米，其他（不含构筑物）1515平方米。说明：本单位所占用面积产权均为琼台师范学院</w:t>
      </w:r>
      <w:r>
        <w:rPr>
          <w:rFonts w:hint="default" w:ascii="仿宋_GB2312" w:hAnsi="ˎ̥" w:eastAsia="仿宋_GB2312" w:cs="仿宋_GB2312"/>
          <w:kern w:val="0"/>
          <w:sz w:val="32"/>
          <w:szCs w:val="32"/>
        </w:rPr>
        <w:t>。</w:t>
      </w:r>
    </w:p>
    <w:p>
      <w:pPr>
        <w:keepNext w:val="0"/>
        <w:keepLines w:val="0"/>
        <w:widowControl/>
        <w:suppressLineNumbers w:val="0"/>
        <w:spacing w:before="0" w:beforeAutospacing="1" w:after="0" w:afterAutospacing="1" w:line="578" w:lineRule="exact"/>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本部门共有车辆0辆，其中，副部（省）级及以上领导用车0辆、主要领导干部用车0辆、机要通信用车0辆、应急保障用车0辆、执法执勤用车0辆、特种专业技术用车0辆、离退休干部用车0辆、其他用车0辆。单价100万元（含）以上设备（不含车辆）0台（套）。</w:t>
      </w:r>
    </w:p>
    <w:p>
      <w:pPr>
        <w:keepNext w:val="0"/>
        <w:keepLines w:val="0"/>
        <w:widowControl/>
        <w:suppressLineNumbers w:val="0"/>
        <w:spacing w:before="0" w:beforeAutospacing="1" w:after="0" w:afterAutospacing="1" w:line="578" w:lineRule="exact"/>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年末在建工程0万元。</w:t>
      </w:r>
    </w:p>
    <w:p>
      <w:pPr>
        <w:keepNext w:val="0"/>
        <w:keepLines w:val="0"/>
        <w:widowControl/>
        <w:suppressLineNumbers w:val="0"/>
        <w:spacing w:before="0" w:beforeAutospacing="1" w:after="0" w:afterAutospacing="1"/>
        <w:ind w:left="0" w:right="0"/>
        <w:jc w:val="both"/>
        <w:rPr>
          <w:rFonts w:hint="eastAsia" w:ascii="黑体" w:hAnsi="ˎ̥" w:eastAsia="黑体" w:cs="黑体"/>
          <w:kern w:val="0"/>
          <w:sz w:val="32"/>
          <w:szCs w:val="32"/>
        </w:rPr>
      </w:pPr>
      <w:r>
        <w:rPr>
          <w:rFonts w:hint="eastAsia" w:ascii="黑体" w:hAnsi="ˎ̥" w:eastAsia="黑体" w:cs="黑体"/>
          <w:kern w:val="0"/>
          <w:sz w:val="32"/>
          <w:szCs w:val="32"/>
        </w:rPr>
        <w:t xml:space="preserve"> </w:t>
      </w:r>
    </w:p>
    <w:p>
      <w:pPr>
        <w:keepNext w:val="0"/>
        <w:keepLines w:val="0"/>
        <w:widowControl/>
        <w:suppressLineNumbers w:val="0"/>
        <w:spacing w:before="0" w:beforeAutospacing="1" w:after="0" w:afterAutospacing="1"/>
        <w:ind w:left="0" w:right="0"/>
        <w:jc w:val="center"/>
        <w:outlineLvl w:val="0"/>
        <w:rPr>
          <w:rFonts w:hint="eastAsia" w:ascii="黑体" w:hAnsi="ˎ̥" w:eastAsia="黑体" w:cs="黑体"/>
          <w:kern w:val="0"/>
          <w:sz w:val="32"/>
          <w:szCs w:val="32"/>
        </w:rPr>
      </w:pPr>
      <w:bookmarkStart w:id="31" w:name="_Toc4792"/>
      <w:bookmarkEnd w:id="31"/>
      <w:bookmarkStart w:id="32" w:name="_Toc46"/>
      <w:r>
        <w:rPr>
          <w:rFonts w:hint="eastAsia" w:ascii="黑体" w:hAnsi="宋体" w:eastAsia="黑体" w:cs="黑体"/>
          <w:kern w:val="0"/>
          <w:sz w:val="32"/>
          <w:szCs w:val="32"/>
        </w:rPr>
        <w:t>第四部分</w:t>
      </w:r>
      <w:bookmarkEnd w:id="32"/>
      <w:r>
        <w:rPr>
          <w:rFonts w:hint="eastAsia" w:ascii="黑体" w:hAnsi="ˎ̥" w:eastAsia="黑体" w:cs="黑体"/>
          <w:kern w:val="0"/>
          <w:sz w:val="32"/>
          <w:szCs w:val="32"/>
        </w:rPr>
        <w:t xml:space="preserve">  </w:t>
      </w:r>
      <w:r>
        <w:rPr>
          <w:rFonts w:hint="eastAsia" w:ascii="黑体" w:hAnsi="宋体" w:eastAsia="黑体" w:cs="黑体"/>
          <w:kern w:val="0"/>
          <w:sz w:val="32"/>
          <w:szCs w:val="32"/>
        </w:rPr>
        <w:t>名词解释</w:t>
      </w:r>
    </w:p>
    <w:p>
      <w:pPr>
        <w:keepNext w:val="0"/>
        <w:keepLines w:val="0"/>
        <w:widowControl/>
        <w:suppressLineNumbers w:val="0"/>
        <w:spacing w:before="0" w:beforeAutospacing="1" w:after="0" w:afterAutospacing="1"/>
        <w:ind w:left="0" w:right="0"/>
        <w:jc w:val="both"/>
        <w:rPr>
          <w:rFonts w:hint="eastAsia" w:ascii="黑体" w:hAnsi="ˎ̥" w:eastAsia="黑体" w:cs="黑体"/>
          <w:kern w:val="0"/>
          <w:sz w:val="32"/>
          <w:szCs w:val="32"/>
        </w:rPr>
      </w:pPr>
      <w:r>
        <w:rPr>
          <w:rFonts w:hint="eastAsia" w:ascii="黑体" w:hAnsi="ˎ̥" w:eastAsia="黑体" w:cs="黑体"/>
          <w:kern w:val="0"/>
          <w:sz w:val="32"/>
          <w:szCs w:val="32"/>
        </w:rPr>
        <w:t xml:space="preserve"> </w:t>
      </w:r>
    </w:p>
    <w:p>
      <w:pPr>
        <w:keepNext w:val="0"/>
        <w:keepLines w:val="0"/>
        <w:widowControl/>
        <w:numPr>
          <w:numId w:val="0"/>
        </w:numPr>
        <w:suppressLineNumbers w:val="0"/>
        <w:spacing w:before="0" w:beforeAutospacing="1" w:after="0" w:afterAutospacing="1"/>
        <w:ind w:right="0" w:rightChars="0" w:firstLine="640" w:firstLineChars="200"/>
        <w:jc w:val="both"/>
        <w:outlineLvl w:val="1"/>
        <w:rPr>
          <w:rFonts w:hint="default" w:ascii="仿宋_GB2312" w:hAnsi="ˎ̥" w:eastAsia="仿宋_GB2312" w:cs="仿宋_GB2312"/>
          <w:kern w:val="0"/>
          <w:sz w:val="32"/>
          <w:szCs w:val="32"/>
        </w:rPr>
      </w:pPr>
      <w:bookmarkStart w:id="35" w:name="_GoBack"/>
      <w:bookmarkEnd w:id="35"/>
      <w:bookmarkStart w:id="33" w:name="_Toc31292"/>
      <w:bookmarkEnd w:id="33"/>
      <w:bookmarkStart w:id="34" w:name="_Toc20263"/>
      <w:r>
        <w:rPr>
          <w:rFonts w:hint="eastAsia" w:ascii="仿宋_GB2312" w:hAnsi="ˎ̥" w:eastAsia="仿宋_GB2312" w:cs="仿宋_GB2312"/>
          <w:kern w:val="0"/>
          <w:sz w:val="32"/>
          <w:szCs w:val="32"/>
          <w:lang w:val="en-US" w:eastAsia="zh-CN"/>
        </w:rPr>
        <w:t>一、</w:t>
      </w:r>
      <w:r>
        <w:rPr>
          <w:rFonts w:hint="default" w:ascii="仿宋_GB2312" w:hAnsi="ˎ̥" w:eastAsia="仿宋_GB2312" w:cs="仿宋_GB2312"/>
          <w:kern w:val="0"/>
          <w:sz w:val="32"/>
          <w:szCs w:val="32"/>
        </w:rPr>
        <w:t>财政拨款收入：指同级政府财政部门当年拨付的各类财政拨款。</w:t>
      </w:r>
      <w:bookmarkEnd w:id="34"/>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二、上级补助收入：指事业单位从主管部门和上级单位取得的非财政补助收入。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三、事业收入：指事业单位开展专业业务活动及辅助活动取得的收入。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四、经营收入：指事业单位在专业业务活动及其辅助活动之外开展非独立核算经营活动取得的收入。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五、附属单位上缴收入：指事业单位取得附属独立核算单位根据有关规定上缴的收入。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六、其他收入：指除上述</w:t>
      </w:r>
      <w:r>
        <w:rPr>
          <w:rFonts w:hint="default" w:ascii="ˎ̥" w:hAnsi="ˎ̥" w:eastAsia="ˎ̥" w:cs="ˎ̥"/>
          <w:kern w:val="0"/>
          <w:sz w:val="32"/>
          <w:szCs w:val="32"/>
        </w:rPr>
        <w:t>“</w:t>
      </w:r>
      <w:r>
        <w:rPr>
          <w:rFonts w:hint="default" w:ascii="仿宋_GB2312" w:hAnsi="ˎ̥" w:eastAsia="仿宋_GB2312" w:cs="仿宋_GB2312"/>
          <w:kern w:val="0"/>
          <w:sz w:val="32"/>
          <w:szCs w:val="32"/>
        </w:rPr>
        <w:t>财政拨款收入</w:t>
      </w:r>
      <w:r>
        <w:rPr>
          <w:rFonts w:hint="default" w:ascii="ˎ̥" w:hAnsi="ˎ̥" w:eastAsia="ˎ̥" w:cs="ˎ̥"/>
          <w:kern w:val="0"/>
          <w:sz w:val="32"/>
          <w:szCs w:val="32"/>
        </w:rPr>
        <w:t>”“</w:t>
      </w:r>
      <w:r>
        <w:rPr>
          <w:rFonts w:hint="default" w:ascii="仿宋_GB2312" w:hAnsi="ˎ̥" w:eastAsia="仿宋_GB2312" w:cs="仿宋_GB2312"/>
          <w:kern w:val="0"/>
          <w:sz w:val="32"/>
          <w:szCs w:val="32"/>
        </w:rPr>
        <w:t>事业收入</w:t>
      </w:r>
      <w:r>
        <w:rPr>
          <w:rFonts w:hint="default" w:ascii="ˎ̥" w:hAnsi="ˎ̥" w:eastAsia="ˎ̥" w:cs="ˎ̥"/>
          <w:kern w:val="0"/>
          <w:sz w:val="32"/>
          <w:szCs w:val="32"/>
        </w:rPr>
        <w:t>”“</w:t>
      </w:r>
      <w:r>
        <w:rPr>
          <w:rFonts w:hint="default" w:ascii="仿宋_GB2312" w:hAnsi="ˎ̥" w:eastAsia="仿宋_GB2312" w:cs="仿宋_GB2312"/>
          <w:kern w:val="0"/>
          <w:sz w:val="32"/>
          <w:szCs w:val="32"/>
        </w:rPr>
        <w:t>上级补助收入</w:t>
      </w:r>
      <w:r>
        <w:rPr>
          <w:rFonts w:hint="default" w:ascii="ˎ̥" w:hAnsi="ˎ̥" w:eastAsia="ˎ̥" w:cs="ˎ̥"/>
          <w:kern w:val="0"/>
          <w:sz w:val="32"/>
          <w:szCs w:val="32"/>
        </w:rPr>
        <w:t>”“</w:t>
      </w:r>
      <w:r>
        <w:rPr>
          <w:rFonts w:hint="default" w:ascii="仿宋_GB2312" w:hAnsi="ˎ̥" w:eastAsia="仿宋_GB2312" w:cs="仿宋_GB2312"/>
          <w:kern w:val="0"/>
          <w:sz w:val="32"/>
          <w:szCs w:val="32"/>
        </w:rPr>
        <w:t>经营收入</w:t>
      </w:r>
      <w:r>
        <w:rPr>
          <w:rFonts w:hint="default" w:ascii="ˎ̥" w:hAnsi="ˎ̥" w:eastAsia="ˎ̥" w:cs="ˎ̥"/>
          <w:kern w:val="0"/>
          <w:sz w:val="32"/>
          <w:szCs w:val="32"/>
        </w:rPr>
        <w:t>”“</w:t>
      </w:r>
      <w:r>
        <w:rPr>
          <w:rFonts w:hint="default" w:ascii="仿宋_GB2312" w:hAnsi="ˎ̥" w:eastAsia="仿宋_GB2312" w:cs="仿宋_GB2312"/>
          <w:kern w:val="0"/>
          <w:sz w:val="32"/>
          <w:szCs w:val="32"/>
        </w:rPr>
        <w:t>附属单位上缴收入</w:t>
      </w:r>
      <w:r>
        <w:rPr>
          <w:rFonts w:hint="default" w:ascii="ˎ̥" w:hAnsi="ˎ̥" w:eastAsia="ˎ̥" w:cs="ˎ̥"/>
          <w:kern w:val="0"/>
          <w:sz w:val="32"/>
          <w:szCs w:val="32"/>
        </w:rPr>
        <w:t>”</w:t>
      </w:r>
      <w:r>
        <w:rPr>
          <w:rFonts w:hint="default" w:ascii="仿宋_GB2312" w:hAnsi="ˎ̥" w:eastAsia="仿宋_GB2312" w:cs="仿宋_GB2312"/>
          <w:kern w:val="0"/>
          <w:sz w:val="32"/>
          <w:szCs w:val="32"/>
        </w:rPr>
        <w:t>等以外的收入。</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七、使用非财政拨款结余：指事业单位在当年的</w:t>
      </w:r>
      <w:r>
        <w:rPr>
          <w:rFonts w:hint="default" w:ascii="ˎ̥" w:hAnsi="ˎ̥" w:eastAsia="ˎ̥" w:cs="ˎ̥"/>
          <w:kern w:val="0"/>
          <w:sz w:val="32"/>
          <w:szCs w:val="32"/>
        </w:rPr>
        <w:t>“</w:t>
      </w:r>
      <w:r>
        <w:rPr>
          <w:rFonts w:hint="default" w:ascii="仿宋_GB2312" w:hAnsi="ˎ̥" w:eastAsia="仿宋_GB2312" w:cs="仿宋_GB2312"/>
          <w:kern w:val="0"/>
          <w:sz w:val="32"/>
          <w:szCs w:val="32"/>
        </w:rPr>
        <w:t>财政拨款收入</w:t>
      </w:r>
      <w:r>
        <w:rPr>
          <w:rFonts w:hint="default" w:ascii="ˎ̥" w:hAnsi="ˎ̥" w:eastAsia="ˎ̥" w:cs="ˎ̥"/>
          <w:kern w:val="0"/>
          <w:sz w:val="32"/>
          <w:szCs w:val="32"/>
        </w:rPr>
        <w:t>”“</w:t>
      </w:r>
      <w:r>
        <w:rPr>
          <w:rFonts w:hint="default" w:ascii="仿宋_GB2312" w:hAnsi="ˎ̥" w:eastAsia="仿宋_GB2312" w:cs="仿宋_GB2312"/>
          <w:kern w:val="0"/>
          <w:sz w:val="32"/>
          <w:szCs w:val="32"/>
        </w:rPr>
        <w:t>事业收入</w:t>
      </w:r>
      <w:r>
        <w:rPr>
          <w:rFonts w:hint="default" w:ascii="ˎ̥" w:hAnsi="ˎ̥" w:eastAsia="ˎ̥" w:cs="ˎ̥"/>
          <w:kern w:val="0"/>
          <w:sz w:val="32"/>
          <w:szCs w:val="32"/>
        </w:rPr>
        <w:t>”“</w:t>
      </w:r>
      <w:r>
        <w:rPr>
          <w:rFonts w:hint="default" w:ascii="仿宋_GB2312" w:hAnsi="ˎ̥" w:eastAsia="仿宋_GB2312" w:cs="仿宋_GB2312"/>
          <w:kern w:val="0"/>
          <w:sz w:val="32"/>
          <w:szCs w:val="32"/>
        </w:rPr>
        <w:t>经营收入</w:t>
      </w:r>
      <w:r>
        <w:rPr>
          <w:rFonts w:hint="default" w:ascii="ˎ̥" w:hAnsi="ˎ̥" w:eastAsia="ˎ̥" w:cs="ˎ̥"/>
          <w:kern w:val="0"/>
          <w:sz w:val="32"/>
          <w:szCs w:val="32"/>
        </w:rPr>
        <w:t>”“</w:t>
      </w:r>
      <w:r>
        <w:rPr>
          <w:rFonts w:hint="default" w:ascii="仿宋_GB2312" w:hAnsi="ˎ̥" w:eastAsia="仿宋_GB2312" w:cs="仿宋_GB2312"/>
          <w:kern w:val="0"/>
          <w:sz w:val="32"/>
          <w:szCs w:val="32"/>
        </w:rPr>
        <w:t>其他收入</w:t>
      </w:r>
      <w:r>
        <w:rPr>
          <w:rFonts w:hint="default" w:ascii="ˎ̥" w:hAnsi="ˎ̥" w:eastAsia="ˎ̥" w:cs="ˎ̥"/>
          <w:kern w:val="0"/>
          <w:sz w:val="32"/>
          <w:szCs w:val="32"/>
        </w:rPr>
        <w:t>”</w:t>
      </w:r>
      <w:r>
        <w:rPr>
          <w:rFonts w:hint="default" w:ascii="仿宋_GB2312" w:hAnsi="ˎ̥" w:eastAsia="仿宋_GB2312" w:cs="仿宋_GB2312"/>
          <w:kern w:val="0"/>
          <w:sz w:val="32"/>
          <w:szCs w:val="32"/>
        </w:rPr>
        <w:t>等不足以安排当年支出的情况下，使用非同级财政拨款结余资金弥补本年度收支缺口。</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八、年初结转和结余：指以前年度尚未完成、结转到本年按有关规定继续使用的资金，或项目已完成等产生的结余资金。</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九、结余分配：指事业单位缴纳企业所得税以及从非财政拨款结余或经营结余中提取各类结余的情况。</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十一、基本支出：指为保障机构正常运转、完成日常工作任务而发生的人员支出和公用支出。</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十二、项目支出：指在基本支出之外为完成特定行政任务和事业发展目标所发生的支出。</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十三、经营支出：指事业单位在专业业务活动及其辅助活动之外开展非独立核算经营活动发生的支出。</w:t>
      </w:r>
    </w:p>
    <w:p>
      <w:pPr>
        <w:keepNext w:val="0"/>
        <w:keepLines w:val="0"/>
        <w:widowControl/>
        <w:suppressLineNumbers w:val="0"/>
        <w:spacing w:before="0" w:beforeAutospacing="1" w:after="0" w:afterAutospacing="1"/>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十四、</w:t>
      </w:r>
      <w:r>
        <w:rPr>
          <w:rFonts w:hint="default" w:ascii="ˎ̥" w:hAnsi="ˎ̥" w:eastAsia="ˎ̥" w:cs="ˎ̥"/>
          <w:kern w:val="0"/>
          <w:sz w:val="32"/>
          <w:szCs w:val="32"/>
        </w:rPr>
        <w:t>“</w:t>
      </w:r>
      <w:r>
        <w:rPr>
          <w:rFonts w:hint="default" w:ascii="仿宋_GB2312" w:hAnsi="ˎ̥" w:eastAsia="仿宋_GB2312" w:cs="仿宋_GB2312"/>
          <w:kern w:val="0"/>
          <w:sz w:val="32"/>
          <w:szCs w:val="32"/>
        </w:rPr>
        <w:t>三公</w:t>
      </w:r>
      <w:r>
        <w:rPr>
          <w:rFonts w:hint="default" w:ascii="ˎ̥" w:hAnsi="ˎ̥" w:eastAsia="ˎ̥" w:cs="ˎ̥"/>
          <w:kern w:val="0"/>
          <w:sz w:val="32"/>
          <w:szCs w:val="32"/>
        </w:rPr>
        <w:t>”</w:t>
      </w:r>
      <w:r>
        <w:rPr>
          <w:rFonts w:hint="default" w:ascii="仿宋_GB2312" w:hAnsi="ˎ̥" w:eastAsia="仿宋_GB2312" w:cs="仿宋_GB2312"/>
          <w:kern w:val="0"/>
          <w:sz w:val="32"/>
          <w:szCs w:val="32"/>
        </w:rPr>
        <w:t>经费：纳入本级财政预决算管理的</w:t>
      </w:r>
      <w:r>
        <w:rPr>
          <w:rFonts w:hint="default" w:ascii="ˎ̥" w:hAnsi="ˎ̥" w:eastAsia="ˎ̥" w:cs="ˎ̥"/>
          <w:kern w:val="0"/>
          <w:sz w:val="32"/>
          <w:szCs w:val="32"/>
        </w:rPr>
        <w:t>“</w:t>
      </w:r>
      <w:r>
        <w:rPr>
          <w:rFonts w:hint="default" w:ascii="仿宋_GB2312" w:hAnsi="ˎ̥" w:eastAsia="仿宋_GB2312" w:cs="仿宋_GB2312"/>
          <w:kern w:val="0"/>
          <w:sz w:val="32"/>
          <w:szCs w:val="32"/>
        </w:rPr>
        <w:t>三公</w:t>
      </w:r>
      <w:r>
        <w:rPr>
          <w:rFonts w:hint="default" w:ascii="ˎ̥" w:hAnsi="ˎ̥" w:eastAsia="ˎ̥" w:cs="ˎ̥"/>
          <w:kern w:val="0"/>
          <w:sz w:val="32"/>
          <w:szCs w:val="32"/>
        </w:rPr>
        <w:t>”</w:t>
      </w:r>
      <w:r>
        <w:rPr>
          <w:rFonts w:hint="default" w:ascii="仿宋_GB2312" w:hAnsi="ˎ̥" w:eastAsia="仿宋_GB2312" w:cs="仿宋_GB2312"/>
          <w:kern w:val="0"/>
          <w:sz w:val="32"/>
          <w:szCs w:val="32"/>
        </w:rPr>
        <w:t>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widowControl/>
        <w:suppressLineNumbers w:val="0"/>
        <w:spacing w:before="0" w:beforeAutospacing="1" w:after="0" w:afterAutospacing="1"/>
        <w:ind w:left="0" w:right="0" w:firstLine="645"/>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widowControl/>
        <w:suppressLineNumbers w:val="0"/>
        <w:spacing w:before="0" w:beforeAutospacing="1" w:after="0" w:afterAutospacing="1"/>
        <w:ind w:left="0" w:right="0"/>
        <w:jc w:val="both"/>
        <w:rPr>
          <w:rFonts w:hint="eastAsia" w:ascii="宋体" w:hAnsi="宋体" w:eastAsia="宋体" w:cs="宋体"/>
          <w:kern w:val="0"/>
          <w:sz w:val="24"/>
          <w:szCs w:val="24"/>
        </w:rPr>
      </w:pPr>
      <w:r>
        <w:rPr>
          <w:rFonts w:hint="eastAsia" w:ascii="宋体" w:hAnsi="宋体" w:eastAsia="宋体" w:cs="宋体"/>
          <w:kern w:val="0"/>
          <w:sz w:val="24"/>
          <w:szCs w:val="24"/>
        </w:rPr>
        <w:t xml:space="preserve"> </w:t>
      </w:r>
    </w:p>
    <w:sectPr>
      <w:headerReference r:id="rId5" w:type="default"/>
      <w:footerReference r:id="rId6" w:type="default"/>
      <w:pgSz w:w="11915" w:h="16851"/>
      <w:pgMar w:top="1440" w:right="1800" w:bottom="1440" w:left="1800" w:header="851" w:footer="992"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widowControl/>
      <w:suppressLineNumbers w:val="0"/>
      <w:rPr>
        <w:rFonts w:hint="eastAsia" w:ascii="宋体" w:hAnsi="宋体" w:eastAsia="宋体" w:cs="宋体"/>
        <w:kern w:val="0"/>
        <w:sz w:val="18"/>
        <w:szCs w:val="18"/>
      </w:rPr>
    </w:pPr>
    <w:r>
      <w:rPr>
        <w:rFonts w:hint="eastAsia" w:ascii="宋体" w:hAnsi="宋体" w:eastAsia="宋体" w:cs="宋体"/>
        <w:kern w:val="0"/>
        <w:sz w:val="18"/>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widowControl/>
      <w:suppressLineNumbers w:val="0"/>
      <w:rPr>
        <w:rFonts w:hint="eastAsia" w:ascii="宋体" w:hAnsi="宋体" w:eastAsia="宋体" w:cs="宋体"/>
        <w:kern w:val="0"/>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宋体" w:hAnsi="宋体" w:eastAsia="宋体" w:cs="宋体"/>
        <w:kern w:val="0"/>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widowControl/>
      <w:suppressLineNumbers w:val="0"/>
      <w:rPr>
        <w:rFonts w:hint="eastAsia" w:ascii="宋体" w:hAnsi="宋体" w:eastAsia="宋体" w:cs="宋体"/>
        <w:kern w:val="0"/>
        <w:sz w:val="18"/>
        <w:szCs w:val="18"/>
      </w:rPr>
    </w:pPr>
    <w:r>
      <w:rPr>
        <w:rFonts w:hint="eastAsia" w:ascii="宋体" w:hAnsi="宋体" w:eastAsia="宋体" w:cs="宋体"/>
        <w:kern w:val="0"/>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7ED63"/>
    <w:multiLevelType w:val="multilevel"/>
    <w:tmpl w:val="A497ED63"/>
    <w:lvl w:ilvl="0" w:tentative="0">
      <w:start w:val="1"/>
      <w:numFmt w:val="chineseCounting"/>
      <w:suff w:val="nothing"/>
      <w:lvlText w:val="%1、"/>
      <w:lvlJc w:val="left"/>
      <w:pPr>
        <w:tabs>
          <w:tab w:val="left" w:pos="0"/>
        </w:tabs>
        <w:ind w:left="0" w:firstLine="0"/>
      </w:pPr>
      <w:rPr>
        <w:rFonts w:hint="eastAsia" w:ascii="黑体" w:hAnsi="宋体" w:eastAsia="黑体" w:cs="黑体"/>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7"/>
  <w:displayHorizontalDrawingGridEvery w:val="0"/>
  <w:displayVerticalDrawingGridEvery w:val="2"/>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0NTI3MzYzZTNjNjk4MWY3M2RjOGE0MzM4M2U0MGUifQ=="/>
    <w:docVar w:name="KSO_WPS_MARK_KEY" w:val="60be331c-a0d6-4528-ab93-214624b03d69"/>
  </w:docVars>
  <w:rsids>
    <w:rsidRoot w:val="00000000"/>
    <w:rsid w:val="001D2721"/>
    <w:rsid w:val="010C0502"/>
    <w:rsid w:val="02033EBB"/>
    <w:rsid w:val="05557F9E"/>
    <w:rsid w:val="05F86A1A"/>
    <w:rsid w:val="0F2731F8"/>
    <w:rsid w:val="0FCB77DB"/>
    <w:rsid w:val="13180602"/>
    <w:rsid w:val="19357696"/>
    <w:rsid w:val="1D8316F5"/>
    <w:rsid w:val="1D9236E6"/>
    <w:rsid w:val="1EFB350D"/>
    <w:rsid w:val="20234F62"/>
    <w:rsid w:val="24A720CC"/>
    <w:rsid w:val="267B26AA"/>
    <w:rsid w:val="297E3344"/>
    <w:rsid w:val="2BBF5E5B"/>
    <w:rsid w:val="2FBC180A"/>
    <w:rsid w:val="300C627C"/>
    <w:rsid w:val="30483CD4"/>
    <w:rsid w:val="31427A37"/>
    <w:rsid w:val="321B6036"/>
    <w:rsid w:val="334B63B9"/>
    <w:rsid w:val="359202CF"/>
    <w:rsid w:val="35F06456"/>
    <w:rsid w:val="3C62143D"/>
    <w:rsid w:val="3CEC264B"/>
    <w:rsid w:val="3DD835B4"/>
    <w:rsid w:val="3F7B2ECB"/>
    <w:rsid w:val="40AB45C6"/>
    <w:rsid w:val="49134A25"/>
    <w:rsid w:val="4B1A06F3"/>
    <w:rsid w:val="4B5D6832"/>
    <w:rsid w:val="4BEC08D1"/>
    <w:rsid w:val="56C453DB"/>
    <w:rsid w:val="57BE1FBB"/>
    <w:rsid w:val="592C090B"/>
    <w:rsid w:val="5A627FA6"/>
    <w:rsid w:val="5B9F1982"/>
    <w:rsid w:val="60255718"/>
    <w:rsid w:val="60316FD8"/>
    <w:rsid w:val="6D037D21"/>
    <w:rsid w:val="6E2F52AA"/>
    <w:rsid w:val="71723492"/>
    <w:rsid w:val="721B7279"/>
    <w:rsid w:val="723D249F"/>
    <w:rsid w:val="76DC7890"/>
    <w:rsid w:val="76F922D6"/>
    <w:rsid w:val="77B1084F"/>
    <w:rsid w:val="79FC7E8B"/>
    <w:rsid w:val="7B4B7649"/>
    <w:rsid w:val="7BBA7205"/>
    <w:rsid w:val="7C555EFF"/>
    <w:rsid w:val="7E3D4CFD"/>
    <w:rsid w:val="7F9D30C5"/>
    <w:rsid w:val="7FA558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2">
    <w:name w:val="heading 1"/>
    <w:basedOn w:val="1"/>
    <w:next w:val="1"/>
    <w:qFormat/>
    <w:uiPriority w:val="0"/>
    <w:pPr>
      <w:spacing w:before="0" w:beforeAutospacing="1" w:after="0" w:afterAutospacing="1"/>
      <w:ind w:left="0" w:right="0"/>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spacing w:before="0" w:beforeAutospacing="1" w:after="0" w:afterAutospacing="1"/>
      <w:ind w:left="0" w:right="0"/>
      <w:jc w:val="left"/>
    </w:pPr>
    <w:rPr>
      <w:rFonts w:hint="eastAsia" w:ascii="宋体" w:hAnsi="宋体" w:eastAsia="宋体" w:cs="宋体"/>
      <w:b/>
      <w:bCs/>
      <w:kern w:val="0"/>
      <w:sz w:val="36"/>
      <w:szCs w:val="36"/>
      <w:lang w:val="en-US" w:eastAsia="zh-CN" w:bidi="ar"/>
    </w:rPr>
  </w:style>
  <w:style w:type="paragraph" w:styleId="4">
    <w:name w:val="heading 3"/>
    <w:basedOn w:val="1"/>
    <w:next w:val="1"/>
    <w:qFormat/>
    <w:uiPriority w:val="0"/>
    <w:pPr>
      <w:spacing w:before="0" w:beforeAutospacing="1" w:after="0" w:afterAutospacing="1"/>
      <w:ind w:left="0" w:right="0"/>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spacing w:before="0" w:beforeAutospacing="1" w:after="0" w:afterAutospacing="1"/>
      <w:ind w:left="0" w:right="0"/>
      <w:jc w:val="left"/>
    </w:pPr>
    <w:rPr>
      <w:rFonts w:hint="eastAsia" w:ascii="宋体" w:hAnsi="宋体" w:eastAsia="宋体" w:cs="宋体"/>
      <w:b/>
      <w:bCs/>
      <w:kern w:val="0"/>
      <w:sz w:val="24"/>
      <w:szCs w:val="24"/>
      <w:lang w:val="en-US" w:eastAsia="zh-CN" w:bidi="ar"/>
    </w:rPr>
  </w:style>
  <w:style w:type="paragraph" w:styleId="6">
    <w:name w:val="heading 5"/>
    <w:basedOn w:val="1"/>
    <w:next w:val="1"/>
    <w:qFormat/>
    <w:uiPriority w:val="0"/>
    <w:pPr>
      <w:spacing w:before="0" w:beforeAutospacing="1" w:after="0" w:afterAutospacing="1"/>
      <w:ind w:left="0" w:right="0"/>
      <w:jc w:val="left"/>
    </w:pPr>
    <w:rPr>
      <w:rFonts w:hint="eastAsia" w:ascii="宋体" w:hAnsi="宋体" w:eastAsia="宋体" w:cs="宋体"/>
      <w:b/>
      <w:bCs/>
      <w:kern w:val="0"/>
      <w:sz w:val="20"/>
      <w:szCs w:val="20"/>
      <w:lang w:val="en-US" w:eastAsia="zh-CN" w:bidi="ar"/>
    </w:rPr>
  </w:style>
  <w:style w:type="paragraph" w:styleId="7">
    <w:name w:val="heading 6"/>
    <w:basedOn w:val="1"/>
    <w:next w:val="1"/>
    <w:qFormat/>
    <w:uiPriority w:val="0"/>
    <w:pPr>
      <w:spacing w:before="0" w:beforeAutospacing="1" w:after="0" w:afterAutospacing="1"/>
      <w:ind w:left="0" w:right="0"/>
      <w:jc w:val="left"/>
    </w:pPr>
    <w:rPr>
      <w:rFonts w:hint="eastAsia" w:ascii="宋体" w:hAnsi="宋体" w:eastAsia="宋体" w:cs="宋体"/>
      <w:b/>
      <w:bCs/>
      <w:kern w:val="0"/>
      <w:sz w:val="15"/>
      <w:szCs w:val="15"/>
      <w:lang w:val="en-US" w:eastAsia="zh-CN" w:bidi="ar"/>
    </w:rPr>
  </w:style>
  <w:style w:type="character" w:default="1" w:styleId="13">
    <w:name w:val="Default Paragraph Font"/>
    <w:semiHidden/>
    <w:unhideWhenUsed/>
    <w:qFormat/>
    <w:uiPriority w:val="99"/>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footer"/>
    <w:basedOn w:val="1"/>
    <w:qFormat/>
    <w:uiPriority w:val="0"/>
    <w:pPr>
      <w:snapToGrid w:val="0"/>
      <w:spacing w:before="0" w:beforeAutospacing="0" w:after="0" w:afterAutospacing="0"/>
      <w:ind w:left="0" w:right="0"/>
      <w:jc w:val="left"/>
    </w:pPr>
    <w:rPr>
      <w:rFonts w:hint="eastAsia" w:ascii="宋体" w:hAnsi="宋体" w:eastAsia="宋体" w:cs="宋体"/>
      <w:kern w:val="0"/>
      <w:sz w:val="18"/>
      <w:szCs w:val="18"/>
      <w:lang w:val="en-US" w:eastAsia="zh-CN" w:bidi="ar"/>
    </w:rPr>
  </w:style>
  <w:style w:type="paragraph" w:styleId="9">
    <w:name w:val="header"/>
    <w:basedOn w:val="1"/>
    <w:qFormat/>
    <w:uiPriority w:val="0"/>
    <w:pPr>
      <w:pBdr>
        <w:top w:val="none" w:color="auto" w:sz="0" w:space="0"/>
        <w:left w:val="none" w:color="auto" w:sz="0" w:space="0"/>
        <w:bottom w:val="none" w:color="auto" w:sz="0" w:space="0"/>
        <w:right w:val="none" w:color="auto" w:sz="0" w:space="0"/>
      </w:pBdr>
      <w:snapToGrid w:val="0"/>
      <w:spacing w:before="0" w:beforeAutospacing="0" w:after="0" w:afterAutospacing="0"/>
      <w:ind w:left="0" w:right="0"/>
      <w:jc w:val="both"/>
    </w:pPr>
    <w:rPr>
      <w:rFonts w:hint="eastAsia" w:ascii="宋体" w:hAnsi="宋体" w:eastAsia="宋体" w:cs="宋体"/>
      <w:kern w:val="0"/>
      <w:sz w:val="18"/>
      <w:szCs w:val="18"/>
      <w:lang w:val="en-US" w:eastAsia="zh-CN" w:bidi="ar"/>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Normal (Web)"/>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styleId="14">
    <w:name w:val="FollowedHyperlink"/>
    <w:basedOn w:val="13"/>
    <w:uiPriority w:val="0"/>
    <w:rPr>
      <w:color w:val="800080"/>
      <w:u w:val="single"/>
    </w:rPr>
  </w:style>
  <w:style w:type="character" w:styleId="15">
    <w:name w:val="Hyperlink"/>
    <w:basedOn w:val="13"/>
    <w:qFormat/>
    <w:uiPriority w:val="0"/>
    <w:rPr>
      <w:color w:val="0000FF"/>
      <w:u w:val="single"/>
    </w:rPr>
  </w:style>
  <w:style w:type="character" w:customStyle="1" w:styleId="16">
    <w:name w:val="25"/>
    <w:basedOn w:val="13"/>
    <w:qFormat/>
    <w:uiPriority w:val="0"/>
    <w:rPr>
      <w:rFonts w:hint="default" w:ascii="Times New Roman" w:hAnsi="Times New Roman" w:cs="Times New Roman"/>
    </w:rPr>
  </w:style>
  <w:style w:type="character" w:customStyle="1" w:styleId="17">
    <w:name w:val="15"/>
    <w:basedOn w:val="13"/>
    <w:qFormat/>
    <w:uiPriority w:val="0"/>
    <w:rPr>
      <w:rFonts w:hint="default" w:ascii="Times New Roman" w:hAnsi="Times New Roman" w:cs="Times New Roman"/>
      <w:color w:val="0000FF"/>
      <w:u w:val="single"/>
    </w:rPr>
  </w:style>
  <w:style w:type="paragraph" w:customStyle="1" w:styleId="18">
    <w:name w:val="HTML 预设格式 Char Char Char"/>
    <w:basedOn w:val="1"/>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customStyle="1" w:styleId="19">
    <w:name w:val="21"/>
    <w:basedOn w:val="13"/>
    <w:qFormat/>
    <w:uiPriority w:val="0"/>
    <w:rPr>
      <w:rFonts w:hint="default" w:ascii="Times New Roman" w:hAnsi="Times New Roman" w:cs="Times New Roman"/>
    </w:rPr>
  </w:style>
  <w:style w:type="character" w:customStyle="1" w:styleId="20">
    <w:name w:val="24"/>
    <w:basedOn w:val="13"/>
    <w:qFormat/>
    <w:uiPriority w:val="0"/>
    <w:rPr>
      <w:rFonts w:hint="default" w:ascii="Times New Roman" w:hAnsi="Times New Roman" w:cs="Times New Roman"/>
      <w:color w:val="0000FF"/>
      <w:u w:val="single"/>
    </w:rPr>
  </w:style>
  <w:style w:type="character" w:customStyle="1" w:styleId="21">
    <w:name w:val="22"/>
    <w:basedOn w:val="13"/>
    <w:qFormat/>
    <w:uiPriority w:val="0"/>
    <w:rPr>
      <w:rFonts w:hint="default" w:ascii="Times New Roman" w:hAnsi="Times New Roman" w:cs="Times New Roman"/>
      <w:color w:val="0000FF"/>
      <w:u w:val="single"/>
    </w:rPr>
  </w:style>
  <w:style w:type="character" w:customStyle="1" w:styleId="22">
    <w:name w:val="10"/>
    <w:basedOn w:val="13"/>
    <w:qFormat/>
    <w:uiPriority w:val="0"/>
    <w:rPr>
      <w:rFonts w:hint="default" w:ascii="Times New Roman" w:hAnsi="Times New Roman" w:cs="Times New Roman"/>
    </w:rPr>
  </w:style>
  <w:style w:type="character" w:customStyle="1" w:styleId="23">
    <w:name w:val="16"/>
    <w:basedOn w:val="13"/>
    <w:qFormat/>
    <w:uiPriority w:val="0"/>
    <w:rPr>
      <w:rFonts w:hint="default" w:ascii="Times New Roman" w:hAnsi="Times New Roman" w:cs="Times New Roman"/>
      <w:color w:val="0000FF"/>
      <w:u w:val="single"/>
    </w:rPr>
  </w:style>
  <w:style w:type="character" w:customStyle="1" w:styleId="24">
    <w:name w:val="20"/>
    <w:basedOn w:val="13"/>
    <w:qFormat/>
    <w:uiPriority w:val="0"/>
    <w:rPr>
      <w:rFonts w:hint="default" w:ascii="Times New Roman" w:hAnsi="Times New Roman" w:cs="Times New Roman"/>
    </w:rPr>
  </w:style>
  <w:style w:type="character" w:customStyle="1" w:styleId="25">
    <w:name w:val="17"/>
    <w:basedOn w:val="13"/>
    <w:qFormat/>
    <w:uiPriority w:val="0"/>
    <w:rPr>
      <w:rFonts w:hint="default" w:ascii="Times New Roman" w:hAnsi="Times New Roman" w:cs="Times New Roman"/>
      <w:color w:val="0000FF"/>
      <w:u w:val="single"/>
    </w:rPr>
  </w:style>
  <w:style w:type="character" w:customStyle="1" w:styleId="26">
    <w:name w:val="18"/>
    <w:basedOn w:val="13"/>
    <w:qFormat/>
    <w:uiPriority w:val="0"/>
    <w:rPr>
      <w:rFonts w:hint="eastAsia" w:ascii="宋体" w:hAnsi="宋体" w:eastAsia="宋体" w:cs="宋体"/>
      <w:sz w:val="24"/>
      <w:szCs w:val="24"/>
    </w:rPr>
  </w:style>
  <w:style w:type="character" w:customStyle="1" w:styleId="27">
    <w:name w:val="19"/>
    <w:basedOn w:val="13"/>
    <w:qFormat/>
    <w:uiPriority w:val="0"/>
    <w:rPr>
      <w:rFonts w:hint="default" w:ascii="Times New Roman" w:hAnsi="Times New Roman" w:cs="Times New Roman"/>
    </w:rPr>
  </w:style>
  <w:style w:type="character" w:customStyle="1" w:styleId="28">
    <w:name w:val="23"/>
    <w:basedOn w:val="13"/>
    <w:qFormat/>
    <w:uiPriority w:val="0"/>
    <w:rPr>
      <w:rFonts w:hint="default" w:ascii="Times New Roman" w:hAnsi="Times New Roman" w:cs="Times New Roman"/>
    </w:rPr>
  </w:style>
  <w:style w:type="character" w:customStyle="1" w:styleId="29">
    <w:name w:val="26"/>
    <w:basedOn w:val="13"/>
    <w:qFormat/>
    <w:uiPriority w:val="0"/>
    <w:rPr>
      <w:rFonts w:hint="default" w:ascii="Times New Roman" w:hAnsi="Times New Roman" w:cs="Times New Roman"/>
    </w:rPr>
  </w:style>
  <w:style w:type="paragraph" w:customStyle="1" w:styleId="30">
    <w:name w:val="HTML 预设格式 Char"/>
    <w:basedOn w:val="1"/>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31">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32">
    <w:name w:val="HTML 预设格式 Char Char"/>
    <w:basedOn w:val="1"/>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33">
    <w:name w:val="WPSOffice手动目录 1"/>
    <w:basedOn w:val="1"/>
    <w:qFormat/>
    <w:uiPriority w:val="0"/>
    <w:pPr>
      <w:spacing w:before="0" w:beforeAutospacing="0" w:after="0" w:afterAutospacing="0"/>
      <w:ind w:left="0" w:leftChars="0" w:right="0"/>
      <w:jc w:val="left"/>
    </w:pPr>
    <w:rPr>
      <w:rFonts w:hint="default" w:ascii="Times New Roman" w:hAnsi="Times New Roman" w:eastAsia="宋体" w:cs="Times New Roman"/>
      <w:kern w:val="0"/>
      <w:sz w:val="20"/>
      <w:szCs w:val="20"/>
      <w:lang w:val="en-US" w:eastAsia="zh-CN" w:bidi="ar"/>
    </w:rPr>
  </w:style>
  <w:style w:type="paragraph" w:customStyle="1" w:styleId="34">
    <w:name w:val="普通(网站) Char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35">
    <w:name w:val="WPSOffice手动目录 2"/>
    <w:basedOn w:val="1"/>
    <w:qFormat/>
    <w:uiPriority w:val="0"/>
    <w:pPr>
      <w:spacing w:before="0" w:beforeAutospacing="0" w:after="0" w:afterAutospacing="0"/>
      <w:ind w:left="0" w:leftChars="200" w:right="0"/>
      <w:jc w:val="left"/>
    </w:pPr>
    <w:rPr>
      <w:rFonts w:hint="default" w:ascii="Times New Roman" w:hAnsi="Times New Roman" w:eastAsia="宋体"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19</Pages>
  <Words>6445</Words>
  <Characters>6988</Characters>
  <Lines>1</Lines>
  <Paragraphs>1</Paragraphs>
  <TotalTime>7</TotalTime>
  <ScaleCrop>false</ScaleCrop>
  <LinksUpToDate>false</LinksUpToDate>
  <CharactersWithSpaces>7053</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2023-10-09T07:11:00Z</dcterms:created>
  <dc:creator>lenovo</dc:creator>
  <cp:lastModifiedBy>绮麦</cp:lastModifiedBy>
  <dcterms:modified xsi:type="dcterms:W3CDTF">2024-07-12T08:44:10Z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C4E950A076554756ADC604CB784AD347_13</vt:lpwstr>
  </property>
</Properties>
</file>