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5BF06" w14:textId="77777777" w:rsidR="00BF6740" w:rsidRDefault="00000000">
      <w:pPr>
        <w:widowControl/>
        <w:snapToGrid w:val="0"/>
        <w:spacing w:afterAutospacing="1"/>
        <w:jc w:val="center"/>
        <w:rPr>
          <w:rFonts w:ascii="黑体" w:eastAsia="黑体" w:hAnsi="ˎ̥" w:cs="黑体" w:hint="eastAsia"/>
          <w:kern w:val="0"/>
          <w:sz w:val="44"/>
          <w:szCs w:val="44"/>
          <w:shd w:val="clear" w:color="auto" w:fill="FFFFFF"/>
        </w:rPr>
      </w:pPr>
      <w:r>
        <w:rPr>
          <w:rFonts w:ascii="黑体" w:eastAsia="黑体" w:hAnsi="宋体" w:cs="黑体" w:hint="eastAsia"/>
          <w:kern w:val="0"/>
          <w:sz w:val="44"/>
          <w:szCs w:val="44"/>
          <w:shd w:val="clear" w:color="auto" w:fill="FFFFFF"/>
          <w:lang w:bidi="ar"/>
        </w:rPr>
        <w:t>海南省国兴中学2022年度部门决算公开报告</w:t>
      </w:r>
    </w:p>
    <w:p w14:paraId="71374B8F" w14:textId="77777777" w:rsidR="00BF6740" w:rsidRDefault="00000000">
      <w:pPr>
        <w:widowControl/>
        <w:snapToGrid w:val="0"/>
        <w:spacing w:afterAutospacing="1"/>
        <w:jc w:val="center"/>
        <w:rPr>
          <w:rFonts w:ascii="黑体" w:eastAsia="黑体" w:hAnsi="ˎ̥" w:cs="黑体" w:hint="eastAsia"/>
          <w:b/>
          <w:kern w:val="0"/>
          <w:sz w:val="32"/>
          <w:szCs w:val="32"/>
          <w:shd w:val="clear" w:color="auto" w:fill="FFFFFF"/>
        </w:rPr>
      </w:pPr>
      <w:r>
        <w:rPr>
          <w:rFonts w:ascii="黑体" w:eastAsia="黑体" w:hAnsi="ˎ̥" w:cs="黑体" w:hint="eastAsia"/>
          <w:b/>
          <w:kern w:val="0"/>
          <w:sz w:val="32"/>
          <w:szCs w:val="32"/>
          <w:shd w:val="clear" w:color="auto" w:fill="FFFFFF"/>
          <w:lang w:bidi="ar"/>
        </w:rPr>
        <w:t xml:space="preserve"> </w:t>
      </w:r>
    </w:p>
    <w:p w14:paraId="075CC135" w14:textId="77777777" w:rsidR="00BF6740" w:rsidRDefault="00000000">
      <w:pPr>
        <w:widowControl/>
        <w:snapToGrid w:val="0"/>
        <w:spacing w:afterAutospacing="1"/>
        <w:jc w:val="center"/>
        <w:rPr>
          <w:rFonts w:ascii="黑体" w:eastAsia="黑体" w:hAnsi="宋体" w:cs="黑体" w:hint="eastAsia"/>
          <w:kern w:val="0"/>
          <w:sz w:val="44"/>
          <w:szCs w:val="44"/>
          <w:shd w:val="clear" w:color="auto" w:fill="FFFFFF"/>
        </w:rPr>
      </w:pPr>
      <w:r>
        <w:rPr>
          <w:rFonts w:ascii="黑体" w:eastAsia="黑体" w:hAnsi="宋体" w:cs="黑体" w:hint="eastAsia"/>
          <w:kern w:val="0"/>
          <w:sz w:val="44"/>
          <w:szCs w:val="44"/>
          <w:shd w:val="clear" w:color="auto" w:fill="FFFFFF"/>
          <w:lang w:bidi="ar"/>
        </w:rPr>
        <w:t>目  录</w:t>
      </w:r>
    </w:p>
    <w:p w14:paraId="20209DE0" w14:textId="77777777" w:rsidR="00BF6740" w:rsidRDefault="00000000">
      <w:pPr>
        <w:pStyle w:val="a3"/>
        <w:widowControl/>
        <w:snapToGrid w:val="0"/>
        <w:spacing w:beforeAutospacing="0"/>
        <w:rPr>
          <w:rFonts w:cs="宋体" w:hint="eastAsia"/>
          <w:sz w:val="32"/>
          <w:szCs w:val="32"/>
          <w:shd w:val="clear" w:color="auto" w:fill="FFFFFF"/>
        </w:rPr>
      </w:pPr>
      <w:r>
        <w:rPr>
          <w:rFonts w:ascii="黑体" w:eastAsia="黑体" w:cs="黑体" w:hint="eastAsia"/>
          <w:sz w:val="32"/>
          <w:szCs w:val="32"/>
          <w:shd w:val="clear" w:color="auto" w:fill="FFFFFF"/>
          <w:lang w:bidi="ar"/>
        </w:rPr>
        <w:t>第一部分</w:t>
      </w:r>
      <w:r>
        <w:rPr>
          <w:rFonts w:ascii="黑体" w:eastAsia="黑体" w:hAnsi="ˎ̥" w:cs="黑体" w:hint="eastAsia"/>
          <w:sz w:val="32"/>
          <w:szCs w:val="32"/>
          <w:shd w:val="clear" w:color="auto" w:fill="FFFFFF"/>
          <w:lang w:bidi="ar"/>
        </w:rPr>
        <w:t xml:space="preserve"> </w:t>
      </w:r>
      <w:r>
        <w:rPr>
          <w:rFonts w:ascii="黑体" w:eastAsia="黑体" w:cs="黑体" w:hint="eastAsia"/>
          <w:sz w:val="32"/>
          <w:szCs w:val="32"/>
          <w:shd w:val="clear" w:color="auto" w:fill="FFFFFF"/>
          <w:lang w:bidi="ar"/>
        </w:rPr>
        <w:t>基本情况</w:t>
      </w:r>
      <w:r>
        <w:rPr>
          <w:rFonts w:cs="宋体" w:hint="eastAsia"/>
          <w:sz w:val="32"/>
          <w:szCs w:val="32"/>
          <w:shd w:val="clear" w:color="auto" w:fill="FFFFFF"/>
          <w:lang w:bidi="ar"/>
        </w:rPr>
        <w:t xml:space="preserve"> …………………………………………3</w:t>
      </w:r>
    </w:p>
    <w:p w14:paraId="326BD4A8"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lang w:bidi="ar"/>
        </w:rPr>
        <w:t>一、部门职责 ………………………………………………3</w:t>
      </w:r>
    </w:p>
    <w:p w14:paraId="3B0CC853"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lang w:bidi="ar"/>
        </w:rPr>
        <w:t>二、机构设置 ………………………………………………3</w:t>
      </w:r>
    </w:p>
    <w:p w14:paraId="38A01AD3" w14:textId="77777777" w:rsidR="00BF6740" w:rsidRDefault="00000000">
      <w:pPr>
        <w:pStyle w:val="a3"/>
        <w:widowControl/>
        <w:snapToGrid w:val="0"/>
        <w:spacing w:beforeAutospacing="0"/>
        <w:rPr>
          <w:rFonts w:cs="宋体" w:hint="eastAsia"/>
          <w:sz w:val="32"/>
          <w:szCs w:val="32"/>
          <w:shd w:val="clear" w:color="auto" w:fill="FFFFFF"/>
        </w:rPr>
      </w:pPr>
      <w:r>
        <w:rPr>
          <w:rFonts w:ascii="黑体" w:eastAsia="黑体" w:cs="黑体" w:hint="eastAsia"/>
          <w:sz w:val="32"/>
          <w:szCs w:val="32"/>
          <w:shd w:val="clear" w:color="auto" w:fill="FFFFFF"/>
          <w:lang w:bidi="ar"/>
        </w:rPr>
        <w:t>第二部分</w:t>
      </w:r>
      <w:r>
        <w:rPr>
          <w:rFonts w:ascii="黑体" w:eastAsia="黑体" w:hAnsi="ˎ̥" w:cs="黑体" w:hint="eastAsia"/>
          <w:sz w:val="32"/>
          <w:szCs w:val="32"/>
          <w:shd w:val="clear" w:color="auto" w:fill="FFFFFF"/>
          <w:lang w:bidi="ar"/>
        </w:rPr>
        <w:t xml:space="preserve">  </w:t>
      </w:r>
      <w:r>
        <w:rPr>
          <w:rFonts w:ascii="黑体" w:eastAsia="黑体" w:cs="黑体" w:hint="eastAsia"/>
          <w:sz w:val="32"/>
          <w:szCs w:val="32"/>
          <w:shd w:val="clear" w:color="auto" w:fill="FFFFFF"/>
          <w:lang w:bidi="ar"/>
        </w:rPr>
        <w:t>2022年度部门决算公开表</w:t>
      </w:r>
      <w:r>
        <w:rPr>
          <w:rFonts w:cs="宋体" w:hint="eastAsia"/>
          <w:sz w:val="32"/>
          <w:szCs w:val="32"/>
          <w:shd w:val="clear" w:color="auto" w:fill="FFFFFF"/>
          <w:lang w:bidi="ar"/>
        </w:rPr>
        <w:t xml:space="preserve">  ……………………3</w:t>
      </w:r>
    </w:p>
    <w:p w14:paraId="66679B19" w14:textId="77777777" w:rsidR="00BF6740" w:rsidRDefault="00000000">
      <w:pPr>
        <w:pStyle w:val="a3"/>
        <w:widowControl/>
        <w:snapToGrid w:val="0"/>
        <w:spacing w:beforeAutospacing="0"/>
        <w:rPr>
          <w:rFonts w:cs="宋体" w:hint="eastAsia"/>
          <w:sz w:val="32"/>
          <w:szCs w:val="32"/>
          <w:shd w:val="clear" w:color="auto" w:fill="FFFFFF"/>
        </w:rPr>
      </w:pPr>
      <w:r>
        <w:rPr>
          <w:rFonts w:ascii="黑体" w:eastAsia="黑体" w:cs="黑体" w:hint="eastAsia"/>
          <w:sz w:val="32"/>
          <w:szCs w:val="32"/>
          <w:shd w:val="clear" w:color="auto" w:fill="FFFFFF"/>
          <w:lang w:bidi="ar"/>
        </w:rPr>
        <w:t>第三部分</w:t>
      </w:r>
      <w:r>
        <w:rPr>
          <w:rFonts w:cs="宋体" w:hint="eastAsia"/>
          <w:sz w:val="32"/>
          <w:szCs w:val="32"/>
          <w:shd w:val="clear" w:color="auto" w:fill="FFFFFF"/>
          <w:lang w:bidi="ar"/>
        </w:rPr>
        <w:t xml:space="preserve">  </w:t>
      </w:r>
      <w:r>
        <w:rPr>
          <w:rFonts w:ascii="黑体" w:eastAsia="黑体" w:cs="黑体" w:hint="eastAsia"/>
          <w:sz w:val="32"/>
          <w:szCs w:val="32"/>
          <w:shd w:val="clear" w:color="auto" w:fill="FFFFFF"/>
          <w:lang w:bidi="ar"/>
        </w:rPr>
        <w:t>2022年度部门决算情况说明</w:t>
      </w:r>
      <w:r>
        <w:rPr>
          <w:rFonts w:cs="宋体" w:hint="eastAsia"/>
          <w:sz w:val="32"/>
          <w:szCs w:val="32"/>
          <w:shd w:val="clear" w:color="auto" w:fill="FFFFFF"/>
          <w:lang w:bidi="ar"/>
        </w:rPr>
        <w:t xml:space="preserve">  …………………4</w:t>
      </w:r>
    </w:p>
    <w:p w14:paraId="270840C8"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 xml:space="preserve">一、收入支出总体情况说明 </w:t>
      </w:r>
      <w:r>
        <w:rPr>
          <w:rFonts w:ascii="仿宋" w:eastAsia="仿宋" w:hAnsi="仿宋" w:cs="仿宋" w:hint="eastAsia"/>
          <w:sz w:val="32"/>
          <w:szCs w:val="32"/>
          <w:shd w:val="clear" w:color="auto" w:fill="FFFFFF"/>
          <w:lang w:bidi="ar"/>
        </w:rPr>
        <w:t>………………………………4</w:t>
      </w:r>
    </w:p>
    <w:p w14:paraId="29ACD9C4"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二、收入决算情况说明</w:t>
      </w:r>
      <w:r>
        <w:rPr>
          <w:rFonts w:ascii="仿宋" w:eastAsia="仿宋" w:hAnsi="仿宋" w:cs="仿宋" w:hint="eastAsia"/>
          <w:sz w:val="32"/>
          <w:szCs w:val="32"/>
          <w:shd w:val="clear" w:color="auto" w:fill="FFFFFF"/>
          <w:lang w:bidi="ar"/>
        </w:rPr>
        <w:t xml:space="preserve">   …………………………………5</w:t>
      </w:r>
    </w:p>
    <w:p w14:paraId="37CA8E41"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三、支出决算情况说明</w:t>
      </w:r>
      <w:r>
        <w:rPr>
          <w:rFonts w:ascii="仿宋" w:eastAsia="仿宋" w:hAnsi="仿宋" w:cs="仿宋" w:hint="eastAsia"/>
          <w:sz w:val="32"/>
          <w:szCs w:val="32"/>
          <w:shd w:val="clear" w:color="auto" w:fill="FFFFFF"/>
          <w:lang w:bidi="ar"/>
        </w:rPr>
        <w:t xml:space="preserve">   …………………………………5</w:t>
      </w:r>
    </w:p>
    <w:p w14:paraId="32483AA3"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四、财政拨款收入支出决算情况说明</w:t>
      </w:r>
      <w:r>
        <w:rPr>
          <w:rFonts w:ascii="仿宋" w:eastAsia="仿宋" w:hAnsi="仿宋" w:cs="仿宋" w:hint="eastAsia"/>
          <w:sz w:val="32"/>
          <w:szCs w:val="32"/>
          <w:shd w:val="clear" w:color="auto" w:fill="FFFFFF"/>
          <w:lang w:bidi="ar"/>
        </w:rPr>
        <w:t xml:space="preserve"> ……………………5</w:t>
      </w:r>
    </w:p>
    <w:p w14:paraId="6625B936"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五、一般公共预算财政拨款支出决算情况说明</w:t>
      </w:r>
      <w:r>
        <w:rPr>
          <w:rFonts w:ascii="仿宋" w:eastAsia="仿宋" w:hAnsi="仿宋" w:cs="仿宋" w:hint="eastAsia"/>
          <w:sz w:val="32"/>
          <w:szCs w:val="32"/>
          <w:shd w:val="clear" w:color="auto" w:fill="FFFFFF"/>
          <w:lang w:bidi="ar"/>
        </w:rPr>
        <w:t xml:space="preserve"> …………6</w:t>
      </w:r>
    </w:p>
    <w:p w14:paraId="5D007D98"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六、一般公共预算财政拨款基本支出决算情况说明</w:t>
      </w:r>
      <w:r>
        <w:rPr>
          <w:rFonts w:ascii="仿宋" w:eastAsia="仿宋" w:hAnsi="仿宋" w:cs="仿宋" w:hint="eastAsia"/>
          <w:sz w:val="32"/>
          <w:szCs w:val="32"/>
          <w:shd w:val="clear" w:color="auto" w:fill="FFFFFF"/>
          <w:lang w:bidi="ar"/>
        </w:rPr>
        <w:t xml:space="preserve"> ……7</w:t>
      </w:r>
    </w:p>
    <w:p w14:paraId="19615C89" w14:textId="77777777" w:rsidR="00BF6740" w:rsidRDefault="00000000">
      <w:pPr>
        <w:pStyle w:val="a3"/>
        <w:widowControl/>
        <w:snapToGrid w:val="0"/>
        <w:spacing w:beforeAutospacing="0"/>
        <w:ind w:firstLineChars="100" w:firstLine="320"/>
        <w:jc w:val="both"/>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1.政府性基金预算财政拨款收入支出决算情况说明</w:t>
      </w:r>
      <w:r>
        <w:rPr>
          <w:rFonts w:ascii="仿宋" w:eastAsia="仿宋" w:hAnsi="仿宋" w:cs="仿宋" w:hint="eastAsia"/>
          <w:sz w:val="32"/>
          <w:szCs w:val="32"/>
          <w:shd w:val="clear" w:color="auto" w:fill="FFFFFF"/>
          <w:lang w:bidi="ar"/>
        </w:rPr>
        <w:t>……8</w:t>
      </w:r>
    </w:p>
    <w:p w14:paraId="02AC9CBF" w14:textId="77777777" w:rsidR="00BF6740" w:rsidRDefault="00000000">
      <w:pPr>
        <w:pStyle w:val="a3"/>
        <w:widowControl/>
        <w:snapToGrid w:val="0"/>
        <w:spacing w:beforeAutospacing="0"/>
        <w:ind w:firstLineChars="100" w:firstLine="32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2.国有资本经营预算财政拨款收入支出决算情况说明</w:t>
      </w:r>
      <w:r>
        <w:rPr>
          <w:rFonts w:ascii="仿宋" w:eastAsia="仿宋" w:hAnsi="仿宋" w:cs="仿宋" w:hint="eastAsia"/>
          <w:sz w:val="32"/>
          <w:szCs w:val="32"/>
          <w:shd w:val="clear" w:color="auto" w:fill="FFFFFF"/>
          <w:lang w:bidi="ar"/>
        </w:rPr>
        <w:t>…8</w:t>
      </w:r>
    </w:p>
    <w:p w14:paraId="1FD509A7"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九、财政拨款“三公”经费支出决算情况说明</w:t>
      </w:r>
      <w:r>
        <w:rPr>
          <w:rFonts w:ascii="仿宋" w:eastAsia="仿宋" w:hAnsi="仿宋" w:cs="仿宋" w:hint="eastAsia"/>
          <w:sz w:val="32"/>
          <w:szCs w:val="32"/>
          <w:shd w:val="clear" w:color="auto" w:fill="FFFFFF"/>
          <w:lang w:bidi="ar"/>
        </w:rPr>
        <w:t xml:space="preserve"> …………8</w:t>
      </w:r>
    </w:p>
    <w:p w14:paraId="7035022C"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十、预算绩效情况说明</w:t>
      </w:r>
      <w:r>
        <w:rPr>
          <w:rFonts w:ascii="仿宋" w:eastAsia="仿宋" w:hAnsi="仿宋" w:cs="仿宋" w:hint="eastAsia"/>
          <w:sz w:val="32"/>
          <w:szCs w:val="32"/>
          <w:shd w:val="clear" w:color="auto" w:fill="FFFFFF"/>
          <w:lang w:bidi="ar"/>
        </w:rPr>
        <w:t xml:space="preserve"> ……………………………………11</w:t>
      </w:r>
    </w:p>
    <w:p w14:paraId="6B12D478" w14:textId="77777777" w:rsidR="00BF6740" w:rsidRDefault="00000000">
      <w:pPr>
        <w:pStyle w:val="a3"/>
        <w:widowControl/>
        <w:snapToGrid w:val="0"/>
        <w:spacing w:beforeAutospacing="0"/>
        <w:ind w:left="20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lang w:bidi="ar"/>
        </w:rPr>
        <w:t xml:space="preserve">十一、其他重要事项情况说明 </w:t>
      </w:r>
      <w:r>
        <w:rPr>
          <w:rFonts w:ascii="仿宋" w:eastAsia="仿宋" w:hAnsi="仿宋" w:cs="仿宋" w:hint="eastAsia"/>
          <w:sz w:val="32"/>
          <w:szCs w:val="32"/>
          <w:shd w:val="clear" w:color="auto" w:fill="FFFFFF"/>
          <w:lang w:bidi="ar"/>
        </w:rPr>
        <w:t>……………………………11</w:t>
      </w:r>
    </w:p>
    <w:p w14:paraId="1332F6FC" w14:textId="77777777" w:rsidR="00BF6740" w:rsidRDefault="00000000">
      <w:pPr>
        <w:pStyle w:val="a3"/>
        <w:widowControl/>
        <w:snapToGrid w:val="0"/>
        <w:spacing w:beforeAutospacing="0"/>
        <w:rPr>
          <w:rFonts w:ascii="黑体" w:eastAsia="黑体" w:hAnsi="ˎ̥" w:cs="黑体" w:hint="eastAsia"/>
          <w:b/>
          <w:sz w:val="32"/>
          <w:szCs w:val="32"/>
          <w:shd w:val="clear" w:color="auto" w:fill="FFFFFF"/>
        </w:rPr>
      </w:pPr>
      <w:r>
        <w:rPr>
          <w:rFonts w:ascii="黑体" w:eastAsia="黑体" w:cs="黑体" w:hint="eastAsia"/>
          <w:sz w:val="32"/>
          <w:szCs w:val="32"/>
          <w:shd w:val="clear" w:color="auto" w:fill="FFFFFF"/>
          <w:lang w:bidi="ar"/>
        </w:rPr>
        <w:lastRenderedPageBreak/>
        <w:t>第四部分</w:t>
      </w:r>
      <w:r>
        <w:rPr>
          <w:rFonts w:ascii="黑体" w:eastAsia="黑体" w:hAnsi="ˎ̥" w:cs="黑体" w:hint="eastAsia"/>
          <w:sz w:val="32"/>
          <w:szCs w:val="32"/>
          <w:shd w:val="clear" w:color="auto" w:fill="FFFFFF"/>
          <w:lang w:bidi="ar"/>
        </w:rPr>
        <w:t xml:space="preserve">  </w:t>
      </w:r>
      <w:r>
        <w:rPr>
          <w:rFonts w:ascii="黑体" w:eastAsia="黑体" w:cs="黑体" w:hint="eastAsia"/>
          <w:sz w:val="32"/>
          <w:szCs w:val="32"/>
          <w:shd w:val="clear" w:color="auto" w:fill="FFFFFF"/>
          <w:lang w:bidi="ar"/>
        </w:rPr>
        <w:t>名词解释</w:t>
      </w:r>
      <w:r>
        <w:rPr>
          <w:rFonts w:cs="宋体" w:hint="eastAsia"/>
          <w:sz w:val="32"/>
          <w:szCs w:val="32"/>
          <w:shd w:val="clear" w:color="auto" w:fill="FFFFFF"/>
          <w:lang w:bidi="ar"/>
        </w:rPr>
        <w:t xml:space="preserve"> ………………………………………13</w:t>
      </w:r>
    </w:p>
    <w:p w14:paraId="28A691FC"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ˎ̥" w:cs="黑体" w:hint="eastAsia"/>
          <w:kern w:val="0"/>
          <w:sz w:val="32"/>
          <w:szCs w:val="32"/>
          <w:shd w:val="clear" w:color="auto" w:fill="FFFFFF"/>
          <w:lang w:bidi="ar"/>
        </w:rPr>
        <w:t xml:space="preserve"> </w:t>
      </w:r>
    </w:p>
    <w:p w14:paraId="6F27356C"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第一部分</w:t>
      </w:r>
      <w:r>
        <w:rPr>
          <w:rFonts w:ascii="黑体" w:eastAsia="黑体" w:hAnsi="ˎ̥" w:cs="黑体" w:hint="eastAsia"/>
          <w:kern w:val="0"/>
          <w:sz w:val="32"/>
          <w:szCs w:val="32"/>
          <w:shd w:val="clear" w:color="auto" w:fill="FFFFFF"/>
          <w:lang w:bidi="ar"/>
        </w:rPr>
        <w:t xml:space="preserve">  </w:t>
      </w:r>
      <w:r>
        <w:rPr>
          <w:rFonts w:ascii="黑体" w:eastAsia="黑体" w:hAnsi="宋体" w:cs="黑体" w:hint="eastAsia"/>
          <w:kern w:val="0"/>
          <w:sz w:val="32"/>
          <w:szCs w:val="32"/>
          <w:shd w:val="clear" w:color="auto" w:fill="FFFFFF"/>
          <w:lang w:bidi="ar"/>
        </w:rPr>
        <w:t>基本情况</w:t>
      </w:r>
    </w:p>
    <w:p w14:paraId="595C65CD"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 xml:space="preserve"> </w:t>
      </w:r>
    </w:p>
    <w:p w14:paraId="78904403" w14:textId="77777777" w:rsidR="00BF6740" w:rsidRDefault="00000000">
      <w:pPr>
        <w:widowControl/>
        <w:snapToGrid w:val="0"/>
        <w:spacing w:afterAutospacing="1"/>
        <w:ind w:firstLineChars="200" w:firstLine="640"/>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一、部门（单位）职责</w:t>
      </w:r>
    </w:p>
    <w:p w14:paraId="56479066"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lang w:bidi="ar"/>
        </w:rPr>
      </w:pPr>
      <w:r>
        <w:rPr>
          <w:rFonts w:ascii="仿宋_GB2312" w:eastAsia="仿宋_GB2312" w:hAnsi="ˎ̥" w:cs="仿宋_GB2312" w:hint="eastAsia"/>
          <w:kern w:val="0"/>
          <w:sz w:val="32"/>
          <w:szCs w:val="32"/>
          <w:shd w:val="clear" w:color="auto" w:fill="FFFFFF"/>
          <w:lang w:bidi="ar"/>
        </w:rPr>
        <w:t>海南省国兴中学是海南省教育厅直属重点中学。实施实践义务教学和高中学历教育，开展有关教育教学科研工作，积极发挥重点学校对全省中学教育教学活动的示范作用，并承办上级主管部门交办的其他工作。</w:t>
      </w:r>
    </w:p>
    <w:p w14:paraId="63D23F35"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lang w:bidi="ar"/>
        </w:rPr>
      </w:pPr>
      <w:r>
        <w:rPr>
          <w:rFonts w:ascii="仿宋_GB2312" w:eastAsia="仿宋_GB2312" w:hAnsi="ˎ̥" w:cs="仿宋_GB2312" w:hint="eastAsia"/>
          <w:kern w:val="0"/>
          <w:sz w:val="32"/>
          <w:szCs w:val="32"/>
          <w:shd w:val="clear" w:color="auto" w:fill="FFFFFF"/>
          <w:lang w:bidi="ar"/>
        </w:rPr>
        <w:t>按照琼编﹝1989﹞80号关于设立海南省民侨中学的批复，根据省委琼发（1988）15号文关于在省会筹建一所民族中学和省政府办公厅琼府办（1989）33号文关于省人民政府决定在琼山县府城镇创办民侨院校的指示精神，建立海南省民侨中学，归口省教育厅管理，内设教导处、总务处，办学规模30个班，办学宗旨为进一步发展我省民族、华侨教育事业，加快培养输送我省各类高质量人才，以适应海南特区经济建设的需要。</w:t>
      </w:r>
    </w:p>
    <w:p w14:paraId="542A9333" w14:textId="77777777" w:rsidR="00BF6740" w:rsidRDefault="00000000">
      <w:pPr>
        <w:widowControl/>
        <w:snapToGrid w:val="0"/>
        <w:spacing w:afterAutospacing="1"/>
        <w:ind w:firstLineChars="200" w:firstLine="640"/>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二、机构设置</w:t>
      </w:r>
    </w:p>
    <w:p w14:paraId="5C68C307" w14:textId="76B6AE32"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纳入海南省国兴中学2022年度部门决算编制范围的单位共1个，没有下属单位，单位内设机构</w:t>
      </w:r>
      <w:r>
        <w:rPr>
          <w:rFonts w:ascii="仿宋_GB2312" w:eastAsia="仿宋_GB2312" w:hAnsi="ˎ̥" w:cs="仿宋_GB2312" w:hint="eastAsia"/>
          <w:kern w:val="0"/>
          <w:sz w:val="32"/>
          <w:szCs w:val="32"/>
          <w:shd w:val="clear" w:color="auto" w:fill="FFFFFF"/>
          <w:lang w:bidi="ar"/>
        </w:rPr>
        <w:t>有</w:t>
      </w:r>
      <w:r w:rsidR="006A2943" w:rsidRPr="006A2943">
        <w:rPr>
          <w:rFonts w:ascii="仿宋_GB2312" w:eastAsia="仿宋_GB2312" w:hAnsi="ˎ̥" w:cs="仿宋_GB2312" w:hint="eastAsia"/>
          <w:kern w:val="0"/>
          <w:sz w:val="32"/>
          <w:szCs w:val="32"/>
          <w:highlight w:val="cyan"/>
          <w:shd w:val="clear" w:color="auto" w:fill="FFFFFF"/>
          <w:lang w:bidi="ar"/>
        </w:rPr>
        <w:t>党委办公室、行政办公室（含融媒体中心）、教务科、教研室、学生科、总务科、体卫艺科、保卫科、信息科、督导科、民族基础教育联盟办公室、工会、团委（含少工委）</w:t>
      </w:r>
      <w:r>
        <w:rPr>
          <w:rFonts w:ascii="仿宋_GB2312" w:eastAsia="仿宋_GB2312" w:hAnsi="ˎ̥" w:cs="仿宋_GB2312" w:hint="eastAsia"/>
          <w:kern w:val="0"/>
          <w:sz w:val="32"/>
          <w:szCs w:val="32"/>
          <w:shd w:val="clear" w:color="auto" w:fill="FFFFFF"/>
          <w:lang w:bidi="ar"/>
        </w:rPr>
        <w:t>等13个，</w:t>
      </w:r>
      <w:r>
        <w:rPr>
          <w:rFonts w:ascii="仿宋_GB2312" w:eastAsia="仿宋_GB2312" w:hAnsi="ˎ̥" w:cs="仿宋_GB2312"/>
          <w:kern w:val="0"/>
          <w:sz w:val="32"/>
          <w:szCs w:val="32"/>
          <w:shd w:val="clear" w:color="auto" w:fill="FFFFFF"/>
          <w:lang w:bidi="ar"/>
        </w:rPr>
        <w:t>仅限于管理需要，没有单独核算。</w:t>
      </w:r>
    </w:p>
    <w:p w14:paraId="0967C15E"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第二部分</w:t>
      </w:r>
      <w:r>
        <w:rPr>
          <w:rFonts w:ascii="黑体" w:eastAsia="黑体" w:hAnsi="ˎ̥" w:cs="黑体" w:hint="eastAsia"/>
          <w:kern w:val="0"/>
          <w:sz w:val="32"/>
          <w:szCs w:val="32"/>
          <w:shd w:val="clear" w:color="auto" w:fill="FFFFFF"/>
          <w:lang w:bidi="ar"/>
        </w:rPr>
        <w:t xml:space="preserve">  </w:t>
      </w:r>
      <w:r>
        <w:rPr>
          <w:rFonts w:ascii="黑体" w:eastAsia="黑体" w:hAnsi="宋体" w:cs="黑体" w:hint="eastAsia"/>
          <w:kern w:val="0"/>
          <w:sz w:val="32"/>
          <w:szCs w:val="32"/>
          <w:shd w:val="clear" w:color="auto" w:fill="FFFFFF"/>
          <w:lang w:bidi="ar"/>
        </w:rPr>
        <w:t>2022年度部门决算公开报表</w:t>
      </w:r>
    </w:p>
    <w:p w14:paraId="530B955B" w14:textId="77777777" w:rsidR="00BF6740" w:rsidRDefault="00000000">
      <w:pPr>
        <w:widowControl/>
        <w:snapToGrid w:val="0"/>
        <w:spacing w:afterAutospacing="1"/>
        <w:ind w:firstLine="645"/>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一、收入支出决算公开表</w:t>
      </w:r>
    </w:p>
    <w:p w14:paraId="10882302" w14:textId="77777777" w:rsidR="00BF6740" w:rsidRDefault="00000000">
      <w:pPr>
        <w:widowControl/>
        <w:snapToGrid w:val="0"/>
        <w:spacing w:afterAutospacing="1"/>
        <w:ind w:firstLine="645"/>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lastRenderedPageBreak/>
        <w:t>二、收入决算公开表</w:t>
      </w:r>
    </w:p>
    <w:p w14:paraId="3F9C78BB" w14:textId="77777777" w:rsidR="00BF6740" w:rsidRDefault="00000000">
      <w:pPr>
        <w:widowControl/>
        <w:snapToGrid w:val="0"/>
        <w:spacing w:afterAutospacing="1"/>
        <w:ind w:firstLine="645"/>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三、支出决算公开表</w:t>
      </w:r>
    </w:p>
    <w:p w14:paraId="79577BFA" w14:textId="77777777" w:rsidR="00BF6740" w:rsidRDefault="00000000">
      <w:pPr>
        <w:widowControl/>
        <w:snapToGrid w:val="0"/>
        <w:spacing w:afterAutospacing="1"/>
        <w:ind w:firstLine="645"/>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四、财政拨款收入支出决算公开表</w:t>
      </w:r>
    </w:p>
    <w:p w14:paraId="28A3F979" w14:textId="77777777" w:rsidR="00BF6740" w:rsidRDefault="00000000">
      <w:pPr>
        <w:widowControl/>
        <w:snapToGrid w:val="0"/>
        <w:spacing w:afterAutospacing="1"/>
        <w:ind w:firstLine="645"/>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五、一般公共预算财政拨款收入支出决算公开表</w:t>
      </w:r>
    </w:p>
    <w:p w14:paraId="0F9EA90B" w14:textId="77777777" w:rsidR="00BF6740" w:rsidRDefault="00000000">
      <w:pPr>
        <w:widowControl/>
        <w:snapToGrid w:val="0"/>
        <w:spacing w:afterAutospacing="1"/>
        <w:ind w:firstLine="645"/>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六、一般公共预算财政拨款基本支出决算公开表</w:t>
      </w:r>
    </w:p>
    <w:p w14:paraId="17FF0DB7" w14:textId="77777777" w:rsidR="00BF6740" w:rsidRDefault="00000000">
      <w:pPr>
        <w:widowControl/>
        <w:snapToGrid w:val="0"/>
        <w:spacing w:afterAutospacing="1"/>
        <w:ind w:leftChars="304" w:left="1118" w:hangingChars="150" w:hanging="480"/>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七、政府性基金预算财政拨款收入支出决算公开表</w:t>
      </w:r>
    </w:p>
    <w:p w14:paraId="7525D09D" w14:textId="77777777" w:rsidR="00BF6740" w:rsidRDefault="00000000">
      <w:pPr>
        <w:widowControl/>
        <w:snapToGrid w:val="0"/>
        <w:spacing w:afterAutospacing="1"/>
        <w:ind w:leftChars="304" w:left="1118" w:hangingChars="150" w:hanging="480"/>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八、国有资本经营预算财政拨款收入支出决算公开表</w:t>
      </w:r>
    </w:p>
    <w:p w14:paraId="2FFC544C" w14:textId="77777777" w:rsidR="00BF6740" w:rsidRDefault="00000000">
      <w:pPr>
        <w:widowControl/>
        <w:snapToGrid w:val="0"/>
        <w:spacing w:afterAutospacing="1"/>
        <w:ind w:firstLine="640"/>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九、财政拨款“三公”经费支出决算公开表</w:t>
      </w:r>
    </w:p>
    <w:p w14:paraId="0465D28C" w14:textId="77777777" w:rsidR="00BF6740" w:rsidRDefault="00000000">
      <w:pPr>
        <w:widowControl/>
        <w:snapToGrid w:val="0"/>
        <w:spacing w:afterAutospacing="1"/>
        <w:ind w:firstLine="640"/>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 xml:space="preserve">以上报表见附件1。   </w:t>
      </w:r>
    </w:p>
    <w:p w14:paraId="5F826172" w14:textId="77777777" w:rsidR="00BF6740" w:rsidRDefault="00000000">
      <w:pPr>
        <w:widowControl/>
        <w:snapToGrid w:val="0"/>
        <w:spacing w:afterAutospacing="1"/>
        <w:jc w:val="left"/>
        <w:rPr>
          <w:rFonts w:ascii="黑体" w:eastAsia="黑体" w:hAnsi="宋体"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 xml:space="preserve"> </w:t>
      </w:r>
    </w:p>
    <w:p w14:paraId="7E9A9F95"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第三部分</w:t>
      </w:r>
      <w:r>
        <w:rPr>
          <w:rFonts w:ascii="黑体" w:eastAsia="黑体" w:hAnsi="ˎ̥" w:cs="黑体" w:hint="eastAsia"/>
          <w:kern w:val="0"/>
          <w:sz w:val="32"/>
          <w:szCs w:val="32"/>
          <w:shd w:val="clear" w:color="auto" w:fill="FFFFFF"/>
          <w:lang w:bidi="ar"/>
        </w:rPr>
        <w:t xml:space="preserve">  </w:t>
      </w:r>
      <w:r>
        <w:rPr>
          <w:rFonts w:ascii="黑体" w:eastAsia="黑体" w:hAnsi="宋体" w:cs="黑体" w:hint="eastAsia"/>
          <w:kern w:val="0"/>
          <w:sz w:val="32"/>
          <w:szCs w:val="32"/>
          <w:shd w:val="clear" w:color="auto" w:fill="FFFFFF"/>
          <w:lang w:bidi="ar"/>
        </w:rPr>
        <w:t>2022年度部门决算情况说明</w:t>
      </w:r>
    </w:p>
    <w:p w14:paraId="278CE5D1"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ˎ̥" w:cs="黑体" w:hint="eastAsia"/>
          <w:kern w:val="0"/>
          <w:sz w:val="32"/>
          <w:szCs w:val="32"/>
          <w:shd w:val="clear" w:color="auto" w:fill="FFFFFF"/>
          <w:lang w:bidi="ar"/>
        </w:rPr>
        <w:t xml:space="preserve"> </w:t>
      </w:r>
    </w:p>
    <w:p w14:paraId="12EEA0FC" w14:textId="77777777" w:rsidR="00BF6740" w:rsidRDefault="00000000">
      <w:pPr>
        <w:widowControl/>
        <w:snapToGrid w:val="0"/>
        <w:spacing w:afterAutospacing="1"/>
        <w:ind w:firstLineChars="200" w:firstLine="640"/>
        <w:jc w:val="left"/>
        <w:rPr>
          <w:rFonts w:ascii="黑体" w:eastAsia="黑体" w:hAnsi="宋体" w:cs="黑体" w:hint="eastAsia"/>
          <w:bCs/>
          <w:kern w:val="0"/>
          <w:sz w:val="32"/>
          <w:szCs w:val="32"/>
          <w:shd w:val="clear" w:color="auto" w:fill="FFFFFF"/>
          <w:lang w:bidi="ar"/>
        </w:rPr>
      </w:pPr>
      <w:r>
        <w:rPr>
          <w:rFonts w:ascii="黑体" w:eastAsia="黑体" w:hAnsi="宋体" w:cs="黑体" w:hint="eastAsia"/>
          <w:bCs/>
          <w:kern w:val="0"/>
          <w:sz w:val="32"/>
          <w:szCs w:val="32"/>
          <w:shd w:val="clear" w:color="auto" w:fill="FFFFFF"/>
          <w:lang w:bidi="ar"/>
        </w:rPr>
        <w:t>一、收入支出总体情况说明</w:t>
      </w:r>
    </w:p>
    <w:p w14:paraId="6A7306BB"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楷体_GB2312" w:eastAsia="楷体_GB2312" w:hAnsi="ˎ̥" w:cs="楷体_GB2312"/>
          <w:kern w:val="0"/>
          <w:sz w:val="32"/>
          <w:szCs w:val="32"/>
          <w:shd w:val="clear" w:color="auto" w:fill="FFFFFF"/>
          <w:lang w:bidi="ar"/>
        </w:rPr>
        <w:t xml:space="preserve">    </w:t>
      </w:r>
      <w:r>
        <w:rPr>
          <w:rFonts w:ascii="仿宋_GB2312" w:eastAsia="仿宋_GB2312" w:hAnsi="ˎ̥" w:cs="仿宋_GB2312"/>
          <w:kern w:val="0"/>
          <w:sz w:val="32"/>
          <w:szCs w:val="32"/>
          <w:shd w:val="clear" w:color="auto" w:fill="FFFFFF"/>
          <w:lang w:bidi="ar"/>
        </w:rPr>
        <w:t>2022年度收入总计</w:t>
      </w:r>
      <w:r>
        <w:rPr>
          <w:rFonts w:ascii="仿宋_GB2312" w:eastAsia="仿宋_GB2312" w:hAnsi="宋体" w:cs="仿宋_GB2312"/>
          <w:kern w:val="0"/>
          <w:sz w:val="32"/>
          <w:szCs w:val="32"/>
          <w:shd w:val="clear" w:color="auto" w:fill="FFFFFF"/>
          <w:lang w:bidi="ar"/>
        </w:rPr>
        <w:t>6,310.18</w:t>
      </w:r>
      <w:r>
        <w:rPr>
          <w:rFonts w:ascii="仿宋_GB2312" w:eastAsia="仿宋_GB2312" w:hAnsi="ˎ̥" w:cs="仿宋_GB2312"/>
          <w:kern w:val="0"/>
          <w:sz w:val="32"/>
          <w:szCs w:val="32"/>
          <w:shd w:val="clear" w:color="auto" w:fill="FFFFFF"/>
          <w:lang w:bidi="ar"/>
        </w:rPr>
        <w:t>万元，支出总计</w:t>
      </w:r>
      <w:r>
        <w:rPr>
          <w:rFonts w:ascii="仿宋_GB2312" w:eastAsia="仿宋_GB2312" w:hAnsi="宋体" w:cs="仿宋_GB2312"/>
          <w:kern w:val="0"/>
          <w:sz w:val="32"/>
          <w:szCs w:val="32"/>
          <w:shd w:val="clear" w:color="auto" w:fill="FFFFFF"/>
          <w:lang w:bidi="ar"/>
        </w:rPr>
        <w:t>6,310.18</w:t>
      </w:r>
      <w:r>
        <w:rPr>
          <w:rFonts w:ascii="仿宋_GB2312" w:eastAsia="仿宋_GB2312" w:hAnsi="ˎ̥" w:cs="仿宋_GB2312"/>
          <w:kern w:val="0"/>
          <w:sz w:val="32"/>
          <w:szCs w:val="32"/>
          <w:shd w:val="clear" w:color="auto" w:fill="FFFFFF"/>
          <w:lang w:bidi="ar"/>
        </w:rPr>
        <w:t>万元，与2021年度相比，收入、支出总计各增加627.23万元，增长11.04%。主要原因：一是基本支出增加；二是项目支出增加。使用非财政拨款结余</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万元，较2021年度决算数没有变化，主要原因是未使用非财政拨款结余。年初结转结余</w:t>
      </w:r>
      <w:r>
        <w:rPr>
          <w:rFonts w:ascii="仿宋_GB2312" w:eastAsia="仿宋_GB2312" w:hAnsi="宋体" w:cs="仿宋_GB2312"/>
          <w:kern w:val="0"/>
          <w:sz w:val="32"/>
          <w:szCs w:val="32"/>
          <w:shd w:val="clear" w:color="auto" w:fill="FFFFFF"/>
          <w:lang w:bidi="ar"/>
        </w:rPr>
        <w:t>58.62</w:t>
      </w:r>
      <w:r>
        <w:rPr>
          <w:rFonts w:ascii="仿宋_GB2312" w:eastAsia="仿宋_GB2312" w:hAnsi="ˎ̥" w:cs="仿宋_GB2312"/>
          <w:kern w:val="0"/>
          <w:sz w:val="32"/>
          <w:szCs w:val="32"/>
          <w:shd w:val="clear" w:color="auto" w:fill="FFFFFF"/>
          <w:lang w:bidi="ar"/>
        </w:rPr>
        <w:t>万元，主要是事业单位收入及专项项目资金结余，较2021年度决算数增加5.64万元，增长10.64%，主要原因是专项资金支出减少。结余分配</w:t>
      </w:r>
      <w:r>
        <w:rPr>
          <w:rFonts w:ascii="仿宋_GB2312" w:eastAsia="仿宋_GB2312" w:hAnsi="宋体" w:cs="仿宋_GB2312"/>
          <w:kern w:val="0"/>
          <w:sz w:val="32"/>
          <w:szCs w:val="32"/>
          <w:shd w:val="clear" w:color="auto" w:fill="FFFFFF"/>
          <w:lang w:bidi="ar"/>
        </w:rPr>
        <w:t>43.46</w:t>
      </w:r>
      <w:r>
        <w:rPr>
          <w:rFonts w:ascii="仿宋_GB2312" w:eastAsia="仿宋_GB2312" w:hAnsi="ˎ̥" w:cs="仿宋_GB2312"/>
          <w:kern w:val="0"/>
          <w:sz w:val="32"/>
          <w:szCs w:val="32"/>
          <w:shd w:val="clear" w:color="auto" w:fill="FFFFFF"/>
          <w:lang w:bidi="ar"/>
        </w:rPr>
        <w:t>万元，主要是事业单位收入资金结余及专项项目资金（教师工作室资金），较2021年度决算数减少15.16万元，下降25.86%，</w:t>
      </w:r>
      <w:r>
        <w:rPr>
          <w:rFonts w:ascii="仿宋_GB2312" w:eastAsia="仿宋_GB2312" w:hAnsi="ˎ̥" w:cs="仿宋_GB2312"/>
          <w:kern w:val="0"/>
          <w:sz w:val="32"/>
          <w:szCs w:val="32"/>
          <w:shd w:val="clear" w:color="auto" w:fill="FFFFFF"/>
          <w:lang w:bidi="ar"/>
        </w:rPr>
        <w:lastRenderedPageBreak/>
        <w:t>主要原因是事业单位收入资金当年使用增加。年末结转结余</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万元，较2021年度决算数没有变化。</w:t>
      </w:r>
    </w:p>
    <w:p w14:paraId="77C4BF1F" w14:textId="77777777" w:rsidR="00BF6740" w:rsidRDefault="00000000">
      <w:pPr>
        <w:widowControl/>
        <w:snapToGrid w:val="0"/>
        <w:spacing w:afterAutospacing="1"/>
        <w:ind w:firstLineChars="200" w:firstLine="640"/>
        <w:jc w:val="left"/>
        <w:rPr>
          <w:rFonts w:ascii="黑体" w:eastAsia="黑体" w:hAnsi="宋体" w:cs="黑体" w:hint="eastAsia"/>
          <w:bCs/>
          <w:kern w:val="0"/>
          <w:sz w:val="32"/>
          <w:szCs w:val="32"/>
          <w:shd w:val="clear" w:color="auto" w:fill="FFFFFF"/>
          <w:lang w:bidi="ar"/>
        </w:rPr>
      </w:pPr>
      <w:r>
        <w:rPr>
          <w:rFonts w:ascii="黑体" w:eastAsia="黑体" w:hAnsi="宋体" w:cs="黑体" w:hint="eastAsia"/>
          <w:bCs/>
          <w:kern w:val="0"/>
          <w:sz w:val="32"/>
          <w:szCs w:val="32"/>
          <w:shd w:val="clear" w:color="auto" w:fill="FFFFFF"/>
          <w:lang w:bidi="ar"/>
        </w:rPr>
        <w:t>二、收入决算情况说明</w:t>
      </w:r>
    </w:p>
    <w:p w14:paraId="3FAAE7A6"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 xml:space="preserve">    本年收入合计</w:t>
      </w:r>
      <w:r>
        <w:rPr>
          <w:rFonts w:ascii="仿宋_GB2312" w:eastAsia="仿宋_GB2312" w:hAnsi="宋体" w:cs="仿宋_GB2312"/>
          <w:kern w:val="0"/>
          <w:sz w:val="32"/>
          <w:szCs w:val="32"/>
          <w:shd w:val="clear" w:color="auto" w:fill="FFFFFF"/>
          <w:lang w:bidi="ar"/>
        </w:rPr>
        <w:t>6,251.56</w:t>
      </w:r>
      <w:r>
        <w:rPr>
          <w:rFonts w:ascii="仿宋_GB2312" w:eastAsia="仿宋_GB2312" w:hAnsi="ˎ̥" w:cs="仿宋_GB2312"/>
          <w:kern w:val="0"/>
          <w:sz w:val="32"/>
          <w:szCs w:val="32"/>
          <w:shd w:val="clear" w:color="auto" w:fill="FFFFFF"/>
          <w:lang w:bidi="ar"/>
        </w:rPr>
        <w:t>万元，其中：财政拨款收入</w:t>
      </w:r>
      <w:r>
        <w:rPr>
          <w:rFonts w:ascii="仿宋_GB2312" w:eastAsia="仿宋_GB2312" w:hAnsi="宋体" w:cs="仿宋_GB2312"/>
          <w:kern w:val="0"/>
          <w:sz w:val="32"/>
          <w:szCs w:val="32"/>
          <w:shd w:val="clear" w:color="auto" w:fill="FFFFFF"/>
          <w:lang w:bidi="ar"/>
        </w:rPr>
        <w:t>6,116.99</w:t>
      </w:r>
      <w:r>
        <w:rPr>
          <w:rFonts w:ascii="仿宋_GB2312" w:eastAsia="仿宋_GB2312" w:hAnsi="ˎ̥" w:cs="仿宋_GB2312"/>
          <w:kern w:val="0"/>
          <w:sz w:val="32"/>
          <w:szCs w:val="32"/>
          <w:shd w:val="clear" w:color="auto" w:fill="FFFFFF"/>
          <w:lang w:bidi="ar"/>
        </w:rPr>
        <w:t>万元，占97.85%；上级补助收入</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万元，占0%；事业收入</w:t>
      </w:r>
      <w:r>
        <w:rPr>
          <w:rFonts w:ascii="仿宋_GB2312" w:eastAsia="仿宋_GB2312" w:hAnsi="宋体" w:cs="仿宋_GB2312"/>
          <w:kern w:val="0"/>
          <w:sz w:val="32"/>
          <w:szCs w:val="32"/>
          <w:shd w:val="clear" w:color="auto" w:fill="FFFFFF"/>
          <w:lang w:bidi="ar"/>
        </w:rPr>
        <w:t>129.53</w:t>
      </w:r>
      <w:r>
        <w:rPr>
          <w:rFonts w:ascii="仿宋_GB2312" w:eastAsia="仿宋_GB2312" w:hAnsi="ˎ̥" w:cs="仿宋_GB2312"/>
          <w:kern w:val="0"/>
          <w:sz w:val="32"/>
          <w:szCs w:val="32"/>
          <w:shd w:val="clear" w:color="auto" w:fill="FFFFFF"/>
          <w:lang w:bidi="ar"/>
        </w:rPr>
        <w:t>万元，占2.07%；经营收入</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万元，占0%；附属单位上缴收入</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万元，占0%；其他收入</w:t>
      </w:r>
      <w:r>
        <w:rPr>
          <w:rFonts w:ascii="仿宋_GB2312" w:eastAsia="仿宋_GB2312" w:hAnsi="宋体" w:cs="仿宋_GB2312"/>
          <w:kern w:val="0"/>
          <w:sz w:val="32"/>
          <w:szCs w:val="32"/>
          <w:shd w:val="clear" w:color="auto" w:fill="FFFFFF"/>
          <w:lang w:bidi="ar"/>
        </w:rPr>
        <w:t>5.03</w:t>
      </w:r>
      <w:r>
        <w:rPr>
          <w:rFonts w:ascii="仿宋_GB2312" w:eastAsia="仿宋_GB2312" w:hAnsi="ˎ̥" w:cs="仿宋_GB2312"/>
          <w:kern w:val="0"/>
          <w:sz w:val="32"/>
          <w:szCs w:val="32"/>
          <w:shd w:val="clear" w:color="auto" w:fill="FFFFFF"/>
          <w:lang w:bidi="ar"/>
        </w:rPr>
        <w:t>万元，占0.08%。</w:t>
      </w:r>
    </w:p>
    <w:p w14:paraId="13FCB7F4" w14:textId="77777777" w:rsidR="00BF6740" w:rsidRDefault="00000000">
      <w:pPr>
        <w:widowControl/>
        <w:snapToGrid w:val="0"/>
        <w:spacing w:afterAutospacing="1"/>
        <w:ind w:firstLineChars="196" w:firstLine="627"/>
        <w:jc w:val="left"/>
        <w:rPr>
          <w:rFonts w:ascii="黑体" w:eastAsia="黑体" w:hAnsi="宋体" w:cs="黑体" w:hint="eastAsia"/>
          <w:bCs/>
          <w:kern w:val="0"/>
          <w:sz w:val="32"/>
          <w:szCs w:val="32"/>
          <w:shd w:val="clear" w:color="auto" w:fill="FFFFFF"/>
        </w:rPr>
      </w:pPr>
      <w:r>
        <w:rPr>
          <w:rFonts w:ascii="黑体" w:eastAsia="黑体" w:hAnsi="宋体" w:cs="黑体" w:hint="eastAsia"/>
          <w:bCs/>
          <w:kern w:val="0"/>
          <w:sz w:val="32"/>
          <w:szCs w:val="32"/>
          <w:shd w:val="clear" w:color="auto" w:fill="FFFFFF"/>
          <w:lang w:bidi="ar"/>
        </w:rPr>
        <w:t>三、支出决算情况说明</w:t>
      </w:r>
    </w:p>
    <w:p w14:paraId="090742B0"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本年支出合计</w:t>
      </w:r>
      <w:r>
        <w:rPr>
          <w:rFonts w:ascii="仿宋_GB2312" w:eastAsia="仿宋_GB2312" w:hAnsi="宋体" w:cs="仿宋_GB2312"/>
          <w:kern w:val="0"/>
          <w:sz w:val="32"/>
          <w:szCs w:val="32"/>
          <w:shd w:val="clear" w:color="auto" w:fill="FFFFFF"/>
          <w:lang w:bidi="ar"/>
        </w:rPr>
        <w:t>6,266.71</w:t>
      </w:r>
      <w:r>
        <w:rPr>
          <w:rFonts w:ascii="仿宋_GB2312" w:eastAsia="仿宋_GB2312" w:hAnsi="ˎ̥" w:cs="仿宋_GB2312"/>
          <w:kern w:val="0"/>
          <w:sz w:val="32"/>
          <w:szCs w:val="32"/>
          <w:shd w:val="clear" w:color="auto" w:fill="FFFFFF"/>
          <w:lang w:bidi="ar"/>
        </w:rPr>
        <w:t>万元，其中：基本支出</w:t>
      </w:r>
      <w:r>
        <w:rPr>
          <w:rFonts w:ascii="仿宋_GB2312" w:eastAsia="仿宋_GB2312" w:hAnsi="宋体" w:cs="仿宋_GB2312"/>
          <w:kern w:val="0"/>
          <w:sz w:val="32"/>
          <w:szCs w:val="32"/>
          <w:shd w:val="clear" w:color="auto" w:fill="FFFFFF"/>
          <w:lang w:bidi="ar"/>
        </w:rPr>
        <w:t>4,632.04</w:t>
      </w:r>
      <w:r>
        <w:rPr>
          <w:rFonts w:ascii="仿宋_GB2312" w:eastAsia="仿宋_GB2312" w:hAnsi="ˎ̥" w:cs="仿宋_GB2312"/>
          <w:kern w:val="0"/>
          <w:sz w:val="32"/>
          <w:szCs w:val="32"/>
          <w:shd w:val="clear" w:color="auto" w:fill="FFFFFF"/>
          <w:lang w:bidi="ar"/>
        </w:rPr>
        <w:t>万元，占73.92%；项目支出</w:t>
      </w:r>
      <w:r>
        <w:rPr>
          <w:rFonts w:ascii="仿宋_GB2312" w:eastAsia="仿宋_GB2312" w:hAnsi="宋体" w:cs="仿宋_GB2312"/>
          <w:kern w:val="0"/>
          <w:sz w:val="32"/>
          <w:szCs w:val="32"/>
          <w:shd w:val="clear" w:color="auto" w:fill="FFFFFF"/>
          <w:lang w:bidi="ar"/>
        </w:rPr>
        <w:t>1,634.67</w:t>
      </w:r>
      <w:r>
        <w:rPr>
          <w:rFonts w:ascii="仿宋_GB2312" w:eastAsia="仿宋_GB2312" w:hAnsi="ˎ̥" w:cs="仿宋_GB2312"/>
          <w:kern w:val="0"/>
          <w:sz w:val="32"/>
          <w:szCs w:val="32"/>
          <w:shd w:val="clear" w:color="auto" w:fill="FFFFFF"/>
          <w:lang w:bidi="ar"/>
        </w:rPr>
        <w:t>万元，占26.08%；上缴上级支出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万元，占0%；经营支出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万元，占0%；对附属单位补助支出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w:t>
      </w:r>
    </w:p>
    <w:p w14:paraId="467D68C3" w14:textId="77777777" w:rsidR="00BF6740" w:rsidRDefault="00000000">
      <w:pPr>
        <w:widowControl/>
        <w:snapToGrid w:val="0"/>
        <w:spacing w:afterAutospacing="1"/>
        <w:ind w:firstLineChars="196" w:firstLine="627"/>
        <w:jc w:val="left"/>
        <w:rPr>
          <w:rFonts w:ascii="黑体" w:eastAsia="黑体" w:hAnsi="宋体" w:cs="黑体" w:hint="eastAsia"/>
          <w:bCs/>
          <w:kern w:val="0"/>
          <w:sz w:val="32"/>
          <w:szCs w:val="32"/>
          <w:shd w:val="clear" w:color="auto" w:fill="FFFFFF"/>
        </w:rPr>
      </w:pPr>
      <w:r>
        <w:rPr>
          <w:rFonts w:ascii="黑体" w:eastAsia="黑体" w:hAnsi="宋体" w:cs="黑体" w:hint="eastAsia"/>
          <w:bCs/>
          <w:kern w:val="0"/>
          <w:sz w:val="32"/>
          <w:szCs w:val="32"/>
          <w:shd w:val="clear" w:color="auto" w:fill="FFFFFF"/>
          <w:lang w:bidi="ar"/>
        </w:rPr>
        <w:t>四、财政拨款收入支出决算总体情况说明</w:t>
      </w:r>
    </w:p>
    <w:p w14:paraId="3276AF4A"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2022年度财政拨款收入</w:t>
      </w:r>
      <w:r>
        <w:rPr>
          <w:rFonts w:ascii="仿宋_GB2312" w:eastAsia="仿宋_GB2312" w:hAnsi="宋体" w:cs="仿宋_GB2312"/>
          <w:kern w:val="0"/>
          <w:sz w:val="32"/>
          <w:szCs w:val="32"/>
          <w:shd w:val="clear" w:color="auto" w:fill="FFFFFF"/>
          <w:lang w:bidi="ar"/>
        </w:rPr>
        <w:t>6,116.99</w:t>
      </w:r>
      <w:r>
        <w:rPr>
          <w:rFonts w:ascii="仿宋_GB2312" w:eastAsia="仿宋_GB2312" w:hAnsi="ˎ̥" w:cs="仿宋_GB2312"/>
          <w:kern w:val="0"/>
          <w:sz w:val="32"/>
          <w:szCs w:val="32"/>
          <w:shd w:val="clear" w:color="auto" w:fill="FFFFFF"/>
          <w:lang w:bidi="ar"/>
        </w:rPr>
        <w:t>万元，支出</w:t>
      </w:r>
      <w:r>
        <w:rPr>
          <w:rFonts w:ascii="仿宋_GB2312" w:eastAsia="仿宋_GB2312" w:hAnsi="宋体" w:cs="仿宋_GB2312"/>
          <w:kern w:val="0"/>
          <w:sz w:val="32"/>
          <w:szCs w:val="32"/>
          <w:shd w:val="clear" w:color="auto" w:fill="FFFFFF"/>
          <w:lang w:bidi="ar"/>
        </w:rPr>
        <w:t>6,116.99</w:t>
      </w:r>
      <w:r>
        <w:rPr>
          <w:rFonts w:ascii="仿宋_GB2312" w:eastAsia="仿宋_GB2312" w:hAnsi="ˎ̥" w:cs="仿宋_GB2312"/>
          <w:kern w:val="0"/>
          <w:sz w:val="32"/>
          <w:szCs w:val="32"/>
          <w:shd w:val="clear" w:color="auto" w:fill="FFFFFF"/>
          <w:lang w:bidi="ar"/>
        </w:rPr>
        <w:t>万元。与2021年度相比，财政拨款收入、支出各增加655.01万元，增长11.99%。主要原因：一是</w:t>
      </w:r>
      <w:r>
        <w:rPr>
          <w:rFonts w:ascii="仿宋_GB2312" w:eastAsia="仿宋_GB2312" w:hAnsi="ˎ̥" w:cs="仿宋_GB2312"/>
          <w:kern w:val="0"/>
          <w:sz w:val="32"/>
          <w:szCs w:val="32"/>
          <w:lang w:bidi="ar"/>
        </w:rPr>
        <w:t>教育支出增加；二是社会保障及就业、卫生健康支出、住房保障支出增加</w:t>
      </w:r>
      <w:r>
        <w:rPr>
          <w:rFonts w:ascii="仿宋_GB2312" w:eastAsia="仿宋_GB2312" w:hAnsi="ˎ̥" w:cs="仿宋_GB2312"/>
          <w:kern w:val="0"/>
          <w:sz w:val="32"/>
          <w:szCs w:val="32"/>
          <w:shd w:val="clear" w:color="auto" w:fill="FFFFFF"/>
          <w:lang w:bidi="ar"/>
        </w:rPr>
        <w:t>。</w:t>
      </w:r>
    </w:p>
    <w:p w14:paraId="7A68CDAA"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财政拨款年初结转结余</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万元，较2021年度决算数减少0.19万元，下降100%，主要原因是原结转项目（学生资助补助）不再申请结转。</w:t>
      </w:r>
    </w:p>
    <w:p w14:paraId="61C73DBC"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财政拨款年末结转结余</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万元，较2021年度年末决算数没有变化，主要原因是这两个年度均没有结转结余。</w:t>
      </w:r>
    </w:p>
    <w:p w14:paraId="42576A83" w14:textId="77777777" w:rsidR="00BF6740" w:rsidRDefault="00000000">
      <w:pPr>
        <w:widowControl/>
        <w:snapToGrid w:val="0"/>
        <w:spacing w:afterAutospacing="1"/>
        <w:ind w:firstLineChars="196" w:firstLine="627"/>
        <w:jc w:val="left"/>
        <w:rPr>
          <w:rFonts w:ascii="黑体" w:eastAsia="黑体" w:hAnsi="宋体" w:cs="黑体" w:hint="eastAsia"/>
          <w:bCs/>
          <w:kern w:val="0"/>
          <w:sz w:val="32"/>
          <w:szCs w:val="32"/>
          <w:shd w:val="clear" w:color="auto" w:fill="FFFFFF"/>
        </w:rPr>
      </w:pPr>
      <w:r>
        <w:rPr>
          <w:rFonts w:ascii="黑体" w:eastAsia="黑体" w:hAnsi="宋体" w:cs="黑体" w:hint="eastAsia"/>
          <w:bCs/>
          <w:kern w:val="0"/>
          <w:sz w:val="32"/>
          <w:szCs w:val="32"/>
          <w:shd w:val="clear" w:color="auto" w:fill="FFFFFF"/>
          <w:lang w:bidi="ar"/>
        </w:rPr>
        <w:t>五、一般公共预算财政拨款支出决算情况说明</w:t>
      </w:r>
    </w:p>
    <w:p w14:paraId="0C0706E8"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（一）一般公共预算财政拨款支出决算总体情况。</w:t>
      </w:r>
    </w:p>
    <w:p w14:paraId="3F36CEEE"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lastRenderedPageBreak/>
        <w:t>2022年度一般公共预算财政拨款支出</w:t>
      </w:r>
      <w:r>
        <w:rPr>
          <w:rFonts w:ascii="仿宋_GB2312" w:eastAsia="仿宋_GB2312" w:hAnsi="宋体" w:cs="仿宋_GB2312"/>
          <w:kern w:val="0"/>
          <w:sz w:val="32"/>
          <w:szCs w:val="32"/>
          <w:shd w:val="clear" w:color="auto" w:fill="FFFFFF"/>
          <w:lang w:bidi="ar"/>
        </w:rPr>
        <w:t>6,116.99</w:t>
      </w:r>
      <w:r>
        <w:rPr>
          <w:rFonts w:ascii="仿宋_GB2312" w:eastAsia="仿宋_GB2312" w:hAnsi="ˎ̥" w:cs="仿宋_GB2312"/>
          <w:kern w:val="0"/>
          <w:sz w:val="32"/>
          <w:szCs w:val="32"/>
          <w:shd w:val="clear" w:color="auto" w:fill="FFFFFF"/>
          <w:lang w:bidi="ar"/>
        </w:rPr>
        <w:t>万元，占本年支出合计的97.61%。与2021年度相比，一般公共预算财政拨款支出增加655.01万元，增长11.99%，主要原因一是</w:t>
      </w:r>
      <w:r>
        <w:rPr>
          <w:rFonts w:ascii="仿宋_GB2312" w:eastAsia="仿宋_GB2312" w:hAnsi="ˎ̥" w:cs="仿宋_GB2312"/>
          <w:kern w:val="0"/>
          <w:sz w:val="32"/>
          <w:szCs w:val="32"/>
          <w:lang w:bidi="ar"/>
        </w:rPr>
        <w:t>教育支出增加；二是社会保障及就业、卫生健康支出、住房保障支出增加</w:t>
      </w:r>
      <w:r>
        <w:rPr>
          <w:rFonts w:ascii="仿宋_GB2312" w:eastAsia="仿宋_GB2312" w:hAnsi="ˎ̥" w:cs="仿宋_GB2312"/>
          <w:kern w:val="0"/>
          <w:sz w:val="32"/>
          <w:szCs w:val="32"/>
          <w:shd w:val="clear" w:color="auto" w:fill="FFFFFF"/>
          <w:lang w:bidi="ar"/>
        </w:rPr>
        <w:t>。</w:t>
      </w:r>
    </w:p>
    <w:p w14:paraId="4C52051F"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（二）一般公共预算财政拨款支出决算结构情况。</w:t>
      </w:r>
    </w:p>
    <w:p w14:paraId="57EED4DC"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2022年度一般公共预算财政拨款支出</w:t>
      </w:r>
      <w:r>
        <w:rPr>
          <w:rFonts w:ascii="仿宋_GB2312" w:eastAsia="仿宋_GB2312" w:hAnsi="宋体" w:cs="仿宋_GB2312"/>
          <w:kern w:val="0"/>
          <w:sz w:val="32"/>
          <w:szCs w:val="32"/>
          <w:shd w:val="clear" w:color="auto" w:fill="FFFFFF"/>
          <w:lang w:bidi="ar"/>
        </w:rPr>
        <w:t>6,116.99</w:t>
      </w:r>
      <w:r>
        <w:rPr>
          <w:rFonts w:ascii="仿宋_GB2312" w:eastAsia="仿宋_GB2312" w:hAnsi="ˎ̥" w:cs="仿宋_GB2312"/>
          <w:kern w:val="0"/>
          <w:sz w:val="32"/>
          <w:szCs w:val="32"/>
          <w:shd w:val="clear" w:color="auto" w:fill="FFFFFF"/>
          <w:lang w:bidi="ar"/>
        </w:rPr>
        <w:t>万元，主要用于以下方面：</w:t>
      </w:r>
      <w:r>
        <w:rPr>
          <w:rFonts w:ascii="仿宋_GB2312" w:eastAsia="仿宋_GB2312" w:hAnsi="ˎ̥" w:cs="仿宋_GB2312"/>
          <w:b/>
          <w:kern w:val="0"/>
          <w:sz w:val="32"/>
          <w:szCs w:val="32"/>
          <w:shd w:val="clear" w:color="auto" w:fill="FFFFFF"/>
          <w:lang w:bidi="ar"/>
        </w:rPr>
        <w:t>教育支出（类）</w:t>
      </w:r>
      <w:r>
        <w:rPr>
          <w:rFonts w:ascii="仿宋_GB2312" w:eastAsia="仿宋_GB2312" w:hAnsi="ˎ̥" w:cs="仿宋_GB2312"/>
          <w:kern w:val="0"/>
          <w:sz w:val="32"/>
          <w:szCs w:val="32"/>
          <w:shd w:val="clear" w:color="auto" w:fill="FFFFFF"/>
          <w:lang w:bidi="ar"/>
        </w:rPr>
        <w:t>支出4</w:t>
      </w:r>
      <w:r>
        <w:rPr>
          <w:rFonts w:ascii="仿宋_GB2312" w:eastAsia="仿宋_GB2312" w:hAnsi="ˎ̥" w:cs="仿宋_GB2312" w:hint="eastAsia"/>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945.24万元，占80.84%；</w:t>
      </w:r>
      <w:r>
        <w:rPr>
          <w:rFonts w:ascii="仿宋_GB2312" w:eastAsia="仿宋_GB2312" w:hAnsi="ˎ̥" w:cs="仿宋_GB2312"/>
          <w:b/>
          <w:kern w:val="0"/>
          <w:sz w:val="32"/>
          <w:szCs w:val="32"/>
          <w:shd w:val="clear" w:color="auto" w:fill="FFFFFF"/>
          <w:lang w:bidi="ar"/>
        </w:rPr>
        <w:t>社会保障和就业（类）</w:t>
      </w:r>
      <w:r>
        <w:rPr>
          <w:rFonts w:ascii="仿宋_GB2312" w:eastAsia="仿宋_GB2312" w:hAnsi="ˎ̥" w:cs="仿宋_GB2312"/>
          <w:kern w:val="0"/>
          <w:sz w:val="32"/>
          <w:szCs w:val="32"/>
          <w:shd w:val="clear" w:color="auto" w:fill="FFFFFF"/>
          <w:lang w:bidi="ar"/>
        </w:rPr>
        <w:t>支出665.79万元，占10.88%；卫生健康（类）支出177.55万元，占2.90%，</w:t>
      </w:r>
      <w:r>
        <w:rPr>
          <w:rFonts w:ascii="仿宋_GB2312" w:eastAsia="仿宋_GB2312" w:hAnsi="ˎ̥" w:cs="仿宋_GB2312"/>
          <w:b/>
          <w:bCs/>
          <w:kern w:val="0"/>
          <w:sz w:val="32"/>
          <w:szCs w:val="32"/>
          <w:shd w:val="clear" w:color="auto" w:fill="FFFFFF"/>
          <w:lang w:bidi="ar"/>
        </w:rPr>
        <w:t>住房保障（类）</w:t>
      </w:r>
      <w:r>
        <w:rPr>
          <w:rFonts w:ascii="仿宋_GB2312" w:eastAsia="仿宋_GB2312" w:hAnsi="ˎ̥" w:cs="仿宋_GB2312"/>
          <w:kern w:val="0"/>
          <w:sz w:val="32"/>
          <w:szCs w:val="32"/>
          <w:shd w:val="clear" w:color="auto" w:fill="FFFFFF"/>
          <w:lang w:bidi="ar"/>
        </w:rPr>
        <w:t>支出328.41万元，占5.37%。</w:t>
      </w:r>
    </w:p>
    <w:p w14:paraId="1E38C840"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（三）一般公共预算财政拨款支出决算具体情况。</w:t>
      </w:r>
    </w:p>
    <w:p w14:paraId="1ACEFBC9"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2022年度一般公共预算财政拨款支出年初预算为6</w:t>
      </w:r>
      <w:r>
        <w:rPr>
          <w:rFonts w:ascii="仿宋_GB2312" w:eastAsia="仿宋_GB2312" w:hAnsi="ˎ̥" w:cs="仿宋_GB2312" w:hint="eastAsia"/>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116.99万元，支出决算为</w:t>
      </w:r>
      <w:r>
        <w:rPr>
          <w:rFonts w:ascii="仿宋_GB2312" w:eastAsia="仿宋_GB2312" w:hAnsi="宋体" w:cs="仿宋_GB2312"/>
          <w:kern w:val="0"/>
          <w:sz w:val="32"/>
          <w:szCs w:val="32"/>
          <w:shd w:val="clear" w:color="auto" w:fill="FFFFFF"/>
          <w:lang w:bidi="ar"/>
        </w:rPr>
        <w:t>6,116.99</w:t>
      </w:r>
      <w:r>
        <w:rPr>
          <w:rFonts w:ascii="仿宋_GB2312" w:eastAsia="仿宋_GB2312" w:hAnsi="ˎ̥" w:cs="仿宋_GB2312"/>
          <w:kern w:val="0"/>
          <w:sz w:val="32"/>
          <w:szCs w:val="32"/>
          <w:shd w:val="clear" w:color="auto" w:fill="FFFFFF"/>
          <w:lang w:bidi="ar"/>
        </w:rPr>
        <w:t>万元，完成年初预算的100%。其中：</w:t>
      </w:r>
    </w:p>
    <w:p w14:paraId="6C9FD7AC" w14:textId="77777777" w:rsidR="00BF6740" w:rsidRDefault="00000000">
      <w:pPr>
        <w:widowControl/>
        <w:snapToGrid w:val="0"/>
        <w:spacing w:afterAutospacing="1"/>
        <w:ind w:firstLineChars="200" w:firstLine="640"/>
        <w:jc w:val="left"/>
        <w:rPr>
          <w:rFonts w:ascii="仿宋_GB2312" w:eastAsia="仿宋_GB2312" w:hAnsi="ˎ̥" w:cs="仿宋_GB2312" w:hint="eastAsia"/>
          <w:b/>
          <w:kern w:val="0"/>
          <w:sz w:val="32"/>
          <w:szCs w:val="32"/>
          <w:shd w:val="clear" w:color="auto" w:fill="FFFFFF"/>
        </w:rPr>
      </w:pPr>
      <w:r>
        <w:rPr>
          <w:rFonts w:ascii="仿宋_GB2312" w:eastAsia="仿宋_GB2312" w:hAnsi="ˎ̥" w:cs="仿宋_GB2312"/>
          <w:kern w:val="0"/>
          <w:sz w:val="32"/>
          <w:szCs w:val="32"/>
          <w:shd w:val="clear" w:color="auto" w:fill="FFFFFF"/>
          <w:lang w:bidi="ar"/>
        </w:rPr>
        <w:t>1.</w:t>
      </w:r>
      <w:r>
        <w:rPr>
          <w:rFonts w:ascii="仿宋_GB2312" w:eastAsia="仿宋_GB2312" w:hAnsi="ˎ̥" w:cs="仿宋_GB2312"/>
          <w:b/>
          <w:kern w:val="0"/>
          <w:sz w:val="32"/>
          <w:szCs w:val="32"/>
          <w:shd w:val="clear" w:color="auto" w:fill="FFFFFF"/>
          <w:lang w:bidi="ar"/>
        </w:rPr>
        <w:t>教育支出（类）普通教育（款）初中教育（项）。</w:t>
      </w:r>
    </w:p>
    <w:p w14:paraId="2779361D"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年初预算为182.79万元，支出决算为182.79万元，完成年初预算的100%。</w:t>
      </w:r>
    </w:p>
    <w:p w14:paraId="34966763" w14:textId="77777777" w:rsidR="00BF6740" w:rsidRDefault="00000000">
      <w:pPr>
        <w:widowControl/>
        <w:snapToGrid w:val="0"/>
        <w:spacing w:afterAutospacing="1"/>
        <w:ind w:firstLineChars="200" w:firstLine="640"/>
        <w:jc w:val="left"/>
        <w:rPr>
          <w:rFonts w:ascii="仿宋_GB2312" w:eastAsia="仿宋_GB2312" w:hAnsi="ˎ̥" w:cs="仿宋_GB2312" w:hint="eastAsia"/>
          <w:b/>
          <w:kern w:val="0"/>
          <w:sz w:val="32"/>
          <w:szCs w:val="32"/>
          <w:shd w:val="clear" w:color="auto" w:fill="FFFFFF"/>
        </w:rPr>
      </w:pPr>
      <w:r>
        <w:rPr>
          <w:rFonts w:ascii="仿宋_GB2312" w:eastAsia="仿宋_GB2312" w:hAnsi="ˎ̥" w:cs="仿宋_GB2312"/>
          <w:kern w:val="0"/>
          <w:sz w:val="32"/>
          <w:szCs w:val="32"/>
          <w:shd w:val="clear" w:color="auto" w:fill="FFFFFF"/>
          <w:lang w:bidi="ar"/>
        </w:rPr>
        <w:t>2.</w:t>
      </w:r>
      <w:r>
        <w:rPr>
          <w:rFonts w:ascii="仿宋_GB2312" w:eastAsia="仿宋_GB2312" w:hAnsi="ˎ̥" w:cs="仿宋_GB2312"/>
          <w:b/>
          <w:kern w:val="0"/>
          <w:sz w:val="32"/>
          <w:szCs w:val="32"/>
          <w:shd w:val="clear" w:color="auto" w:fill="FFFFFF"/>
          <w:lang w:bidi="ar"/>
        </w:rPr>
        <w:t>教育支出（类）普通教育（款）高中教育（项）。</w:t>
      </w:r>
    </w:p>
    <w:p w14:paraId="7FFB54A1"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年初预算为4</w:t>
      </w:r>
      <w:r>
        <w:rPr>
          <w:rFonts w:ascii="仿宋_GB2312" w:eastAsia="仿宋_GB2312" w:hAnsi="ˎ̥" w:cs="仿宋_GB2312" w:hint="eastAsia"/>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762.45万元，支出决算为4</w:t>
      </w:r>
      <w:r>
        <w:rPr>
          <w:rFonts w:ascii="仿宋_GB2312" w:eastAsia="仿宋_GB2312" w:hAnsi="ˎ̥" w:cs="仿宋_GB2312" w:hint="eastAsia"/>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762.45万元，完成年初预算的100%。</w:t>
      </w:r>
    </w:p>
    <w:p w14:paraId="552B77DA"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3.社会保障和就业支出（类）行政事业单位养老支出（款）机关事业单位基本养老保险缴费支出（项）。</w:t>
      </w:r>
    </w:p>
    <w:p w14:paraId="56A0D964"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年初预算为395.91万元，支出决算为395.91万元，完成年初预算的100%。</w:t>
      </w:r>
    </w:p>
    <w:p w14:paraId="6BE69E07"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lastRenderedPageBreak/>
        <w:t>4.社会保障和就业支出（类）行政事业单位养老支出（款）机关事业单位职业年金缴费支出（项）。</w:t>
      </w:r>
    </w:p>
    <w:p w14:paraId="394E8239"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年初预算为266.76万元，支出决算为266.76万元，完成年初预算的100%。</w:t>
      </w:r>
    </w:p>
    <w:p w14:paraId="06969F3A"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5.社会保障和就业支出（类）抚恤（款）其他优抚支出（项）。</w:t>
      </w:r>
    </w:p>
    <w:p w14:paraId="7BDD0553"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年初预算为3.12万元，支出决算为3.12万元，完成年初预算的100%。</w:t>
      </w:r>
    </w:p>
    <w:p w14:paraId="5CBD5118"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6.卫生健康支出（类）行政事业单位医疗（款）事业单位医疗（项）。</w:t>
      </w:r>
    </w:p>
    <w:p w14:paraId="272C2D2B"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年初预算为177.55万元，支出决算为177.55万元，完成年初预算的100%。</w:t>
      </w:r>
    </w:p>
    <w:p w14:paraId="03C65053"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7.住房保障支出（类）住房改革支出（款）住房公积金（项）。</w:t>
      </w:r>
    </w:p>
    <w:p w14:paraId="10E356B6"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年初预算为328.41万元，支出决算为328.41万元，完成年初预算的100%。</w:t>
      </w:r>
    </w:p>
    <w:p w14:paraId="41708E8B" w14:textId="77777777" w:rsidR="00BF6740" w:rsidRDefault="00000000">
      <w:pPr>
        <w:widowControl/>
        <w:snapToGrid w:val="0"/>
        <w:spacing w:afterAutospacing="1"/>
        <w:ind w:firstLineChars="196" w:firstLine="627"/>
        <w:jc w:val="left"/>
        <w:rPr>
          <w:rFonts w:ascii="黑体" w:eastAsia="黑体" w:hAnsi="宋体" w:cs="黑体" w:hint="eastAsia"/>
          <w:kern w:val="0"/>
          <w:sz w:val="32"/>
          <w:szCs w:val="32"/>
          <w:shd w:val="clear" w:color="auto" w:fill="FFFFFF"/>
        </w:rPr>
      </w:pPr>
      <w:r>
        <w:rPr>
          <w:rFonts w:ascii="黑体" w:eastAsia="黑体" w:hAnsi="宋体" w:cs="黑体" w:hint="eastAsia"/>
          <w:bCs/>
          <w:kern w:val="0"/>
          <w:sz w:val="32"/>
          <w:szCs w:val="32"/>
          <w:shd w:val="clear" w:color="auto" w:fill="FFFFFF"/>
          <w:lang w:bidi="ar"/>
        </w:rPr>
        <w:t>六、一般公共预算财政拨款基本支出决算情况说明。</w:t>
      </w:r>
    </w:p>
    <w:p w14:paraId="7A764CE2"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2022年度财政拨款基本支出</w:t>
      </w:r>
      <w:r>
        <w:rPr>
          <w:rFonts w:ascii="仿宋_GB2312" w:eastAsia="仿宋_GB2312" w:hAnsi="宋体" w:cs="仿宋_GB2312"/>
          <w:kern w:val="0"/>
          <w:sz w:val="32"/>
          <w:szCs w:val="32"/>
          <w:shd w:val="clear" w:color="auto" w:fill="FFFFFF"/>
          <w:lang w:bidi="ar"/>
        </w:rPr>
        <w:t>4,502.50</w:t>
      </w:r>
      <w:r>
        <w:rPr>
          <w:rFonts w:ascii="仿宋_GB2312" w:eastAsia="仿宋_GB2312" w:hAnsi="ˎ̥" w:cs="仿宋_GB2312"/>
          <w:kern w:val="0"/>
          <w:sz w:val="32"/>
          <w:szCs w:val="32"/>
          <w:shd w:val="clear" w:color="auto" w:fill="FFFFFF"/>
          <w:lang w:bidi="ar"/>
        </w:rPr>
        <w:t>万元，其中：人员经费</w:t>
      </w:r>
      <w:r>
        <w:rPr>
          <w:rFonts w:ascii="仿宋_GB2312" w:eastAsia="仿宋_GB2312" w:hAnsi="宋体" w:cs="仿宋_GB2312"/>
          <w:kern w:val="0"/>
          <w:sz w:val="32"/>
          <w:szCs w:val="32"/>
          <w:shd w:val="clear" w:color="auto" w:fill="FFFFFF"/>
          <w:lang w:bidi="ar"/>
        </w:rPr>
        <w:t>4,289.61</w:t>
      </w:r>
      <w:r>
        <w:rPr>
          <w:rFonts w:ascii="仿宋_GB2312" w:eastAsia="仿宋_GB2312" w:hAnsi="ˎ̥" w:cs="仿宋_GB2312"/>
          <w:kern w:val="0"/>
          <w:sz w:val="32"/>
          <w:szCs w:val="32"/>
          <w:shd w:val="clear" w:color="auto" w:fill="FFFFFF"/>
          <w:lang w:bidi="ar"/>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退休费、生活补助、其他对个人和家庭的补助。公用经费</w:t>
      </w:r>
      <w:r>
        <w:rPr>
          <w:rFonts w:ascii="仿宋_GB2312" w:eastAsia="仿宋_GB2312" w:hAnsi="宋体" w:cs="仿宋_GB2312"/>
          <w:kern w:val="0"/>
          <w:sz w:val="32"/>
          <w:szCs w:val="32"/>
          <w:shd w:val="clear" w:color="auto" w:fill="FFFFFF"/>
          <w:lang w:bidi="ar"/>
        </w:rPr>
        <w:t>212.89</w:t>
      </w:r>
      <w:r>
        <w:rPr>
          <w:rFonts w:ascii="仿宋_GB2312" w:eastAsia="仿宋_GB2312" w:hAnsi="ˎ̥" w:cs="仿宋_GB2312"/>
          <w:kern w:val="0"/>
          <w:sz w:val="32"/>
          <w:szCs w:val="32"/>
          <w:shd w:val="clear" w:color="auto" w:fill="FFFFFF"/>
          <w:lang w:bidi="ar"/>
        </w:rPr>
        <w:t>万元，主要包括：商品和服务支出中的办公费、印刷费、水费、电费、邮电费、物业管理费、差旅费、维修（护）费、租赁费、培训费、专用材料费、劳务</w:t>
      </w:r>
      <w:r>
        <w:rPr>
          <w:rFonts w:ascii="仿宋_GB2312" w:eastAsia="仿宋_GB2312" w:hAnsi="ˎ̥" w:cs="仿宋_GB2312"/>
          <w:kern w:val="0"/>
          <w:sz w:val="32"/>
          <w:szCs w:val="32"/>
          <w:shd w:val="clear" w:color="auto" w:fill="FFFFFF"/>
          <w:lang w:bidi="ar"/>
        </w:rPr>
        <w:lastRenderedPageBreak/>
        <w:t>费、委托业务费、工会经费、其他交通费用、其他商品和服务支出；办公设备购置。</w:t>
      </w:r>
    </w:p>
    <w:p w14:paraId="7BE7D926" w14:textId="77777777" w:rsidR="00BF6740" w:rsidRDefault="00000000">
      <w:pPr>
        <w:widowControl/>
        <w:snapToGrid w:val="0"/>
        <w:spacing w:afterAutospacing="1"/>
        <w:ind w:firstLineChars="196" w:firstLine="627"/>
        <w:jc w:val="left"/>
        <w:rPr>
          <w:rFonts w:ascii="黑体" w:eastAsia="黑体" w:hAnsi="宋体" w:cs="黑体" w:hint="eastAsia"/>
          <w:bCs/>
          <w:kern w:val="0"/>
          <w:sz w:val="32"/>
          <w:szCs w:val="32"/>
          <w:shd w:val="clear" w:color="auto" w:fill="FFFFFF"/>
        </w:rPr>
      </w:pPr>
      <w:r>
        <w:rPr>
          <w:rFonts w:ascii="黑体" w:eastAsia="黑体" w:hAnsi="宋体" w:cs="黑体" w:hint="eastAsia"/>
          <w:bCs/>
          <w:kern w:val="0"/>
          <w:sz w:val="32"/>
          <w:szCs w:val="32"/>
          <w:shd w:val="clear" w:color="auto" w:fill="FFFFFF"/>
          <w:lang w:bidi="ar"/>
        </w:rPr>
        <w:t>七、政府性基金预算财政拨款支出决算情况说明</w:t>
      </w:r>
    </w:p>
    <w:p w14:paraId="58AF7040"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（一）政府性基金预算财政拨款支出决算总体情况。</w:t>
      </w:r>
    </w:p>
    <w:p w14:paraId="515B466C"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2022年度政府性基金预算财政拨款支出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万元，占本年支出合计的0%。与2021年度相比，政府性基金预算财政拨款支出增加0万元，增长（下降）0%，主要原因是本年度没有发生此项资金拨款支出。</w:t>
      </w:r>
    </w:p>
    <w:p w14:paraId="7AA8D773"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（二）政府性基金预算财政拨款支出决算结构情况。</w:t>
      </w:r>
    </w:p>
    <w:p w14:paraId="2F8C1515"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2022年度政府性基金预算财政拨款支出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万元，没有使用，支出决算结构情况：无。</w:t>
      </w:r>
    </w:p>
    <w:p w14:paraId="455241A6"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（三）政府性基金预算财政拨款支出决算具体情况。</w:t>
      </w:r>
    </w:p>
    <w:p w14:paraId="43C987A9"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2022年度政府性基金预算财政拨款支出年初预算为0.00万元，支出决算为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万元，无此项详细情况。</w:t>
      </w:r>
    </w:p>
    <w:p w14:paraId="0AC1FF4C" w14:textId="77777777" w:rsidR="00BF6740" w:rsidRDefault="00000000">
      <w:pPr>
        <w:widowControl/>
        <w:snapToGrid w:val="0"/>
        <w:spacing w:afterAutospacing="1"/>
        <w:ind w:firstLineChars="196" w:firstLine="627"/>
        <w:jc w:val="left"/>
        <w:rPr>
          <w:rFonts w:ascii="黑体" w:eastAsia="黑体" w:hAnsi="宋体" w:cs="黑体" w:hint="eastAsia"/>
          <w:bCs/>
          <w:kern w:val="0"/>
          <w:sz w:val="32"/>
          <w:szCs w:val="32"/>
          <w:shd w:val="clear" w:color="auto" w:fill="FFFFFF"/>
        </w:rPr>
      </w:pPr>
      <w:r>
        <w:rPr>
          <w:rFonts w:ascii="黑体" w:eastAsia="黑体" w:hAnsi="宋体" w:cs="黑体" w:hint="eastAsia"/>
          <w:bCs/>
          <w:kern w:val="0"/>
          <w:sz w:val="32"/>
          <w:szCs w:val="32"/>
          <w:shd w:val="clear" w:color="auto" w:fill="FFFFFF"/>
          <w:lang w:bidi="ar"/>
        </w:rPr>
        <w:t>八、国有资本经营预算财政拨款支出决算情况说明</w:t>
      </w:r>
    </w:p>
    <w:p w14:paraId="6FEBCF2A"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（一）国有资本经营预算财政拨款支出决算总体情况。</w:t>
      </w:r>
    </w:p>
    <w:p w14:paraId="7EBD35AC"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2022年度国有资本经营预算财政拨款支出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万元，占本年支出合计的0%。与2021年度相比，国有资本经营预算财政拨款支出增加0万元，增长0%，主要原因是无此项预算财政拨款情况。</w:t>
      </w:r>
    </w:p>
    <w:p w14:paraId="63E9515D"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（二）国有资本经营预算财政拨款支出决算结构情况。</w:t>
      </w:r>
    </w:p>
    <w:p w14:paraId="15343CB5"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2022年度国有资本经营预算财政拨款支出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万元，无此项情况。</w:t>
      </w:r>
    </w:p>
    <w:p w14:paraId="331E7884" w14:textId="77777777" w:rsidR="00BF6740" w:rsidRDefault="00000000">
      <w:pPr>
        <w:widowControl/>
        <w:snapToGrid w:val="0"/>
        <w:spacing w:afterAutospacing="1"/>
        <w:ind w:firstLineChars="200" w:firstLine="640"/>
        <w:jc w:val="left"/>
        <w:rPr>
          <w:rFonts w:ascii="楷体" w:eastAsia="楷体" w:hAnsi="楷体" w:cs="楷体" w:hint="eastAsia"/>
          <w:kern w:val="0"/>
          <w:sz w:val="32"/>
          <w:szCs w:val="32"/>
          <w:shd w:val="clear" w:color="auto" w:fill="FFFFFF"/>
        </w:rPr>
      </w:pPr>
      <w:r>
        <w:rPr>
          <w:rFonts w:ascii="楷体" w:eastAsia="楷体" w:hAnsi="楷体" w:cs="楷体" w:hint="eastAsia"/>
          <w:kern w:val="0"/>
          <w:sz w:val="32"/>
          <w:szCs w:val="32"/>
          <w:shd w:val="clear" w:color="auto" w:fill="FFFFFF"/>
          <w:lang w:bidi="ar"/>
        </w:rPr>
        <w:t>（三）国有资本经营预算财政拨款支出决算具体情况。</w:t>
      </w:r>
    </w:p>
    <w:p w14:paraId="740C9B8B"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lastRenderedPageBreak/>
        <w:t>2022年度国有资本经营预算财政拨款支出年初预算为0.00万元，支出决算</w:t>
      </w:r>
      <w:r>
        <w:rPr>
          <w:rFonts w:ascii="仿宋_GB2312" w:eastAsia="仿宋_GB2312" w:hAnsi="宋体" w:cs="仿宋_GB2312"/>
          <w:kern w:val="0"/>
          <w:sz w:val="32"/>
          <w:szCs w:val="32"/>
          <w:shd w:val="clear" w:color="auto" w:fill="FFFFFF"/>
          <w:lang w:bidi="ar"/>
        </w:rPr>
        <w:t>为0.00</w:t>
      </w:r>
      <w:r>
        <w:rPr>
          <w:rFonts w:ascii="仿宋_GB2312" w:eastAsia="仿宋_GB2312" w:hAnsi="ˎ̥" w:cs="仿宋_GB2312"/>
          <w:kern w:val="0"/>
          <w:sz w:val="32"/>
          <w:szCs w:val="32"/>
          <w:shd w:val="clear" w:color="auto" w:fill="FFFFFF"/>
          <w:lang w:bidi="ar"/>
        </w:rPr>
        <w:t>万元，无此项具体情况。</w:t>
      </w:r>
    </w:p>
    <w:p w14:paraId="0CC6F639" w14:textId="77777777" w:rsidR="00BF6740" w:rsidRDefault="00000000">
      <w:pPr>
        <w:widowControl/>
        <w:snapToGrid w:val="0"/>
        <w:spacing w:afterAutospacing="1"/>
        <w:ind w:firstLineChars="196" w:firstLine="627"/>
        <w:jc w:val="left"/>
        <w:rPr>
          <w:rFonts w:ascii="仿宋_GB2312" w:eastAsia="楷体_GB2312" w:hAnsi="ˎ̥" w:cs="仿宋_GB2312"/>
          <w:kern w:val="0"/>
          <w:sz w:val="32"/>
          <w:szCs w:val="32"/>
          <w:shd w:val="clear" w:color="auto" w:fill="FFFFFF"/>
        </w:rPr>
      </w:pPr>
      <w:r>
        <w:rPr>
          <w:rFonts w:ascii="黑体" w:eastAsia="黑体" w:hAnsi="宋体" w:cs="黑体" w:hint="eastAsia"/>
          <w:bCs/>
          <w:kern w:val="0"/>
          <w:sz w:val="32"/>
          <w:szCs w:val="32"/>
          <w:shd w:val="clear" w:color="auto" w:fill="FFFFFF"/>
          <w:lang w:bidi="ar"/>
        </w:rPr>
        <w:t>九、财政拨款“三公”经费支出决算情况说明</w:t>
      </w:r>
    </w:p>
    <w:p w14:paraId="10032A29" w14:textId="77777777" w:rsidR="00BF6740" w:rsidRDefault="00000000">
      <w:pPr>
        <w:widowControl/>
        <w:snapToGrid w:val="0"/>
        <w:spacing w:afterAutospacing="1"/>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（一）财政拨款“三公”经费支出决算总体情况说明。</w:t>
      </w:r>
    </w:p>
    <w:p w14:paraId="3469F752" w14:textId="77777777" w:rsidR="00BF6740" w:rsidRDefault="00000000">
      <w:pPr>
        <w:widowControl/>
        <w:snapToGrid w:val="0"/>
        <w:spacing w:afterAutospacing="1"/>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 xml:space="preserve">    2022年度财政拨款</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三公</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经费支出预算为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万元，支出决算为</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万元，完成预算的0%。</w:t>
      </w:r>
    </w:p>
    <w:p w14:paraId="112AC28E" w14:textId="77777777" w:rsidR="00BF6740" w:rsidRDefault="00000000">
      <w:pPr>
        <w:widowControl/>
        <w:snapToGrid w:val="0"/>
        <w:spacing w:afterAutospacing="1"/>
        <w:jc w:val="left"/>
        <w:rPr>
          <w:rFonts w:ascii="楷体" w:eastAsia="楷体" w:hAnsi="楷体" w:cs="楷体" w:hint="eastAsia"/>
          <w:kern w:val="0"/>
          <w:sz w:val="32"/>
          <w:szCs w:val="32"/>
          <w:shd w:val="clear" w:color="auto" w:fill="FFFFFF"/>
        </w:rPr>
      </w:pPr>
      <w:r>
        <w:rPr>
          <w:rFonts w:ascii="楷体" w:eastAsia="楷体" w:hAnsi="楷体" w:cs="楷体" w:hint="eastAsia"/>
          <w:b/>
          <w:bCs/>
          <w:kern w:val="0"/>
          <w:sz w:val="32"/>
          <w:szCs w:val="32"/>
          <w:shd w:val="clear" w:color="auto" w:fill="FFFFFF"/>
          <w:lang w:bidi="ar"/>
        </w:rPr>
        <w:t xml:space="preserve">   </w:t>
      </w:r>
      <w:r>
        <w:rPr>
          <w:rFonts w:ascii="楷体" w:eastAsia="楷体" w:hAnsi="楷体" w:cs="楷体" w:hint="eastAsia"/>
          <w:kern w:val="0"/>
          <w:sz w:val="32"/>
          <w:szCs w:val="32"/>
          <w:shd w:val="clear" w:color="auto" w:fill="FFFFFF"/>
          <w:lang w:bidi="ar"/>
        </w:rPr>
        <w:t xml:space="preserve"> （二）财政拨款“三公”经费支出决算具体情况说明。</w:t>
      </w:r>
    </w:p>
    <w:p w14:paraId="2CD3623B"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2022年度财政拨款</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三公</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经费支出决算中，因公出国（境）费支出决算</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万元，占0%；公务用车购置及运行维护费支出决算</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万元，占0%；公务接待费支出决算</w:t>
      </w:r>
      <w:r>
        <w:rPr>
          <w:rFonts w:ascii="仿宋_GB2312" w:eastAsia="仿宋_GB2312" w:hAnsi="宋体" w:cs="仿宋_GB2312"/>
          <w:kern w:val="0"/>
          <w:sz w:val="32"/>
          <w:szCs w:val="32"/>
          <w:shd w:val="clear" w:color="auto" w:fill="FFFFFF"/>
          <w:lang w:bidi="ar"/>
        </w:rPr>
        <w:t>0.00</w:t>
      </w:r>
      <w:r>
        <w:rPr>
          <w:rFonts w:ascii="仿宋_GB2312" w:eastAsia="仿宋_GB2312" w:hAnsi="ˎ̥" w:cs="仿宋_GB2312"/>
          <w:kern w:val="0"/>
          <w:sz w:val="32"/>
          <w:szCs w:val="32"/>
          <w:shd w:val="clear" w:color="auto" w:fill="FFFFFF"/>
          <w:lang w:bidi="ar"/>
        </w:rPr>
        <w:t>万元，占0%。具体情况如下：</w:t>
      </w:r>
    </w:p>
    <w:p w14:paraId="09A7C565" w14:textId="77777777" w:rsidR="00BF6740" w:rsidRDefault="00000000">
      <w:pPr>
        <w:widowControl/>
        <w:snapToGrid w:val="0"/>
        <w:spacing w:afterAutospacing="1"/>
        <w:ind w:firstLineChars="200" w:firstLine="643"/>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b/>
          <w:kern w:val="0"/>
          <w:sz w:val="32"/>
          <w:szCs w:val="32"/>
          <w:shd w:val="clear" w:color="auto" w:fill="FFFFFF"/>
          <w:lang w:bidi="ar"/>
        </w:rPr>
        <w:t>本年度没有此项支出数据。</w:t>
      </w:r>
    </w:p>
    <w:p w14:paraId="097BE1B8" w14:textId="77777777" w:rsidR="00BF6740" w:rsidRDefault="00000000">
      <w:pPr>
        <w:widowControl/>
        <w:snapToGrid w:val="0"/>
        <w:spacing w:afterAutospacing="1"/>
        <w:ind w:firstLineChars="200" w:firstLine="640"/>
        <w:jc w:val="left"/>
        <w:rPr>
          <w:rFonts w:ascii="黑体" w:eastAsia="黑体" w:hAnsi="宋体" w:cs="黑体" w:hint="eastAsia"/>
          <w:bCs/>
          <w:kern w:val="0"/>
          <w:sz w:val="32"/>
          <w:szCs w:val="32"/>
          <w:shd w:val="clear" w:color="auto" w:fill="FFFFFF"/>
        </w:rPr>
      </w:pPr>
      <w:r>
        <w:rPr>
          <w:rFonts w:ascii="黑体" w:eastAsia="黑体" w:hAnsi="宋体" w:cs="黑体" w:hint="eastAsia"/>
          <w:bCs/>
          <w:kern w:val="0"/>
          <w:sz w:val="32"/>
          <w:szCs w:val="32"/>
          <w:shd w:val="clear" w:color="auto" w:fill="FFFFFF"/>
          <w:lang w:bidi="ar"/>
        </w:rPr>
        <w:t>十、预算绩效情况说明。</w:t>
      </w:r>
    </w:p>
    <w:p w14:paraId="55B9FD41" w14:textId="77777777" w:rsidR="00BF6740" w:rsidRDefault="00000000">
      <w:pPr>
        <w:widowControl/>
        <w:snapToGrid w:val="0"/>
        <w:spacing w:afterAutospacing="1" w:line="578" w:lineRule="exact"/>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（一）绩效管理工作开展情况。</w:t>
      </w:r>
    </w:p>
    <w:p w14:paraId="62715B9F"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rPr>
      </w:pPr>
      <w:r>
        <w:rPr>
          <w:rFonts w:ascii="仿宋_GB2312" w:eastAsia="仿宋_GB2312" w:hAnsi="宋体" w:cs="仿宋_GB2312"/>
          <w:kern w:val="0"/>
          <w:sz w:val="32"/>
          <w:szCs w:val="32"/>
          <w:shd w:val="clear" w:color="auto" w:fill="FFFFFF"/>
          <w:lang w:bidi="ar"/>
        </w:rPr>
        <w:t>根据财政预算绩效管理要求，可按照如下格式说明：根据预算管理要求，我部门（单位）组织对2022年度一般公共预算项目支出全面开展绩效自评。其中，自评项目11个，共涉及资金1360.22万元，占一般公共预算项目支出总额的84.25%。</w:t>
      </w:r>
    </w:p>
    <w:p w14:paraId="390B1884"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rPr>
      </w:pPr>
      <w:r>
        <w:rPr>
          <w:rFonts w:ascii="仿宋_GB2312" w:eastAsia="仿宋_GB2312" w:hAnsi="宋体" w:cs="仿宋_GB2312"/>
          <w:kern w:val="0"/>
          <w:sz w:val="32"/>
          <w:szCs w:val="32"/>
          <w:shd w:val="clear" w:color="auto" w:fill="FFFFFF"/>
          <w:lang w:bidi="ar"/>
        </w:rPr>
        <w:t>共组织对</w:t>
      </w:r>
      <w:r>
        <w:rPr>
          <w:rFonts w:ascii="宋体" w:eastAsia="宋体" w:hAnsi="宋体" w:cs="宋体" w:hint="eastAsia"/>
          <w:kern w:val="0"/>
          <w:sz w:val="32"/>
          <w:szCs w:val="32"/>
          <w:shd w:val="clear" w:color="auto" w:fill="FFFFFF"/>
          <w:lang w:bidi="ar"/>
        </w:rPr>
        <w:t>“</w:t>
      </w:r>
      <w:r>
        <w:rPr>
          <w:rFonts w:ascii="仿宋_GB2312" w:eastAsia="仿宋_GB2312" w:hAnsi="宋体" w:cs="仿宋_GB2312"/>
          <w:kern w:val="0"/>
          <w:sz w:val="32"/>
          <w:szCs w:val="32"/>
          <w:shd w:val="clear" w:color="auto" w:fill="FFFFFF"/>
          <w:lang w:bidi="ar"/>
        </w:rPr>
        <w:t>普通高中基础设施建设资金</w:t>
      </w:r>
      <w:r>
        <w:rPr>
          <w:rFonts w:ascii="宋体" w:eastAsia="宋体" w:hAnsi="宋体" w:cs="宋体" w:hint="eastAsia"/>
          <w:kern w:val="0"/>
          <w:sz w:val="32"/>
          <w:szCs w:val="32"/>
          <w:shd w:val="clear" w:color="auto" w:fill="FFFFFF"/>
          <w:lang w:bidi="ar"/>
        </w:rPr>
        <w:t>”</w:t>
      </w:r>
      <w:r>
        <w:rPr>
          <w:rFonts w:ascii="仿宋_GB2312" w:eastAsia="仿宋_GB2312" w:hAnsi="宋体" w:cs="仿宋_GB2312"/>
          <w:kern w:val="0"/>
          <w:sz w:val="32"/>
          <w:szCs w:val="32"/>
          <w:shd w:val="clear" w:color="auto" w:fill="FFFFFF"/>
          <w:lang w:bidi="ar"/>
        </w:rPr>
        <w:t>等1个项目开展了部门评价，涉及一般公共预算支出570.06万元。从评价情况来看，该项目资金使用项目已基本完成，项目招标、实施、设备购置、验收、投入使用均已按步骤实施和落实，目前正在按照主管部门安排，推进相关项目审核决算工作。</w:t>
      </w:r>
    </w:p>
    <w:p w14:paraId="665AE788"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rPr>
      </w:pPr>
      <w:r>
        <w:rPr>
          <w:rFonts w:ascii="仿宋_GB2312" w:eastAsia="仿宋_GB2312" w:hAnsi="宋体" w:cs="仿宋_GB2312"/>
          <w:kern w:val="0"/>
          <w:sz w:val="32"/>
          <w:szCs w:val="32"/>
          <w:shd w:val="clear" w:color="auto" w:fill="FFFFFF"/>
          <w:lang w:bidi="ar"/>
        </w:rPr>
        <w:lastRenderedPageBreak/>
        <w:t>完成部门整体支出绩效评价，涉及一般公共预算支出1360.22万元，政府性基金预算支出0万元。从评价情况来看，除因疫情影响部分教学活动开展绩效外，整体情况良好。</w:t>
      </w:r>
    </w:p>
    <w:p w14:paraId="64F5FFE6" w14:textId="5FE8B492" w:rsidR="00BF6740" w:rsidRDefault="00000000">
      <w:pPr>
        <w:widowControl/>
        <w:snapToGrid w:val="0"/>
        <w:spacing w:afterAutospacing="1" w:line="578" w:lineRule="exact"/>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（二）部门决算中项目绩效自评结果。</w:t>
      </w:r>
    </w:p>
    <w:p w14:paraId="135B3AA7"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rPr>
      </w:pPr>
      <w:r>
        <w:rPr>
          <w:rFonts w:ascii="仿宋_GB2312" w:eastAsia="仿宋_GB2312" w:hAnsi="宋体" w:cs="仿宋_GB2312"/>
          <w:kern w:val="0"/>
          <w:sz w:val="32"/>
          <w:szCs w:val="32"/>
          <w:shd w:val="clear" w:color="auto" w:fill="FFFFFF"/>
          <w:lang w:bidi="ar"/>
        </w:rPr>
        <w:t>我部门（单位）在部门决算中反映普通高中基础设施建设资金等1个项目绩效自评结果（包括项目绩效自评表和项目绩效自评报告）。</w:t>
      </w:r>
    </w:p>
    <w:p w14:paraId="612F4C42"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rPr>
      </w:pPr>
      <w:r>
        <w:rPr>
          <w:rFonts w:ascii="仿宋_GB2312" w:eastAsia="仿宋_GB2312" w:hAnsi="宋体" w:cs="仿宋_GB2312"/>
          <w:kern w:val="0"/>
          <w:sz w:val="32"/>
          <w:szCs w:val="32"/>
          <w:shd w:val="clear" w:color="auto" w:fill="FFFFFF"/>
          <w:lang w:bidi="ar"/>
        </w:rPr>
        <w:t>普通高中基础设施建设资金项目绩效自评表：</w:t>
      </w:r>
    </w:p>
    <w:p w14:paraId="4E8EA7A1"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rPr>
      </w:pPr>
      <w:r>
        <w:rPr>
          <w:rFonts w:ascii="仿宋_GB2312" w:eastAsia="仿宋_GB2312" w:hAnsi="宋体" w:cs="仿宋_GB2312"/>
          <w:kern w:val="0"/>
          <w:sz w:val="32"/>
          <w:szCs w:val="32"/>
          <w:shd w:val="clear" w:color="auto" w:fill="FFFFFF"/>
          <w:lang w:bidi="ar"/>
        </w:rPr>
        <w:t>普通高中基础设施建设资金项目绩效自评报告：根据年初设定的绩效目标，项目绩效自评得分为99.09分。全年预算数为570.06万元，执行数为521.2万元，完成预算的91.43%。项目绩效目标完成情况：一是教学仪器设备购置，完成100%；二是校舍改扩建面积大于等于3000平米，完成100%；校舍维护质量达标率，完成100%；受益学生人数2095名，完成率99.76%。</w:t>
      </w:r>
    </w:p>
    <w:p w14:paraId="131B7461" w14:textId="77777777" w:rsidR="00BF6740" w:rsidRDefault="00000000">
      <w:pPr>
        <w:widowControl/>
        <w:snapToGrid w:val="0"/>
        <w:spacing w:afterAutospacing="1" w:line="578" w:lineRule="exact"/>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（三）部门评价结果。</w:t>
      </w:r>
    </w:p>
    <w:p w14:paraId="49BF47CC"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rPr>
      </w:pPr>
      <w:r>
        <w:rPr>
          <w:rFonts w:ascii="仿宋_GB2312" w:eastAsia="仿宋_GB2312" w:hAnsi="宋体" w:cs="仿宋_GB2312" w:hint="eastAsia"/>
          <w:kern w:val="0"/>
          <w:sz w:val="32"/>
          <w:szCs w:val="32"/>
          <w:shd w:val="clear" w:color="auto" w:fill="FFFFFF"/>
          <w:lang w:bidi="ar"/>
        </w:rPr>
        <w:t>本单位没有开展部门评价的项目，没有此项结果的展示</w:t>
      </w:r>
      <w:r>
        <w:rPr>
          <w:rFonts w:ascii="仿宋_GB2312" w:eastAsia="仿宋_GB2312" w:hAnsi="宋体" w:cs="仿宋_GB2312"/>
          <w:kern w:val="0"/>
          <w:sz w:val="32"/>
          <w:szCs w:val="32"/>
          <w:shd w:val="clear" w:color="auto" w:fill="FFFFFF"/>
          <w:lang w:bidi="ar"/>
        </w:rPr>
        <w:t>。</w:t>
      </w:r>
    </w:p>
    <w:p w14:paraId="6F305222" w14:textId="77777777" w:rsidR="00BF6740" w:rsidRDefault="00000000">
      <w:pPr>
        <w:widowControl/>
        <w:snapToGrid w:val="0"/>
        <w:spacing w:afterAutospacing="1" w:line="578" w:lineRule="exact"/>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（四）财政评价结果。</w:t>
      </w:r>
    </w:p>
    <w:p w14:paraId="5B9D6237" w14:textId="77777777" w:rsidR="00BF6740" w:rsidRDefault="00000000">
      <w:pPr>
        <w:widowControl/>
        <w:snapToGrid w:val="0"/>
        <w:spacing w:afterAutospacing="1"/>
        <w:ind w:firstLineChars="200" w:firstLine="640"/>
        <w:jc w:val="left"/>
        <w:rPr>
          <w:rFonts w:ascii="仿宋_GB2312" w:eastAsia="仿宋_GB2312" w:hAnsi="宋体" w:cs="仿宋_GB2312" w:hint="eastAsia"/>
          <w:kern w:val="0"/>
          <w:sz w:val="32"/>
          <w:szCs w:val="32"/>
          <w:shd w:val="clear" w:color="auto" w:fill="FFFFFF"/>
          <w:lang w:bidi="ar"/>
        </w:rPr>
      </w:pPr>
      <w:r>
        <w:rPr>
          <w:rFonts w:ascii="仿宋_GB2312" w:eastAsia="仿宋_GB2312" w:hAnsi="宋体" w:cs="仿宋_GB2312" w:hint="eastAsia"/>
          <w:kern w:val="0"/>
          <w:sz w:val="32"/>
          <w:szCs w:val="32"/>
          <w:shd w:val="clear" w:color="auto" w:fill="FFFFFF"/>
          <w:lang w:bidi="ar"/>
        </w:rPr>
        <w:t>本单位没有开展财政评价的项目，没有此项结果的展示。</w:t>
      </w:r>
    </w:p>
    <w:p w14:paraId="256B8042" w14:textId="77777777" w:rsidR="00BF6740" w:rsidRDefault="00000000">
      <w:pPr>
        <w:widowControl/>
        <w:snapToGrid w:val="0"/>
        <w:spacing w:afterAutospacing="1"/>
        <w:ind w:firstLineChars="200" w:firstLine="640"/>
        <w:jc w:val="left"/>
        <w:rPr>
          <w:rFonts w:ascii="黑体" w:eastAsia="黑体" w:hAnsi="宋体" w:cs="黑体" w:hint="eastAsia"/>
          <w:bCs/>
          <w:kern w:val="0"/>
          <w:sz w:val="32"/>
          <w:szCs w:val="32"/>
          <w:shd w:val="clear" w:color="auto" w:fill="FFFFFF"/>
        </w:rPr>
      </w:pPr>
      <w:r>
        <w:rPr>
          <w:rFonts w:ascii="黑体" w:eastAsia="黑体" w:hAnsi="宋体" w:cs="黑体" w:hint="eastAsia"/>
          <w:bCs/>
          <w:kern w:val="0"/>
          <w:sz w:val="32"/>
          <w:szCs w:val="32"/>
          <w:shd w:val="clear" w:color="auto" w:fill="FFFFFF"/>
          <w:lang w:bidi="ar"/>
        </w:rPr>
        <w:t>十一、其他重要事项情况说明。</w:t>
      </w:r>
    </w:p>
    <w:p w14:paraId="0F9D4B8A" w14:textId="77777777" w:rsidR="00BF6740" w:rsidRDefault="00000000">
      <w:pPr>
        <w:widowControl/>
        <w:snapToGrid w:val="0"/>
        <w:spacing w:afterAutospacing="1"/>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（一）机关运行经费支出情况。</w:t>
      </w:r>
    </w:p>
    <w:p w14:paraId="55EAF2FE"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2022年度我单位没有此项支出数据。</w:t>
      </w:r>
    </w:p>
    <w:p w14:paraId="076E34DE" w14:textId="77777777" w:rsidR="00BF6740" w:rsidRDefault="00000000">
      <w:pPr>
        <w:widowControl/>
        <w:snapToGrid w:val="0"/>
        <w:spacing w:afterAutospacing="1"/>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（二）政府采购支出情况。</w:t>
      </w:r>
    </w:p>
    <w:p w14:paraId="078009D6"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lastRenderedPageBreak/>
        <w:t>2022年度海南省国兴中学部门（单位）政府采购支出总额997.25万元，其中：政府采购货物支出0万元、政府采购工程支出0万元、政府采购服务支出997.25万元。授予中小企业合同金额997.25万元，占政府采购支出总额的100%，其中：授予小微企业合同金额0万元，占</w:t>
      </w:r>
      <w:r>
        <w:rPr>
          <w:rFonts w:ascii="仿宋_GB2312" w:eastAsia="仿宋_GB2312" w:hAnsi="宋体" w:cs="仿宋_GB2312"/>
          <w:kern w:val="0"/>
          <w:sz w:val="32"/>
          <w:szCs w:val="32"/>
          <w:shd w:val="clear" w:color="auto" w:fill="FFFFFF"/>
          <w:lang w:bidi="ar"/>
        </w:rPr>
        <w:t>授予中小企业合同金额的</w:t>
      </w:r>
      <w:r>
        <w:rPr>
          <w:rFonts w:ascii="仿宋_GB2312" w:eastAsia="仿宋_GB2312" w:hAnsi="ˎ̥" w:cs="仿宋_GB2312"/>
          <w:kern w:val="0"/>
          <w:sz w:val="32"/>
          <w:szCs w:val="32"/>
          <w:shd w:val="clear" w:color="auto" w:fill="FFFFFF"/>
          <w:lang w:bidi="ar"/>
        </w:rPr>
        <w:t>0%。</w:t>
      </w:r>
    </w:p>
    <w:p w14:paraId="56874F79" w14:textId="77777777" w:rsidR="00BF6740" w:rsidRDefault="00000000">
      <w:pPr>
        <w:widowControl/>
        <w:snapToGrid w:val="0"/>
        <w:spacing w:afterAutospacing="1"/>
        <w:ind w:firstLineChars="200" w:firstLine="640"/>
        <w:jc w:val="left"/>
        <w:rPr>
          <w:rFonts w:ascii="楷体" w:eastAsia="楷体" w:hAnsi="楷体" w:cs="楷体" w:hint="eastAsia"/>
          <w:bCs/>
          <w:kern w:val="0"/>
          <w:sz w:val="32"/>
          <w:szCs w:val="32"/>
          <w:shd w:val="clear" w:color="auto" w:fill="FFFFFF"/>
        </w:rPr>
      </w:pPr>
      <w:r>
        <w:rPr>
          <w:rFonts w:ascii="楷体" w:eastAsia="楷体" w:hAnsi="楷体" w:cs="楷体" w:hint="eastAsia"/>
          <w:bCs/>
          <w:kern w:val="0"/>
          <w:sz w:val="32"/>
          <w:szCs w:val="32"/>
          <w:shd w:val="clear" w:color="auto" w:fill="FFFFFF"/>
          <w:lang w:bidi="ar"/>
        </w:rPr>
        <w:t>（三）国有资产占用情况。</w:t>
      </w:r>
    </w:p>
    <w:p w14:paraId="57D75B7B" w14:textId="77777777" w:rsidR="00BF6740" w:rsidRDefault="00000000">
      <w:pPr>
        <w:widowControl/>
        <w:snapToGrid w:val="0"/>
        <w:spacing w:afterAutospacing="1" w:line="578" w:lineRule="exact"/>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bCs/>
          <w:kern w:val="0"/>
          <w:sz w:val="32"/>
          <w:szCs w:val="32"/>
          <w:shd w:val="clear" w:color="auto" w:fill="FFFFFF"/>
          <w:lang w:bidi="ar"/>
        </w:rPr>
        <w:t>截至2022年12月31日，本部门拥有</w:t>
      </w:r>
      <w:r>
        <w:rPr>
          <w:rFonts w:ascii="仿宋_GB2312" w:eastAsia="仿宋_GB2312" w:hAnsi="ˎ̥" w:cs="仿宋_GB2312"/>
          <w:kern w:val="0"/>
          <w:sz w:val="32"/>
          <w:szCs w:val="32"/>
          <w:shd w:val="clear" w:color="auto" w:fill="FFFFFF"/>
          <w:lang w:bidi="ar"/>
        </w:rPr>
        <w:t>房屋面积71621.67平方米，其中：办公用房0平方米，业务用房71621.67平方米，其他（不含构筑物）0平方米。</w:t>
      </w:r>
    </w:p>
    <w:p w14:paraId="0A0BFB67" w14:textId="77777777" w:rsidR="00BF6740" w:rsidRDefault="00000000">
      <w:pPr>
        <w:widowControl/>
        <w:snapToGrid w:val="0"/>
        <w:spacing w:afterAutospacing="1" w:line="578" w:lineRule="exact"/>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本部门共有车辆0辆，其中，副部（省）级及以上领导用车0辆、主要领导干部用车0辆、机要通信用车0辆、应急保障用车0辆、执法执勤用车0辆、特种专业技术用车0辆、离退休干部用车0辆、其他用车0辆。单价100万元（含）以上设备（不含车辆）0台（套）。</w:t>
      </w:r>
    </w:p>
    <w:p w14:paraId="18DB2978" w14:textId="77777777" w:rsidR="00BF6740" w:rsidRDefault="00000000">
      <w:pPr>
        <w:widowControl/>
        <w:snapToGrid w:val="0"/>
        <w:spacing w:afterAutospacing="1" w:line="578" w:lineRule="exact"/>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年末在建工程535.19万元。</w:t>
      </w:r>
    </w:p>
    <w:p w14:paraId="52FF934F" w14:textId="77777777" w:rsidR="00BF6740" w:rsidRDefault="00000000">
      <w:pPr>
        <w:widowControl/>
        <w:snapToGrid w:val="0"/>
        <w:spacing w:afterAutospacing="1" w:line="578" w:lineRule="exact"/>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 xml:space="preserve"> </w:t>
      </w:r>
    </w:p>
    <w:p w14:paraId="4F4B6E97" w14:textId="77777777" w:rsidR="00BF6740" w:rsidRDefault="00000000">
      <w:pPr>
        <w:widowControl/>
        <w:snapToGrid w:val="0"/>
        <w:spacing w:afterAutospacing="1" w:line="578" w:lineRule="exact"/>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 xml:space="preserve"> </w:t>
      </w:r>
    </w:p>
    <w:p w14:paraId="1A1E0E1A"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ˎ̥" w:cs="黑体" w:hint="eastAsia"/>
          <w:kern w:val="0"/>
          <w:sz w:val="32"/>
          <w:szCs w:val="32"/>
          <w:shd w:val="clear" w:color="auto" w:fill="FFFFFF"/>
          <w:lang w:bidi="ar"/>
        </w:rPr>
        <w:t xml:space="preserve"> </w:t>
      </w:r>
    </w:p>
    <w:p w14:paraId="00A00D25"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ˎ̥" w:cs="黑体" w:hint="eastAsia"/>
          <w:kern w:val="0"/>
          <w:sz w:val="32"/>
          <w:szCs w:val="32"/>
          <w:shd w:val="clear" w:color="auto" w:fill="FFFFFF"/>
          <w:lang w:bidi="ar"/>
        </w:rPr>
        <w:t xml:space="preserve"> </w:t>
      </w:r>
    </w:p>
    <w:p w14:paraId="236ABC92"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宋体" w:cs="黑体" w:hint="eastAsia"/>
          <w:kern w:val="0"/>
          <w:sz w:val="32"/>
          <w:szCs w:val="32"/>
          <w:shd w:val="clear" w:color="auto" w:fill="FFFFFF"/>
          <w:lang w:bidi="ar"/>
        </w:rPr>
        <w:t>第四部分</w:t>
      </w:r>
      <w:r>
        <w:rPr>
          <w:rFonts w:ascii="黑体" w:eastAsia="黑体" w:hAnsi="ˎ̥" w:cs="黑体" w:hint="eastAsia"/>
          <w:kern w:val="0"/>
          <w:sz w:val="32"/>
          <w:szCs w:val="32"/>
          <w:shd w:val="clear" w:color="auto" w:fill="FFFFFF"/>
          <w:lang w:bidi="ar"/>
        </w:rPr>
        <w:t xml:space="preserve">  </w:t>
      </w:r>
      <w:r>
        <w:rPr>
          <w:rFonts w:ascii="黑体" w:eastAsia="黑体" w:hAnsi="宋体" w:cs="黑体" w:hint="eastAsia"/>
          <w:kern w:val="0"/>
          <w:sz w:val="32"/>
          <w:szCs w:val="32"/>
          <w:shd w:val="clear" w:color="auto" w:fill="FFFFFF"/>
          <w:lang w:bidi="ar"/>
        </w:rPr>
        <w:t>名词解释</w:t>
      </w:r>
    </w:p>
    <w:p w14:paraId="79252F8B" w14:textId="77777777" w:rsidR="00BF6740" w:rsidRDefault="00000000">
      <w:pPr>
        <w:widowControl/>
        <w:snapToGrid w:val="0"/>
        <w:spacing w:afterAutospacing="1"/>
        <w:jc w:val="center"/>
        <w:rPr>
          <w:rFonts w:ascii="黑体" w:eastAsia="黑体" w:hAnsi="ˎ̥" w:cs="黑体" w:hint="eastAsia"/>
          <w:kern w:val="0"/>
          <w:sz w:val="32"/>
          <w:szCs w:val="32"/>
          <w:shd w:val="clear" w:color="auto" w:fill="FFFFFF"/>
        </w:rPr>
      </w:pPr>
      <w:r>
        <w:rPr>
          <w:rFonts w:ascii="黑体" w:eastAsia="黑体" w:hAnsi="ˎ̥" w:cs="黑体" w:hint="eastAsia"/>
          <w:kern w:val="0"/>
          <w:sz w:val="32"/>
          <w:szCs w:val="32"/>
          <w:shd w:val="clear" w:color="auto" w:fill="FFFFFF"/>
          <w:lang w:bidi="ar"/>
        </w:rPr>
        <w:t xml:space="preserve"> </w:t>
      </w:r>
    </w:p>
    <w:p w14:paraId="5B514CC6" w14:textId="77777777" w:rsidR="00BF6740" w:rsidRDefault="00000000">
      <w:pPr>
        <w:widowControl/>
        <w:numPr>
          <w:ilvl w:val="0"/>
          <w:numId w:val="1"/>
        </w:numPr>
        <w:snapToGrid w:val="0"/>
        <w:spacing w:afterAutospacing="1"/>
        <w:ind w:left="0"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lastRenderedPageBreak/>
        <w:t>财政拨款收入：指同级政府财政部门当年拨付的各类财政拨款。</w:t>
      </w:r>
    </w:p>
    <w:p w14:paraId="706C96F7"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二、上级补助收入：指事业单位从主管部门和上级单位取得的非财政补助收入。</w:t>
      </w:r>
    </w:p>
    <w:p w14:paraId="4C634A77"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三、事业收入：指事业单位开展专业业务活动及辅助活动取得的收入。</w:t>
      </w:r>
    </w:p>
    <w:p w14:paraId="4E895124"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四、经营收入：指事业单位在专业业务活动及其辅助活动之外开展非独立核算经营活动取得的收入。</w:t>
      </w:r>
    </w:p>
    <w:p w14:paraId="7A6796CF"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五、附属单位上缴收入：指事业单位取得附属独立核算单位根据有关规定上缴的收入。</w:t>
      </w:r>
    </w:p>
    <w:p w14:paraId="7691693B"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六、其他收入：指除上述</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财政拨款收入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事业收入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上级补助收入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经营收入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附属单位上缴收入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等以外的收入。</w:t>
      </w:r>
    </w:p>
    <w:p w14:paraId="0231109F"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七、使用非财政拨款结余：指事业单位在当年的</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财政拨款收入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事业收入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经营收入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其他收入</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等不足以安排当年支出的情况下，使用非同级财政拨款结余资金弥补本年度收支缺口。</w:t>
      </w:r>
    </w:p>
    <w:p w14:paraId="29964563"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八、年初结转和结余：指以前年度尚未完成、结转到本年按有关规定继续使用的资金，或项目已完成等产生的结余资金。</w:t>
      </w:r>
    </w:p>
    <w:p w14:paraId="79F3BA7E"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九、结余分配：指事业单位缴纳企业所得税以及从非财政拨款结余或经营结余中提取各类结余的情况。</w:t>
      </w:r>
    </w:p>
    <w:p w14:paraId="3CB6DE2C"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十、年末结转和结余：指本年度或以前年度预算安排、因客观条件发生变化无法按原计划实施，需要延迟到以后年度按有关规定继续使用的资金（不包括事业单位非财政拨款结余和专用结余）。</w:t>
      </w:r>
    </w:p>
    <w:p w14:paraId="553899BB"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lastRenderedPageBreak/>
        <w:t>十一、基本支出：指为保障机构正常运转、完成日常工作任务而发生的人员支出和公用支出。</w:t>
      </w:r>
    </w:p>
    <w:p w14:paraId="239DEC4E"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十二、项目支出：指在基本支出之外为完成特定行政任务和事业发展目标所发生的支出。</w:t>
      </w:r>
    </w:p>
    <w:p w14:paraId="27CF4205"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十三、经营支出：指事业单位在专业业务活动及其辅助活动之外开展非独立核算经营活动发生的支出。</w:t>
      </w:r>
    </w:p>
    <w:p w14:paraId="65692A03" w14:textId="77777777" w:rsidR="00BF6740" w:rsidRDefault="00000000">
      <w:pPr>
        <w:widowControl/>
        <w:snapToGrid w:val="0"/>
        <w:spacing w:afterAutospacing="1"/>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十四、</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三公</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经费：纳入本级财政预决算管理的</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三公</w:t>
      </w:r>
      <w:r>
        <w:rPr>
          <w:rFonts w:ascii="ˎ̥" w:eastAsia="ˎ̥" w:hAnsi="ˎ̥" w:cs="ˎ̥"/>
          <w:kern w:val="0"/>
          <w:sz w:val="32"/>
          <w:szCs w:val="32"/>
          <w:shd w:val="clear" w:color="auto" w:fill="FFFFFF"/>
          <w:lang w:bidi="ar"/>
        </w:rPr>
        <w:t>”</w:t>
      </w:r>
      <w:r>
        <w:rPr>
          <w:rFonts w:ascii="仿宋_GB2312" w:eastAsia="仿宋_GB2312" w:hAnsi="ˎ̥" w:cs="仿宋_GB2312"/>
          <w:kern w:val="0"/>
          <w:sz w:val="32"/>
          <w:szCs w:val="32"/>
          <w:shd w:val="clear" w:color="auto" w:fill="FFFFFF"/>
          <w:lang w:bidi="ar"/>
        </w:rPr>
        <w:t>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57B7455C" w14:textId="77777777" w:rsidR="00BF6740" w:rsidRDefault="00000000">
      <w:pPr>
        <w:widowControl/>
        <w:snapToGrid w:val="0"/>
        <w:spacing w:afterAutospacing="1"/>
        <w:ind w:firstLine="645"/>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7214BEE3" w14:textId="77777777" w:rsidR="00BF6740" w:rsidRDefault="00000000">
      <w:pPr>
        <w:widowControl/>
        <w:snapToGrid w:val="0"/>
        <w:spacing w:afterAutospacing="1"/>
        <w:ind w:firstLine="645"/>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lang w:bidi="ar"/>
        </w:rPr>
        <w:t>（注：支出功能分类的名词解释，各部门（单位）根据实际支出情况填列，可参阅财政部印发的《2022年政府收支分类科目》）</w:t>
      </w:r>
    </w:p>
    <w:p w14:paraId="3F3432E7" w14:textId="77777777" w:rsidR="00BF6740" w:rsidRDefault="00000000">
      <w:pPr>
        <w:widowControl/>
        <w:snapToGrid w:val="0"/>
        <w:spacing w:afterAutospacing="1"/>
        <w:jc w:val="left"/>
        <w:rPr>
          <w:rFonts w:ascii="仿宋_GB2312" w:eastAsia="仿宋_GB2312" w:hAnsi="ˎ̥" w:cs="仿宋_GB2312" w:hint="eastAsia"/>
          <w:kern w:val="0"/>
          <w:sz w:val="32"/>
          <w:szCs w:val="32"/>
          <w:shd w:val="clear" w:color="auto" w:fill="FFFFFF"/>
        </w:rPr>
      </w:pPr>
      <w:r>
        <w:rPr>
          <w:rFonts w:ascii="ˎ̥" w:eastAsia="ˎ̥" w:hAnsi="ˎ̥" w:cs="ˎ̥"/>
          <w:kern w:val="0"/>
          <w:sz w:val="32"/>
          <w:szCs w:val="32"/>
          <w:shd w:val="clear" w:color="auto" w:fill="FFFFFF"/>
          <w:lang w:bidi="ar"/>
        </w:rPr>
        <w:t>……</w:t>
      </w:r>
    </w:p>
    <w:p w14:paraId="2AA514F3" w14:textId="77777777" w:rsidR="00BF6740" w:rsidRDefault="00BF6740">
      <w:pPr>
        <w:widowControl/>
        <w:snapToGrid w:val="0"/>
        <w:spacing w:afterAutospacing="1"/>
        <w:jc w:val="left"/>
        <w:rPr>
          <w:rFonts w:ascii="宋体" w:eastAsia="宋体" w:hAnsi="宋体" w:cs="宋体" w:hint="eastAsia"/>
          <w:kern w:val="0"/>
          <w:sz w:val="24"/>
          <w:shd w:val="clear" w:color="auto" w:fill="FFFFFF"/>
        </w:rPr>
      </w:pPr>
    </w:p>
    <w:p w14:paraId="3D74683A" w14:textId="77777777" w:rsidR="00BF6740" w:rsidRDefault="00BF6740"/>
    <w:sectPr w:rsidR="00BF67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auto"/>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楷体_GB2312">
    <w:altName w:val="楷体"/>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57BA60"/>
    <w:multiLevelType w:val="multilevel"/>
    <w:tmpl w:val="2F57BA60"/>
    <w:lvl w:ilvl="0">
      <w:start w:val="1"/>
      <w:numFmt w:val="decimal"/>
      <w:lvlText w:val="%1."/>
      <w:lvlJc w:val="left"/>
      <w:pPr>
        <w:tabs>
          <w:tab w:val="left" w:pos="720"/>
        </w:tabs>
        <w:ind w:left="720" w:hanging="360"/>
      </w:pPr>
      <w:rPr>
        <w:rFonts w:ascii="Times New Roman" w:hAnsi="Times New Roman" w:cs="Times New Roman" w:hint="default"/>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num w:numId="1" w16cid:durableId="1266572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NmNzZlMzViMDg1Mzk0ZDg1ODM0OWIwM2FiZDhmYjIifQ=="/>
  </w:docVars>
  <w:rsids>
    <w:rsidRoot w:val="2E7C089C"/>
    <w:rsid w:val="0011350B"/>
    <w:rsid w:val="006A2943"/>
    <w:rsid w:val="00BF6740"/>
    <w:rsid w:val="00FA6130"/>
    <w:rsid w:val="10355C74"/>
    <w:rsid w:val="17D64725"/>
    <w:rsid w:val="2E7C089C"/>
    <w:rsid w:val="5AA515F0"/>
    <w:rsid w:val="5BC30CF6"/>
    <w:rsid w:val="5EE0564C"/>
    <w:rsid w:val="759C6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F0DFF"/>
  <w15:docId w15:val="{A9C2B6C2-FA05-48F1-8D5D-2B9CAA3C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ascii="宋体" w:eastAsia="宋体" w:hAnsi="宋体" w:cs="Times New Roman"/>
      <w:kern w:val="0"/>
      <w:sz w:val="24"/>
    </w:rPr>
  </w:style>
  <w:style w:type="character" w:customStyle="1" w:styleId="10">
    <w:name w:val="10"/>
    <w:basedOn w:val="a0"/>
    <w:qFormat/>
    <w:rPr>
      <w:rFonts w:ascii="Times New Roman" w:hAnsi="Times New Roman" w:cs="Times New Roman" w:hint="default"/>
    </w:rPr>
  </w:style>
  <w:style w:type="paragraph" w:customStyle="1" w:styleId="ListParagraph1">
    <w:name w:val="List Paragraph1"/>
    <w:basedOn w:val="a"/>
    <w:qFormat/>
    <w:pPr>
      <w:ind w:firstLineChars="200" w:firstLine="420"/>
      <w:jc w:val="left"/>
    </w:pPr>
    <w:rPr>
      <w:rFonts w:ascii="宋体" w:eastAsia="宋体" w:hAnsi="宋体" w:cs="Times New Roman"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马甲</dc:creator>
  <cp:lastModifiedBy>jack zhong</cp:lastModifiedBy>
  <cp:revision>3</cp:revision>
  <dcterms:created xsi:type="dcterms:W3CDTF">2023-09-14T01:59:00Z</dcterms:created>
  <dcterms:modified xsi:type="dcterms:W3CDTF">2024-08-26T09:13:00Z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8586D621243D42B08B6C531AC23102FA_13</vt:lpwstr>
  </property>
</Properties>
</file>