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附件2</w:t>
      </w:r>
    </w:p>
    <w:p>
      <w:pPr>
        <w:pStyle w:val="2"/>
        <w:jc w:val="center"/>
        <w:rPr>
          <w:rFonts w:hint="default"/>
          <w:sz w:val="36"/>
          <w:szCs w:val="36"/>
          <w:lang w:val="en-US" w:eastAsia="zh-CN"/>
        </w:rPr>
      </w:pPr>
      <w:r>
        <w:rPr>
          <w:rFonts w:hint="eastAsia" w:ascii="仿宋" w:hAnsi="仿宋" w:eastAsia="仿宋" w:cs="仿宋"/>
          <w:b w:val="0"/>
          <w:bCs w:val="0"/>
          <w:sz w:val="36"/>
          <w:szCs w:val="36"/>
          <w:highlight w:val="none"/>
          <w:lang w:val="en-US" w:eastAsia="zh-CN"/>
        </w:rPr>
        <w:t>其余项目绩效自评结果</w:t>
      </w:r>
    </w:p>
    <w:p>
      <w:pPr>
        <w:pStyle w:val="2"/>
        <w:rPr>
          <w:rFonts w:hint="default"/>
          <w:lang w:val="en-US" w:eastAsia="zh-CN"/>
        </w:rPr>
      </w:pPr>
    </w:p>
    <w:p>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highlight w:val="none"/>
        </w:rPr>
        <w:t>、2022年省重点研发项目（第一批）</w:t>
      </w:r>
      <w:r>
        <w:rPr>
          <w:rFonts w:hint="eastAsia" w:ascii="仿宋" w:hAnsi="仿宋" w:eastAsia="仿宋" w:cs="仿宋"/>
          <w:b w:val="0"/>
          <w:bCs w:val="0"/>
          <w:sz w:val="32"/>
          <w:szCs w:val="32"/>
          <w:highlight w:val="none"/>
          <w:lang w:val="en-US" w:eastAsia="zh-CN"/>
        </w:rPr>
        <w:t>项目</w:t>
      </w:r>
      <w:r>
        <w:rPr>
          <w:rFonts w:hint="eastAsia" w:ascii="仿宋" w:hAnsi="仿宋" w:eastAsia="仿宋" w:cs="仿宋"/>
          <w:b w:val="0"/>
          <w:bCs w:val="0"/>
          <w:sz w:val="32"/>
          <w:szCs w:val="32"/>
          <w:highlight w:val="none"/>
        </w:rPr>
        <w:t>绩效自评综述</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83.17</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资金总额年初预算数30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000元。其中：财政资金年初预算数30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资金总额全年执行数9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227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782.52元，执行率</w:t>
      </w:r>
      <w:r>
        <w:rPr>
          <w:rFonts w:hint="eastAsia" w:ascii="仿宋" w:hAnsi="仿宋" w:eastAsia="仿宋" w:cs="仿宋"/>
          <w:color w:val="auto"/>
          <w:sz w:val="32"/>
          <w:szCs w:val="32"/>
          <w:highlight w:val="none"/>
          <w:lang w:val="en-US" w:eastAsia="zh-CN"/>
        </w:rPr>
        <w:t>31.71%</w:t>
      </w:r>
      <w:r>
        <w:rPr>
          <w:rFonts w:hint="eastAsia" w:ascii="仿宋" w:hAnsi="仿宋" w:eastAsia="仿宋" w:cs="仿宋"/>
          <w:color w:val="auto"/>
          <w:sz w:val="32"/>
          <w:szCs w:val="32"/>
          <w:highlight w:val="none"/>
        </w:rPr>
        <w:t>。</w:t>
      </w:r>
    </w:p>
    <w:p>
      <w:pPr>
        <w:pStyle w:val="2"/>
        <w:rPr>
          <w:rFonts w:hint="eastAsia" w:ascii="仿宋" w:hAnsi="仿宋" w:eastAsia="仿宋" w:cs="仿宋"/>
          <w:highlight w:val="none"/>
          <w:lang w:eastAsia="zh-CN"/>
        </w:rPr>
      </w:pPr>
      <w:r>
        <w:rPr>
          <w:rFonts w:hint="eastAsia" w:ascii="仿宋" w:hAnsi="仿宋" w:eastAsia="仿宋" w:cs="仿宋"/>
          <w:color w:val="auto"/>
          <w:sz w:val="32"/>
          <w:szCs w:val="32"/>
          <w:highlight w:val="none"/>
        </w:rPr>
        <w:t>其中：财政资金全年执行数9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227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782.52元，执行率</w:t>
      </w:r>
      <w:r>
        <w:rPr>
          <w:rFonts w:hint="eastAsia" w:ascii="仿宋" w:hAnsi="仿宋" w:eastAsia="仿宋" w:cs="仿宋"/>
          <w:color w:val="auto"/>
          <w:sz w:val="32"/>
          <w:szCs w:val="32"/>
          <w:highlight w:val="none"/>
          <w:lang w:val="en-US" w:eastAsia="zh-CN"/>
        </w:rPr>
        <w:t>31.71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rPr>
          <w:rFonts w:hint="eastAsia" w:ascii="仿宋" w:hAnsi="仿宋" w:eastAsia="仿宋" w:cs="仿宋"/>
          <w:kern w:val="0"/>
          <w:sz w:val="32"/>
          <w:szCs w:val="32"/>
          <w:highlight w:val="none"/>
        </w:rPr>
      </w:pPr>
      <w:r>
        <w:rPr>
          <w:rFonts w:hint="eastAsia" w:ascii="仿宋" w:hAnsi="仿宋" w:eastAsia="仿宋" w:cs="仿宋"/>
          <w:sz w:val="32"/>
          <w:szCs w:val="32"/>
          <w:highlight w:val="none"/>
        </w:rPr>
        <w:t>项目绩效目标完成情况：</w:t>
      </w:r>
      <w:r>
        <w:rPr>
          <w:rFonts w:hint="eastAsia" w:ascii="仿宋" w:hAnsi="仿宋" w:eastAsia="仿宋" w:cs="仿宋"/>
          <w:kern w:val="0"/>
          <w:sz w:val="32"/>
          <w:szCs w:val="32"/>
          <w:highlight w:val="none"/>
        </w:rPr>
        <w:t>项目按照任务书中约定的研究内容和考核指标完成了阶段性任务，顺利、有序进行。该项目成功发挥了高等院校的科研优势，辐射地区经济，推动社会发展，打造创新高地。</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48"/>
        <w:gridCol w:w="1725"/>
        <w:gridCol w:w="2910"/>
        <w:gridCol w:w="1425"/>
        <w:gridCol w:w="12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一级指标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二级指标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三级指标</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年度指标值</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EI收录论文数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SCI收录论文数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国内外期刊发表论文数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软件开发数量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2个</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研究报告数量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20份</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验收合格率</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98%</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sz w:val="20"/>
                <w:szCs w:val="20"/>
                <w:highlight w:val="none"/>
                <w:u w:val="none"/>
              </w:rPr>
              <w:t>本项目为跨年度项目，目前按照任务书约定的执行年限正常进行，项目未到期，尚未组织验收。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样品样机开发数量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2台</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专利申请数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15项</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SCI收录论文被引用次数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3次</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获省部级奖励</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3项</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支持培养研究生人数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50人</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62人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存在问题及建议：①科研项目研究具有一定的周期性及支出的不可预见性，而现有科研经费安排是按照“一次拨付，多年使用”的方式，年度资金拨付与实际需求、预算执行是不匹配的，但是科研项目被纳入了部门预算执行进度考核范围；②科研项目</w:t>
      </w:r>
      <w:r>
        <w:rPr>
          <w:rFonts w:hint="eastAsia" w:ascii="仿宋" w:hAnsi="仿宋" w:eastAsia="仿宋" w:cs="仿宋"/>
          <w:color w:val="auto"/>
          <w:kern w:val="0"/>
          <w:sz w:val="32"/>
          <w:szCs w:val="32"/>
          <w:highlight w:val="none"/>
          <w:lang w:val="en-US" w:eastAsia="zh-CN"/>
        </w:rPr>
        <w:t>政府支出经济分类“类”级科目的</w:t>
      </w:r>
      <w:r>
        <w:rPr>
          <w:rFonts w:hint="eastAsia" w:ascii="仿宋" w:hAnsi="仿宋" w:eastAsia="仿宋" w:cs="仿宋"/>
          <w:color w:val="auto"/>
          <w:kern w:val="0"/>
          <w:sz w:val="32"/>
          <w:szCs w:val="32"/>
          <w:highlight w:val="none"/>
        </w:rPr>
        <w:t>预算调剂按照专项资金的预算调剂管理，流程较长，一般调剂周期超过两个月，一定程度影响科研服务水平和预算执行进度；③科研项目一般都有结题要求，且结题时需要进行审计，可以对项目执行结果进行考核和评价，在研究过程中的绩效评价和自评实际效用</w:t>
      </w:r>
      <w:r>
        <w:rPr>
          <w:rFonts w:hint="eastAsia" w:ascii="仿宋" w:hAnsi="仿宋" w:eastAsia="仿宋" w:cs="仿宋"/>
          <w:color w:val="auto"/>
          <w:kern w:val="0"/>
          <w:sz w:val="32"/>
          <w:szCs w:val="32"/>
          <w:highlight w:val="none"/>
          <w:lang w:val="en-US" w:eastAsia="zh-CN"/>
        </w:rPr>
        <w:t>不明显</w:t>
      </w:r>
      <w:r>
        <w:rPr>
          <w:rFonts w:hint="eastAsia" w:ascii="仿宋" w:hAnsi="仿宋" w:eastAsia="仿宋" w:cs="仿宋"/>
          <w:color w:val="auto"/>
          <w:kern w:val="0"/>
          <w:sz w:val="32"/>
          <w:szCs w:val="32"/>
          <w:highlight w:val="none"/>
        </w:rPr>
        <w:t>且重复劳动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国家和省里鼓励学校多做科研，科研项目数量和经费越多越好，但同时每年绩效评价的工作量大大增加，需要老师和科研管理部门每年填报绩效执行监控表并写自评报告，无形中增加了科研老师的工作量，挤占了老师做科研的时间，与国家、省里的科研鼓励政策及“放管服”政策的初衷相悖。</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基于以上问题提出以下三个解决建议：①科研项目不纳入部门预算执行进度考核范围；②简化科研项目</w:t>
      </w:r>
      <w:r>
        <w:rPr>
          <w:rFonts w:hint="eastAsia" w:ascii="仿宋" w:hAnsi="仿宋" w:eastAsia="仿宋" w:cs="仿宋"/>
          <w:color w:val="auto"/>
          <w:kern w:val="0"/>
          <w:sz w:val="32"/>
          <w:szCs w:val="32"/>
          <w:highlight w:val="none"/>
          <w:lang w:val="en-US" w:eastAsia="zh-CN"/>
        </w:rPr>
        <w:t>政府支出经济分类“类”级科目的</w:t>
      </w:r>
      <w:r>
        <w:rPr>
          <w:rFonts w:hint="eastAsia" w:ascii="仿宋" w:hAnsi="仿宋" w:eastAsia="仿宋" w:cs="仿宋"/>
          <w:color w:val="auto"/>
          <w:kern w:val="0"/>
          <w:sz w:val="32"/>
          <w:szCs w:val="32"/>
          <w:highlight w:val="none"/>
        </w:rPr>
        <w:t>预算调剂流程，采用短流程进行预算调剂，切实将科研放管服的精神落到实处；③科研项目不做绩效自评和绩效执行监控评价。</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、2018-2021省重大科技计划在研项目绩效自评综述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81.65</w:t>
      </w:r>
      <w:r>
        <w:rPr>
          <w:rFonts w:hint="eastAsia" w:ascii="仿宋" w:hAnsi="仿宋" w:eastAsia="仿宋" w:cs="仿宋"/>
          <w:sz w:val="32"/>
          <w:szCs w:val="32"/>
          <w:highlight w:val="none"/>
        </w:rPr>
        <w:t>分。资金总额年初预算数22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000元，全年预算数22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000元，全年预算数22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636</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403.9元，执行率16.45%。</w:t>
      </w:r>
    </w:p>
    <w:p>
      <w:pPr>
        <w:autoSpaceDE w:val="0"/>
        <w:spacing w:line="360" w:lineRule="auto"/>
        <w:rPr>
          <w:rFonts w:hint="eastAsia" w:ascii="仿宋" w:hAnsi="仿宋" w:eastAsia="仿宋" w:cs="仿宋"/>
          <w:sz w:val="32"/>
          <w:szCs w:val="32"/>
          <w:highlight w:val="none"/>
        </w:rPr>
      </w:pPr>
      <w:r>
        <w:rPr>
          <w:rFonts w:hint="eastAsia" w:ascii="仿宋" w:hAnsi="仿宋" w:eastAsia="仿宋" w:cs="仿宋"/>
          <w:sz w:val="32"/>
          <w:szCs w:val="32"/>
          <w:highlight w:val="none"/>
        </w:rPr>
        <w:t>其中：财政资金全年执行数3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636</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403.9元，执行率16.45%</w:t>
      </w:r>
    </w:p>
    <w:p>
      <w:pPr>
        <w:widowControl/>
        <w:spacing w:line="360" w:lineRule="auto"/>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项目包括了2020年12月立项的13个省重大项目/课题/子课题第三笔款项及2021年12月立项的45个省重大项目/课题/子课题的第二笔款项，所有项目均未到期。截止至2022年底，本项目EI收录论文数达到21篇，SCI收录论文数达到82篇，分析测试报告数量完成15份，国内外核心期刊发表论文数发表96篇，软件开发数量达到6项，专利申请数42项，获得省部级奖励2项，培养研究生122人，项目达到预期效果，目前按照任务书约定的执行年限正常进行。</w:t>
      </w:r>
      <w:r>
        <w:rPr>
          <w:rFonts w:hint="eastAsia" w:ascii="仿宋" w:hAnsi="仿宋" w:eastAsia="仿宋" w:cs="仿宋"/>
          <w:kern w:val="0"/>
          <w:sz w:val="32"/>
          <w:szCs w:val="32"/>
          <w:highlight w:val="none"/>
        </w:rPr>
        <w:t>项目按照任务书中约定的研究内容和考核指标如期完成了阶段性任务，</w:t>
      </w:r>
      <w:r>
        <w:rPr>
          <w:rFonts w:hint="eastAsia" w:ascii="仿宋" w:hAnsi="仿宋" w:eastAsia="仿宋" w:cs="仿宋"/>
          <w:sz w:val="32"/>
          <w:szCs w:val="32"/>
          <w:highlight w:val="none"/>
          <w:shd w:val="clear" w:color="auto" w:fill="FFFFFF"/>
        </w:rPr>
        <w:t>项目严格按照预算实施，各项工作有序开展，实效符合预期要求</w:t>
      </w:r>
      <w:r>
        <w:rPr>
          <w:rFonts w:hint="eastAsia" w:ascii="仿宋" w:hAnsi="仿宋" w:eastAsia="仿宋" w:cs="仿宋"/>
          <w:kern w:val="0"/>
          <w:sz w:val="32"/>
          <w:szCs w:val="32"/>
          <w:highlight w:val="none"/>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4913" w:type="pct"/>
        <w:jc w:val="center"/>
        <w:tblLayout w:type="autofit"/>
        <w:tblCellMar>
          <w:top w:w="0" w:type="dxa"/>
          <w:left w:w="108" w:type="dxa"/>
          <w:bottom w:w="0" w:type="dxa"/>
          <w:right w:w="108" w:type="dxa"/>
        </w:tblCellMar>
      </w:tblPr>
      <w:tblGrid>
        <w:gridCol w:w="1460"/>
        <w:gridCol w:w="1513"/>
        <w:gridCol w:w="2763"/>
        <w:gridCol w:w="1367"/>
        <w:gridCol w:w="1271"/>
      </w:tblGrid>
      <w:tr>
        <w:tblPrEx>
          <w:tblCellMar>
            <w:top w:w="0" w:type="dxa"/>
            <w:left w:w="108" w:type="dxa"/>
            <w:bottom w:w="0" w:type="dxa"/>
            <w:right w:w="108" w:type="dxa"/>
          </w:tblCellMar>
        </w:tblPrEx>
        <w:trPr>
          <w:trHeight w:val="855" w:hRule="atLeast"/>
          <w:jc w:val="center"/>
        </w:trPr>
        <w:tc>
          <w:tcPr>
            <w:tcW w:w="87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sz w:val="24"/>
                <w:highlight w:val="none"/>
              </w:rPr>
            </w:pPr>
            <w:r>
              <w:rPr>
                <w:rFonts w:hint="eastAsia" w:ascii="仿宋" w:hAnsi="仿宋" w:eastAsia="仿宋" w:cs="仿宋"/>
                <w:b/>
                <w:bCs/>
                <w:highlight w:val="none"/>
              </w:rPr>
              <w:t>一级指标</w:t>
            </w:r>
          </w:p>
        </w:tc>
        <w:tc>
          <w:tcPr>
            <w:tcW w:w="903" w:type="pct"/>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二级指标</w:t>
            </w:r>
          </w:p>
        </w:tc>
        <w:tc>
          <w:tcPr>
            <w:tcW w:w="1649" w:type="pct"/>
            <w:tcBorders>
              <w:top w:val="single" w:color="auto" w:sz="4" w:space="0"/>
              <w:left w:val="nil"/>
              <w:bottom w:val="single" w:color="auto" w:sz="4" w:space="0"/>
              <w:right w:val="nil"/>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三级指标</w:t>
            </w:r>
          </w:p>
        </w:tc>
        <w:tc>
          <w:tcPr>
            <w:tcW w:w="81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年度指标值</w:t>
            </w:r>
          </w:p>
        </w:tc>
        <w:tc>
          <w:tcPr>
            <w:tcW w:w="758" w:type="pct"/>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实际完成值</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EI收录论文数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20篇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21篇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SCI收录论文数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80篇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82篇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分析测试报告数量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15份</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15份</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国内外核心期刊发表论文数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90篇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96篇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软件开发数量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6项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6项</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验收合格率</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95%</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sz w:val="20"/>
                <w:szCs w:val="20"/>
                <w:highlight w:val="none"/>
              </w:rPr>
              <w:t>本项目为跨年度项目，目前按照任务书约定的执行年限正常进行，项目均未到期，尚未组织验收。</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支持培养研究生数量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100人</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122人</w:t>
            </w:r>
          </w:p>
        </w:tc>
      </w:tr>
      <w:tr>
        <w:tblPrEx>
          <w:tblCellMar>
            <w:top w:w="0" w:type="dxa"/>
            <w:left w:w="108" w:type="dxa"/>
            <w:bottom w:w="0" w:type="dxa"/>
            <w:right w:w="108" w:type="dxa"/>
          </w:tblCellMar>
        </w:tblPrEx>
        <w:trPr>
          <w:trHeight w:val="558"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专利申请数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40项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42项</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效益指标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社会效益指标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获得省部级奖励</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2项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2项</w:t>
            </w:r>
          </w:p>
        </w:tc>
      </w:tr>
    </w:tbl>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、中国工程科技发展战略研究院配套经费项目绩效自评综述</w:t>
      </w:r>
    </w:p>
    <w:p>
      <w:pPr>
        <w:widowControl/>
        <w:tabs>
          <w:tab w:val="left" w:pos="540"/>
        </w:tabs>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93.04</w:t>
      </w:r>
      <w:r>
        <w:rPr>
          <w:rFonts w:hint="eastAsia" w:ascii="仿宋" w:hAnsi="仿宋" w:eastAsia="仿宋" w:cs="仿宋"/>
          <w:sz w:val="32"/>
          <w:szCs w:val="32"/>
          <w:highlight w:val="none"/>
        </w:rPr>
        <w:t>分。资金总额年初预算数10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000元，资金总额全年预算数10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000元，财政资金全年预算数10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资金总额全年执行数5</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534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969.59元，执行率55.35%。</w:t>
      </w:r>
    </w:p>
    <w:p>
      <w:pPr>
        <w:widowControl/>
        <w:tabs>
          <w:tab w:val="left" w:pos="540"/>
        </w:tabs>
        <w:spacing w:line="360" w:lineRule="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其中：财政资金全年执行数5</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534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969.59元，执行率55.35%</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项目绩效目标完成情况：2022年海南研究院预计完成咨询研究报告10份，实际完成10份；预计呈送省政府院士建议8份，实际呈送7份；预计获得省委</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省政府领导或党中央、国务院、有关部委领导批示4份，实际获省领导批示</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份。</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pPr w:leftFromText="180" w:rightFromText="180" w:vertAnchor="text" w:horzAnchor="page" w:tblpXSpec="center" w:tblpY="27"/>
        <w:tblOverlap w:val="never"/>
        <w:tblW w:w="46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93"/>
        <w:gridCol w:w="2624"/>
        <w:gridCol w:w="1272"/>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一级指标</w:t>
            </w:r>
          </w:p>
        </w:tc>
        <w:tc>
          <w:tcPr>
            <w:tcW w:w="872"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二级指标</w:t>
            </w:r>
          </w:p>
        </w:tc>
        <w:tc>
          <w:tcPr>
            <w:tcW w:w="1643"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三级指标</w:t>
            </w:r>
          </w:p>
        </w:tc>
        <w:tc>
          <w:tcPr>
            <w:tcW w:w="796"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年度指标值</w:t>
            </w:r>
          </w:p>
        </w:tc>
        <w:tc>
          <w:tcPr>
            <w:tcW w:w="822"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65" w:type="pct"/>
            <w:vMerge w:val="restar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产出指标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呈送国家及省委</w:t>
            </w:r>
            <w:r>
              <w:rPr>
                <w:rFonts w:hint="eastAsia" w:ascii="仿宋" w:hAnsi="仿宋" w:eastAsia="仿宋" w:cs="仿宋"/>
                <w:szCs w:val="21"/>
                <w:highlight w:val="none"/>
                <w:lang w:eastAsia="zh-CN"/>
              </w:rPr>
              <w:t>、</w:t>
            </w:r>
            <w:r>
              <w:rPr>
                <w:rFonts w:hint="eastAsia" w:ascii="仿宋" w:hAnsi="仿宋" w:eastAsia="仿宋" w:cs="仿宋"/>
                <w:szCs w:val="21"/>
                <w:highlight w:val="none"/>
              </w:rPr>
              <w:t>省政府的专项报告或咨询建议函</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8份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65" w:type="pct"/>
            <w:vMerge w:val="continue"/>
            <w:noWrap w:val="0"/>
            <w:vAlign w:val="center"/>
          </w:tcPr>
          <w:p>
            <w:pPr>
              <w:widowControl/>
              <w:tabs>
                <w:tab w:val="left" w:pos="540"/>
              </w:tabs>
              <w:jc w:val="center"/>
              <w:rPr>
                <w:rFonts w:hint="eastAsia" w:ascii="仿宋" w:hAnsi="仿宋" w:eastAsia="仿宋" w:cs="仿宋"/>
                <w:sz w:val="20"/>
                <w:szCs w:val="20"/>
                <w:highlight w:val="none"/>
              </w:rPr>
            </w:pP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项目立项</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10</w:t>
            </w:r>
            <w:r>
              <w:rPr>
                <w:rFonts w:hint="eastAsia" w:ascii="仿宋" w:hAnsi="仿宋" w:eastAsia="仿宋" w:cs="仿宋"/>
                <w:szCs w:val="21"/>
                <w:highlight w:val="none"/>
                <w:lang w:val="en-US" w:eastAsia="zh-CN"/>
              </w:rPr>
              <w:t>项</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w:t>
            </w:r>
            <w:r>
              <w:rPr>
                <w:rFonts w:hint="eastAsia" w:ascii="仿宋" w:hAnsi="仿宋" w:eastAsia="仿宋" w:cs="仿宋"/>
                <w:szCs w:val="21"/>
                <w:highlight w:val="none"/>
                <w:lang w:val="en-US" w:eastAsia="zh-C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65" w:type="pct"/>
            <w:vMerge w:val="continue"/>
            <w:noWrap w:val="0"/>
            <w:vAlign w:val="center"/>
          </w:tcPr>
          <w:p>
            <w:pPr>
              <w:widowControl/>
              <w:tabs>
                <w:tab w:val="left" w:pos="540"/>
              </w:tabs>
              <w:jc w:val="center"/>
              <w:rPr>
                <w:rFonts w:hint="eastAsia" w:ascii="仿宋" w:hAnsi="仿宋" w:eastAsia="仿宋" w:cs="仿宋"/>
                <w:sz w:val="20"/>
                <w:szCs w:val="20"/>
                <w:highlight w:val="none"/>
              </w:rPr>
            </w:pP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咨询研究报告</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spacing w:line="360" w:lineRule="auto"/>
              <w:rPr>
                <w:rFonts w:hint="eastAsia" w:ascii="仿宋" w:hAnsi="仿宋" w:eastAsia="仿宋" w:cs="仿宋"/>
                <w:sz w:val="20"/>
                <w:szCs w:val="20"/>
                <w:highlight w:val="none"/>
              </w:rPr>
            </w:pPr>
            <w:r>
              <w:rPr>
                <w:rFonts w:hint="eastAsia" w:ascii="仿宋" w:hAnsi="仿宋" w:eastAsia="仿宋" w:cs="仿宋"/>
                <w:szCs w:val="21"/>
                <w:highlight w:val="none"/>
              </w:rPr>
              <w:t>效益指标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社会效益指标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获得省委</w:t>
            </w:r>
            <w:r>
              <w:rPr>
                <w:rFonts w:hint="eastAsia" w:ascii="仿宋" w:hAnsi="仿宋" w:eastAsia="仿宋" w:cs="仿宋"/>
                <w:szCs w:val="21"/>
                <w:highlight w:val="none"/>
                <w:lang w:eastAsia="zh-CN"/>
              </w:rPr>
              <w:t>、</w:t>
            </w:r>
            <w:r>
              <w:rPr>
                <w:rFonts w:hint="eastAsia" w:ascii="仿宋" w:hAnsi="仿宋" w:eastAsia="仿宋" w:cs="仿宋"/>
                <w:szCs w:val="21"/>
                <w:highlight w:val="none"/>
              </w:rPr>
              <w:t>省政府领导或党中央、国务院、有关部委领导批示</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4份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满意指标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服务对象满意度</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中国工程院和海南省人民政府满意度</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95</w:t>
            </w:r>
            <w:r>
              <w:rPr>
                <w:rFonts w:hint="eastAsia" w:ascii="仿宋" w:hAnsi="仿宋" w:eastAsia="仿宋" w:cs="仿宋"/>
                <w:szCs w:val="21"/>
                <w:highlight w:val="none"/>
                <w:lang w:val="en-US" w:eastAsia="zh-CN"/>
              </w:rPr>
              <w:t>%</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95</w:t>
            </w:r>
            <w:r>
              <w:rPr>
                <w:rFonts w:hint="eastAsia" w:ascii="仿宋" w:hAnsi="仿宋" w:eastAsia="仿宋" w:cs="仿宋"/>
                <w:szCs w:val="21"/>
                <w:highlight w:val="none"/>
                <w:lang w:val="en-US" w:eastAsia="zh-CN"/>
              </w:rPr>
              <w:t>%</w:t>
            </w:r>
          </w:p>
        </w:tc>
      </w:tr>
    </w:tbl>
    <w:p>
      <w:pPr>
        <w:widowControl/>
        <w:adjustRightInd w:val="0"/>
        <w:snapToGrid w:val="0"/>
        <w:spacing w:line="360" w:lineRule="auto"/>
        <w:ind w:firstLine="641"/>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发现的主要问题、原因及建议：</w:t>
      </w:r>
    </w:p>
    <w:p>
      <w:pPr>
        <w:widowControl/>
        <w:adjustRightInd w:val="0"/>
        <w:snapToGrid w:val="0"/>
        <w:spacing w:line="360" w:lineRule="auto"/>
        <w:ind w:firstLine="641"/>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项目的有序推进得益于领导高度重视。海南研究院在中国工程院、海南省委</w:t>
      </w:r>
      <w:r>
        <w:rPr>
          <w:rFonts w:hint="eastAsia" w:ascii="仿宋" w:hAnsi="仿宋" w:eastAsia="仿宋" w:cs="仿宋"/>
          <w:color w:val="000000"/>
          <w:kern w:val="0"/>
          <w:sz w:val="32"/>
          <w:szCs w:val="32"/>
          <w:highlight w:val="none"/>
          <w:lang w:eastAsia="zh-CN"/>
        </w:rPr>
        <w:t>、</w:t>
      </w:r>
      <w:r>
        <w:rPr>
          <w:rFonts w:hint="eastAsia" w:ascii="仿宋" w:hAnsi="仿宋" w:eastAsia="仿宋" w:cs="仿宋"/>
          <w:color w:val="000000"/>
          <w:kern w:val="0"/>
          <w:sz w:val="32"/>
          <w:szCs w:val="32"/>
          <w:highlight w:val="none"/>
        </w:rPr>
        <w:t>省政府的有力领导下，在中国工程院、海南省科技厅和海南大学有关领导的精心指导下，加强责任落实，聚焦服务国家和海南需求，推进战略咨询研究项目开展，有序规范决策运行与管理。但是，2022年下半年疫情对项目执行造成一定的影响，出现如项目经费需调整、项目进展需后延等情况，使得经费执行率不高。同时，建立项目依托单位对合作单位经费监管的有效机制和手段，依托单位对合作单位进行不定期财务检查，了解合作单位的项目执行情况，及时对发现问题提出整改意见。</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、院士创新平台科研项目经费项目绩效自评综述</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30.48</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资金总额全年执行数371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207.09元，执行率</w:t>
      </w:r>
      <w:r>
        <w:rPr>
          <w:rFonts w:hint="eastAsia" w:ascii="仿宋" w:hAnsi="仿宋" w:eastAsia="仿宋" w:cs="仿宋"/>
          <w:color w:val="auto"/>
          <w:sz w:val="32"/>
          <w:szCs w:val="32"/>
          <w:highlight w:val="none"/>
          <w:lang w:val="en-US" w:eastAsia="zh-CN"/>
        </w:rPr>
        <w:t>4.83</w:t>
      </w:r>
      <w:r>
        <w:rPr>
          <w:rFonts w:hint="eastAsia" w:ascii="仿宋" w:hAnsi="仿宋" w:eastAsia="仿宋" w:cs="仿宋"/>
          <w:color w:val="auto"/>
          <w:sz w:val="32"/>
          <w:szCs w:val="32"/>
          <w:highlight w:val="none"/>
        </w:rPr>
        <w:t>%。其中：财政资金全年执行数371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207.09元，执行率</w:t>
      </w:r>
      <w:r>
        <w:rPr>
          <w:rFonts w:hint="eastAsia" w:ascii="仿宋" w:hAnsi="仿宋" w:eastAsia="仿宋" w:cs="仿宋"/>
          <w:color w:val="auto"/>
          <w:sz w:val="32"/>
          <w:szCs w:val="32"/>
          <w:highlight w:val="none"/>
          <w:lang w:val="en-US" w:eastAsia="zh-CN"/>
        </w:rPr>
        <w:t>4.83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项目起止时间为2022年3月至2025年3月，截止至2022年底，本项目完成论文发表6篇，引进人才1位，培养学生6名，项目达到年度预期效果，目前按照任务书约定的执行年限正常进行。项目按照任务书中约定的研究内容和考核指标</w:t>
      </w:r>
      <w:r>
        <w:rPr>
          <w:rFonts w:hint="eastAsia" w:ascii="仿宋" w:hAnsi="仿宋" w:eastAsia="仿宋" w:cs="仿宋"/>
          <w:color w:val="auto"/>
          <w:sz w:val="32"/>
          <w:szCs w:val="32"/>
          <w:highlight w:val="none"/>
          <w:lang w:val="en-US" w:eastAsia="zh-CN"/>
        </w:rPr>
        <w:t>如期</w:t>
      </w:r>
      <w:r>
        <w:rPr>
          <w:rFonts w:hint="eastAsia" w:ascii="仿宋" w:hAnsi="仿宋" w:eastAsia="仿宋" w:cs="仿宋"/>
          <w:color w:val="auto"/>
          <w:sz w:val="32"/>
          <w:szCs w:val="32"/>
          <w:highlight w:val="none"/>
        </w:rPr>
        <w:t>完成了阶段性任务，项目严格按照预算实施，各项工作有序开展，实效符合预期要求。</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4754" w:type="pct"/>
        <w:jc w:val="center"/>
        <w:tblLayout w:type="autofit"/>
        <w:tblCellMar>
          <w:top w:w="0" w:type="dxa"/>
          <w:left w:w="108" w:type="dxa"/>
          <w:bottom w:w="0" w:type="dxa"/>
          <w:right w:w="108" w:type="dxa"/>
        </w:tblCellMar>
      </w:tblPr>
      <w:tblGrid>
        <w:gridCol w:w="1265"/>
        <w:gridCol w:w="1513"/>
        <w:gridCol w:w="2414"/>
        <w:gridCol w:w="1504"/>
        <w:gridCol w:w="1407"/>
      </w:tblGrid>
      <w:tr>
        <w:tblPrEx>
          <w:tblCellMar>
            <w:top w:w="0" w:type="dxa"/>
            <w:left w:w="108" w:type="dxa"/>
            <w:bottom w:w="0" w:type="dxa"/>
            <w:right w:w="108" w:type="dxa"/>
          </w:tblCellMar>
        </w:tblPrEx>
        <w:trPr>
          <w:trHeight w:val="855" w:hRule="atLeast"/>
          <w:jc w:val="center"/>
        </w:trPr>
        <w:tc>
          <w:tcPr>
            <w:tcW w:w="126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0"/>
                <w:szCs w:val="20"/>
                <w:highlight w:val="none"/>
              </w:rPr>
              <w:t>一级指标</w:t>
            </w:r>
          </w:p>
        </w:tc>
        <w:tc>
          <w:tcPr>
            <w:tcW w:w="1513" w:type="dxa"/>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二级指标</w:t>
            </w:r>
          </w:p>
        </w:tc>
        <w:tc>
          <w:tcPr>
            <w:tcW w:w="2414" w:type="dxa"/>
            <w:tcBorders>
              <w:top w:val="single" w:color="auto" w:sz="4" w:space="0"/>
              <w:left w:val="nil"/>
              <w:bottom w:val="single" w:color="auto" w:sz="4" w:space="0"/>
              <w:right w:val="nil"/>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三级指标</w:t>
            </w:r>
          </w:p>
        </w:tc>
        <w:tc>
          <w:tcPr>
            <w:tcW w:w="15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年度指标值</w:t>
            </w:r>
          </w:p>
        </w:tc>
        <w:tc>
          <w:tcPr>
            <w:tcW w:w="1407" w:type="dxa"/>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实际完成值</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0"/>
                <w:sz w:val="22"/>
                <w:szCs w:val="22"/>
                <w:highlight w:val="none"/>
              </w:rPr>
            </w:pPr>
            <w:r>
              <w:rPr>
                <w:rFonts w:hint="eastAsia" w:ascii="仿宋" w:hAnsi="仿宋" w:eastAsia="仿宋" w:cs="仿宋"/>
                <w:b w:val="0"/>
                <w:bCs w:val="0"/>
                <w:color w:val="auto"/>
                <w:sz w:val="20"/>
                <w:szCs w:val="20"/>
                <w:highlight w:val="none"/>
                <w:lang w:val="en-US" w:eastAsia="zh-CN"/>
              </w:rPr>
              <w:t>产出指标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数量指标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发表论文</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16篇</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6篇</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0"/>
                <w:sz w:val="22"/>
                <w:szCs w:val="22"/>
                <w:highlight w:val="none"/>
              </w:rPr>
            </w:pPr>
            <w:r>
              <w:rPr>
                <w:rFonts w:hint="eastAsia" w:ascii="仿宋" w:hAnsi="仿宋" w:eastAsia="仿宋" w:cs="仿宋"/>
                <w:b w:val="0"/>
                <w:bCs w:val="0"/>
                <w:color w:val="auto"/>
                <w:sz w:val="20"/>
                <w:szCs w:val="20"/>
                <w:highlight w:val="none"/>
                <w:lang w:val="en-US" w:eastAsia="zh-CN"/>
              </w:rPr>
              <w:t>产出指标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数量指标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引进人才</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4人</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1人</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效益指标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社会效益指标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培养学生</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16名</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6名</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、省重点研发计划项目绩效自评综述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22.03</w:t>
      </w:r>
      <w:r>
        <w:rPr>
          <w:rFonts w:hint="eastAsia" w:ascii="仿宋" w:hAnsi="仿宋" w:eastAsia="仿宋" w:cs="仿宋"/>
          <w:sz w:val="32"/>
          <w:szCs w:val="32"/>
          <w:highlight w:val="none"/>
        </w:rPr>
        <w:t>分。资金总额年初预算数8,200,000元，全年预算数8,200,000元。其中：财政资金年初预算数8,200,000元，全年预算数8,200,000元</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资金总额全年执行数3,812,867.23元，执行率46.50%。</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其中：财政资金全年执行数3,812,867.23元，执行率46.50%</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该类专项立项了19个项目，执行年限为2021年12月23日至2023年12月22日，现按照年度计划正常开展。目前完成软件开发2套、研究报告3份、开发样品（样机）1件、EI论文收录21篇、国内外核心期刊发表20篇，支持培养研究生人数45人等。整个项目的开展，聚焦地区实际的发展需求，增强了我省的经济创新力与竞争力。项目执行年限为2021年12月23日至2023年12月22日，项目未到期，尚未组织验收，导致有些绩效目标尚未全部完成，但目前项目按照研究计划进度正常进行中，到期可以完成所有绩效目标。</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613" w:type="dxa"/>
        <w:tblInd w:w="0" w:type="dxa"/>
        <w:tblLayout w:type="autofit"/>
        <w:tblCellMar>
          <w:top w:w="0" w:type="dxa"/>
          <w:left w:w="108" w:type="dxa"/>
          <w:bottom w:w="0" w:type="dxa"/>
          <w:right w:w="108" w:type="dxa"/>
        </w:tblCellMar>
      </w:tblPr>
      <w:tblGrid>
        <w:gridCol w:w="1078"/>
        <w:gridCol w:w="1078"/>
        <w:gridCol w:w="1416"/>
        <w:gridCol w:w="1432"/>
        <w:gridCol w:w="1483"/>
        <w:gridCol w:w="2126"/>
      </w:tblGrid>
      <w:tr>
        <w:tblPrEx>
          <w:tblCellMar>
            <w:top w:w="0" w:type="dxa"/>
            <w:left w:w="108" w:type="dxa"/>
            <w:bottom w:w="0" w:type="dxa"/>
            <w:right w:w="108" w:type="dxa"/>
          </w:tblCellMar>
        </w:tblPrEx>
        <w:trPr>
          <w:trHeight w:val="668"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二级指标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三级指标</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年度指标值</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实际完成值</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kern w:val="0"/>
                <w:sz w:val="20"/>
                <w:szCs w:val="20"/>
                <w:highlight w:val="none"/>
                <w:lang w:bidi="ar"/>
              </w:rPr>
            </w:pPr>
            <w:r>
              <w:rPr>
                <w:rFonts w:hint="eastAsia" w:ascii="仿宋" w:hAnsi="仿宋" w:eastAsia="仿宋" w:cs="仿宋"/>
                <w:b/>
                <w:bCs/>
                <w:color w:val="auto"/>
                <w:kern w:val="0"/>
                <w:sz w:val="20"/>
                <w:szCs w:val="20"/>
                <w:highlight w:val="none"/>
                <w:lang w:bidi="ar"/>
              </w:rPr>
              <w:t>未完成原因</w:t>
            </w:r>
          </w:p>
        </w:tc>
      </w:tr>
      <w:tr>
        <w:tblPrEx>
          <w:tblCellMar>
            <w:top w:w="0" w:type="dxa"/>
            <w:left w:w="108" w:type="dxa"/>
            <w:bottom w:w="0" w:type="dxa"/>
            <w:right w:w="108" w:type="dxa"/>
          </w:tblCellMar>
        </w:tblPrEx>
        <w:trPr>
          <w:trHeight w:val="691"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产品、装置、设备开发数量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2台（套）</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2台（套）</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575"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分析、测试报告数量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4份</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3份</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586"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软件开发数量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2套</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2套</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92"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研究报告数量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5份</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3份</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704"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样品、样机开发数量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1件</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1件</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68"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EI收录论文数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23篇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21篇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SCI收录论文数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36篇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33篇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国内外核心期刊发表论文数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22篇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20篇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软件著作权登记数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验收合格率</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本项目尚未到期，目前按照任务书约定的执行年限正常进行，尚未组织验收。</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专利申请数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23项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20项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专利授权数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3项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EI收录论文平均被引用次数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SCI收录论文平均被引用次数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国内外核心期刊发表论文平均被引用次数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支持培养创新团队数量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5支</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4支</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支持培养研究生人数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58人</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45人</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、院士创新平台建设运营和绩效奖励经费项目绩效自评综述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20.83</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1</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895</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990.32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28.30</w:t>
      </w:r>
      <w:r>
        <w:rPr>
          <w:rFonts w:hint="eastAsia" w:ascii="仿宋" w:hAnsi="仿宋" w:eastAsia="仿宋" w:cs="仿宋"/>
          <w:color w:val="auto"/>
          <w:sz w:val="32"/>
          <w:szCs w:val="32"/>
          <w:highlight w:val="none"/>
        </w:rPr>
        <w:t>%。</w:t>
      </w:r>
    </w:p>
    <w:p>
      <w:pPr>
        <w:widowControl/>
        <w:spacing w:line="578" w:lineRule="atLeas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1</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895</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990.32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28.30</w:t>
      </w:r>
      <w:r>
        <w:rPr>
          <w:rFonts w:hint="eastAsia" w:ascii="仿宋" w:hAnsi="仿宋" w:eastAsia="仿宋" w:cs="仿宋"/>
          <w:color w:val="auto"/>
          <w:sz w:val="32"/>
          <w:szCs w:val="32"/>
          <w:highlight w:val="none"/>
        </w:rPr>
        <w:t>%</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项目绩效目标完成情况：院士平台建设运营和绩效奖励经费，还在执行过程中。目前已发表论文3篇，培养学生3人。</w:t>
      </w:r>
      <w:r>
        <w:rPr>
          <w:rFonts w:hint="eastAsia" w:ascii="仿宋" w:hAnsi="仿宋" w:eastAsia="仿宋" w:cs="仿宋"/>
          <w:kern w:val="0"/>
          <w:sz w:val="32"/>
          <w:szCs w:val="32"/>
          <w:highlight w:val="none"/>
          <w:lang w:eastAsia="zh-Hans"/>
        </w:rPr>
        <w:t>本年度在</w:t>
      </w:r>
      <w:r>
        <w:rPr>
          <w:rFonts w:hint="eastAsia" w:ascii="仿宋" w:hAnsi="仿宋" w:eastAsia="仿宋" w:cs="仿宋"/>
          <w:kern w:val="0"/>
          <w:sz w:val="32"/>
          <w:szCs w:val="32"/>
          <w:highlight w:val="none"/>
        </w:rPr>
        <w:t>新冠肺炎疫情</w:t>
      </w:r>
      <w:r>
        <w:rPr>
          <w:rFonts w:hint="eastAsia" w:ascii="仿宋" w:hAnsi="仿宋" w:eastAsia="仿宋" w:cs="仿宋"/>
          <w:kern w:val="0"/>
          <w:sz w:val="32"/>
          <w:szCs w:val="32"/>
          <w:highlight w:val="none"/>
          <w:lang w:eastAsia="zh-Hans"/>
        </w:rPr>
        <w:t>的不利影响下</w:t>
      </w:r>
      <w:r>
        <w:rPr>
          <w:rFonts w:hint="eastAsia" w:ascii="仿宋" w:hAnsi="仿宋" w:eastAsia="仿宋" w:cs="仿宋"/>
          <w:kern w:val="0"/>
          <w:sz w:val="32"/>
          <w:szCs w:val="32"/>
          <w:highlight w:val="none"/>
        </w:rPr>
        <w:t>，除部分工作未能正常开展，主要集中在“请进来、走出去”方面，包括邀请校外专家进校交流、中心人员外出调研等工作</w:t>
      </w:r>
      <w:r>
        <w:rPr>
          <w:rFonts w:hint="eastAsia" w:ascii="仿宋" w:hAnsi="仿宋" w:eastAsia="仿宋" w:cs="仿宋"/>
          <w:sz w:val="32"/>
          <w:szCs w:val="32"/>
          <w:highlight w:val="none"/>
          <w:shd w:val="clear" w:color="auto" w:fill="FFFFFF"/>
        </w:rPr>
        <w:t>与原计划相比有所减缓</w:t>
      </w:r>
      <w:r>
        <w:rPr>
          <w:rFonts w:hint="eastAsia" w:ascii="仿宋" w:hAnsi="仿宋" w:eastAsia="仿宋" w:cs="仿宋"/>
          <w:sz w:val="32"/>
          <w:szCs w:val="32"/>
          <w:highlight w:val="none"/>
          <w:shd w:val="clear" w:color="auto" w:fill="FFFFFF"/>
          <w:lang w:eastAsia="zh-CN"/>
        </w:rPr>
        <w:t>，</w:t>
      </w:r>
      <w:r>
        <w:rPr>
          <w:rFonts w:hint="eastAsia" w:ascii="仿宋" w:hAnsi="仿宋" w:eastAsia="仿宋" w:cs="仿宋"/>
          <w:sz w:val="32"/>
          <w:szCs w:val="32"/>
          <w:highlight w:val="none"/>
          <w:shd w:val="clear" w:color="auto" w:fill="FFFFFF"/>
        </w:rPr>
        <w:t>整体</w:t>
      </w:r>
      <w:r>
        <w:rPr>
          <w:rFonts w:hint="eastAsia" w:ascii="仿宋" w:hAnsi="仿宋" w:eastAsia="仿宋" w:cs="仿宋"/>
          <w:kern w:val="0"/>
          <w:sz w:val="32"/>
          <w:szCs w:val="32"/>
          <w:highlight w:val="none"/>
        </w:rPr>
        <w:t>项目按原定计划有序推进，</w:t>
      </w:r>
      <w:r>
        <w:rPr>
          <w:rFonts w:hint="eastAsia" w:ascii="仿宋" w:hAnsi="仿宋" w:eastAsia="仿宋" w:cs="仿宋"/>
          <w:bCs/>
          <w:sz w:val="32"/>
          <w:szCs w:val="32"/>
          <w:highlight w:val="none"/>
        </w:rPr>
        <w:t>按照项目任务书及工作计划要求，按时保质保量完成各项工作任务，达到预期效果。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3"/>
        <w:gridCol w:w="1815"/>
        <w:gridCol w:w="194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一级指标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发表论文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可持续发展指标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培养学生</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、林业改革发展资金项目绩效自评综述</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66.95</w:t>
      </w:r>
      <w:r>
        <w:rPr>
          <w:rFonts w:hint="eastAsia" w:ascii="仿宋" w:hAnsi="仿宋" w:eastAsia="仿宋" w:cs="仿宋"/>
          <w:sz w:val="32"/>
          <w:szCs w:val="32"/>
          <w:highlight w:val="none"/>
        </w:rPr>
        <w:t>分。资金总额年初预算数</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元，资金总额全年预算数1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元，财政资金全年预算数1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资金总额全年执行数1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043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100.83元，执行率</w:t>
      </w:r>
      <w:r>
        <w:rPr>
          <w:rFonts w:hint="eastAsia" w:ascii="仿宋" w:hAnsi="仿宋" w:eastAsia="仿宋" w:cs="仿宋"/>
          <w:sz w:val="32"/>
          <w:szCs w:val="32"/>
          <w:highlight w:val="none"/>
          <w:lang w:val="en-US" w:eastAsia="zh-CN"/>
        </w:rPr>
        <w:t>69.54</w:t>
      </w:r>
      <w:r>
        <w:rPr>
          <w:rFonts w:hint="eastAsia" w:ascii="仿宋" w:hAnsi="仿宋" w:eastAsia="仿宋" w:cs="仿宋"/>
          <w:sz w:val="32"/>
          <w:szCs w:val="32"/>
          <w:highlight w:val="none"/>
        </w:rPr>
        <w:t>%。其中：财政资金全年执行数1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043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100.83元，执行率</w:t>
      </w:r>
      <w:r>
        <w:rPr>
          <w:rFonts w:hint="eastAsia" w:ascii="仿宋" w:hAnsi="仿宋" w:eastAsia="仿宋" w:cs="仿宋"/>
          <w:sz w:val="32"/>
          <w:szCs w:val="32"/>
          <w:highlight w:val="none"/>
          <w:lang w:val="en-US" w:eastAsia="zh-CN"/>
        </w:rPr>
        <w:t>69.54</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 xml:space="preserve">      </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100万株苗木已种植完毕，3-5月完成嫁接，12月可以开始出圃。通过海南本地油茶高产良种的推广应用，达到保护生态和促进乡村经济的双重收益。培育的优良种子为1级标准，良种选育大于等于700000株，通过良种培育带动就业大于等于20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5046" w:type="pct"/>
        <w:tblInd w:w="-58" w:type="dxa"/>
        <w:tblLayout w:type="fixed"/>
        <w:tblCellMar>
          <w:top w:w="0" w:type="dxa"/>
          <w:left w:w="108" w:type="dxa"/>
          <w:bottom w:w="0" w:type="dxa"/>
          <w:right w:w="108" w:type="dxa"/>
        </w:tblCellMar>
      </w:tblPr>
      <w:tblGrid>
        <w:gridCol w:w="1305"/>
        <w:gridCol w:w="1695"/>
        <w:gridCol w:w="2910"/>
        <w:gridCol w:w="1334"/>
        <w:gridCol w:w="1357"/>
      </w:tblGrid>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一级指标</w:t>
            </w:r>
          </w:p>
        </w:tc>
        <w:tc>
          <w:tcPr>
            <w:tcW w:w="98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二级指标</w:t>
            </w:r>
          </w:p>
        </w:tc>
        <w:tc>
          <w:tcPr>
            <w:tcW w:w="1691"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三级指标</w:t>
            </w:r>
          </w:p>
        </w:tc>
        <w:tc>
          <w:tcPr>
            <w:tcW w:w="77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年度指标值</w:t>
            </w:r>
          </w:p>
        </w:tc>
        <w:tc>
          <w:tcPr>
            <w:tcW w:w="78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实际完成值</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时效指标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当年任务完成率</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100%</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100%</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数量指标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培育的优良种子标准级别</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1级</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1级</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数量指标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良种选育</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600000株</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700000株</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生态效益指标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通过使用良种生态环境改善</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16600亩</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0亩</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可持续发展指标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通过使用良种提高产量质量（公斤/亩）</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1500斤</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0斤</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社会效益指标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通过良种培育带动了就业</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20人数</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20人数</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经济效益指标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优良种子（穗条）产值（元/亩）</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4.17万元</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0万元</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、自然科学基金项目绩效自评综述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91.24</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3</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619</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021.84</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12.4</w:t>
      </w:r>
      <w:r>
        <w:rPr>
          <w:rFonts w:hint="eastAsia" w:ascii="仿宋" w:hAnsi="仿宋" w:eastAsia="仿宋" w:cs="仿宋"/>
          <w:color w:val="auto"/>
          <w:sz w:val="32"/>
          <w:szCs w:val="32"/>
          <w:highlight w:val="none"/>
        </w:rPr>
        <w:t>%。</w:t>
      </w:r>
    </w:p>
    <w:p>
      <w:pPr>
        <w:widowControl/>
        <w:spacing w:line="578" w:lineRule="atLeas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3</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619</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021.84</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12.4</w:t>
      </w:r>
      <w:r>
        <w:rPr>
          <w:rFonts w:hint="eastAsia" w:ascii="仿宋" w:hAnsi="仿宋" w:eastAsia="仿宋" w:cs="仿宋"/>
          <w:color w:val="auto"/>
          <w:sz w:val="32"/>
          <w:szCs w:val="32"/>
          <w:highlight w:val="none"/>
        </w:rPr>
        <w:t>%</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该项目推动了我省的基础科学研究，服务经济和社会发展。项目执行期限为2021年12月至2024年。目前按照年度计划进度正常进行。年度目标均已完成，EI收录论文数达到10篇，SCI收录论文数达到16篇，国内外核心期刊发表论文数达到52篇，专利申请达到27项，支持培养研究生达到116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3"/>
        <w:gridCol w:w="1815"/>
        <w:gridCol w:w="194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一级指标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EI收录论文数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12篇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16篇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25项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116人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、重点研发专项项目绩效自评综述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91.56</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资金总额年初预算数0元，全年预算数26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540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000元。其中：财政资金年初预算数0元，财政资金全年预算数26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540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4</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127</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250.52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15.55</w:t>
      </w:r>
      <w:r>
        <w:rPr>
          <w:rFonts w:hint="eastAsia" w:ascii="仿宋" w:hAnsi="仿宋" w:eastAsia="仿宋" w:cs="仿宋"/>
          <w:color w:val="auto"/>
          <w:sz w:val="32"/>
          <w:szCs w:val="32"/>
          <w:highlight w:val="none"/>
        </w:rPr>
        <w:t>%。</w:t>
      </w:r>
    </w:p>
    <w:p>
      <w:pPr>
        <w:widowControl/>
        <w:spacing w:line="578" w:lineRule="atLeast"/>
        <w:ind w:left="640" w:hanging="640" w:hanging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4</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127</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250.52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15.55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项目绩效目标完成情况：该项目执行年限为2022年9</w:t>
      </w:r>
    </w:p>
    <w:p>
      <w:pPr>
        <w:widowControl/>
        <w:spacing w:line="578" w:lineRule="atLeas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月7日至2025年9月6日，截止至2022年底，本项目完成申请专利21项，收录SCI论文31篇，发表国内外核心期刊论文28篇，支持培养研究生96名，支持培养创新团队15支，科技成果转化数10项，转化科技成果合同金额达到1020万，目前按照任务书约定的执行年限正常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31篇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25篇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28篇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支持培养创新团队数量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15支</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15支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科技成果转化数量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转化科技成果合同金额</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1000万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1020万</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、农业行业基础能力建设项目绩效自评综述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资金总额年初预算数0元，全年预算数15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560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000元。其中：财政资金年初预算数0元，财政资金全年预算数15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560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设备采购分两批，第一批已于5月4日开标；第二批设备已基本完成招标文件准备工作，公示后即可开标；目前有6名教师以该基地为依托提交省级、国家级课题申报书。由于项目经费到账较晚（2022年10月31日到账），且项目负责人所在团队、招标代理公司、工程施工单位及各职能部门先后受到年底疫情影响，导致前期建安工程、设备采购等招标工作难以推动，项目进展缓慢</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项目涉及三亚南繁研究院众创中心改造，招标程序复杂，目前项目招标正在走程序，部分招标已在海南政府采购网公示，剩余部分正抓紧进行。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实验室改造</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315平方米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仪器设备购置</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40台/套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0台/套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受益学生数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成本指标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经济成本指标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成本控制率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、南海海洋资源利用国家重点实验室建设</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96.95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310元，执行率</w:t>
      </w:r>
      <w:r>
        <w:rPr>
          <w:rFonts w:hint="eastAsia" w:ascii="仿宋" w:hAnsi="仿宋" w:eastAsia="仿宋" w:cs="仿宋"/>
          <w:color w:val="auto"/>
          <w:sz w:val="32"/>
          <w:szCs w:val="32"/>
          <w:highlight w:val="none"/>
          <w:lang w:val="en-US" w:eastAsia="zh-CN"/>
        </w:rPr>
        <w:t>69.52</w:t>
      </w:r>
      <w:r>
        <w:rPr>
          <w:rFonts w:hint="eastAsia" w:ascii="仿宋" w:hAnsi="仿宋" w:eastAsia="仿宋" w:cs="仿宋"/>
          <w:color w:val="auto"/>
          <w:sz w:val="32"/>
          <w:szCs w:val="32"/>
          <w:highlight w:val="none"/>
        </w:rPr>
        <w:t>%。其中：财政资金全年执行数6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310元，执行率</w:t>
      </w:r>
      <w:r>
        <w:rPr>
          <w:rFonts w:hint="eastAsia" w:ascii="仿宋" w:hAnsi="仿宋" w:eastAsia="仿宋" w:cs="仿宋"/>
          <w:color w:val="auto"/>
          <w:sz w:val="32"/>
          <w:szCs w:val="32"/>
          <w:highlight w:val="none"/>
          <w:lang w:val="en-US" w:eastAsia="zh-CN"/>
        </w:rPr>
        <w:t>69.52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项目绩效目标完成情况：发表SCI论文篇数240篇；授权发明专利29项；申报省部级一等奖项以上3项、二等奖项2项；开展国内外学术交流有73人次</w:t>
      </w:r>
      <w:r>
        <w:rPr>
          <w:rFonts w:hint="eastAsia" w:ascii="仿宋" w:hAnsi="仿宋" w:eastAsia="仿宋" w:cs="仿宋"/>
          <w:color w:val="auto"/>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发表SCI论文篇数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240篇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申报省部级奖项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授权发明专利</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29项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开展学术交流</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60人次 </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73人次 </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12</w:t>
      </w:r>
      <w:r>
        <w:rPr>
          <w:rFonts w:hint="eastAsia" w:ascii="仿宋" w:hAnsi="仿宋" w:eastAsia="仿宋" w:cs="仿宋"/>
          <w:sz w:val="32"/>
          <w:szCs w:val="32"/>
          <w:highlight w:val="none"/>
        </w:rPr>
        <w:t>、热带特色畜禽种质资源的挖掘与利用实验室平台建设</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000元，执行率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%。其中：财政资金全年执行数1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000元，执行率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通过本专项扶持，已经完成平台仪器设备购置和技术人员的仪器设备使用培训，已完成并构建热带特色畜禽种质资源的挖掘与利用实验室平台建设和提升，并极大的助力于海南热带特色种质资源研究。</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得到实际应用的科研成果数量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引进高层次人才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开放共享仪器设备数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4台/套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4台/套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成果转化</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10万元</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10万元</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、科技合作</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81.07</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资金总额全年执行数261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473.56元，执行率</w:t>
      </w:r>
      <w:r>
        <w:rPr>
          <w:rFonts w:hint="eastAsia" w:ascii="仿宋" w:hAnsi="仿宋" w:eastAsia="仿宋" w:cs="仿宋"/>
          <w:color w:val="auto"/>
          <w:sz w:val="32"/>
          <w:szCs w:val="32"/>
          <w:highlight w:val="none"/>
          <w:lang w:val="en-US" w:eastAsia="zh-CN"/>
        </w:rPr>
        <w:t>10.67</w:t>
      </w:r>
      <w:r>
        <w:rPr>
          <w:rFonts w:hint="eastAsia" w:ascii="仿宋" w:hAnsi="仿宋" w:eastAsia="仿宋" w:cs="仿宋"/>
          <w:color w:val="auto"/>
          <w:sz w:val="32"/>
          <w:szCs w:val="32"/>
          <w:highlight w:val="none"/>
        </w:rPr>
        <w:t>%。其中：财政资金全年执行数261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473.56元，执行率</w:t>
      </w:r>
      <w:r>
        <w:rPr>
          <w:rFonts w:hint="eastAsia" w:ascii="仿宋" w:hAnsi="仿宋" w:eastAsia="仿宋" w:cs="仿宋"/>
          <w:color w:val="auto"/>
          <w:sz w:val="32"/>
          <w:szCs w:val="32"/>
          <w:highlight w:val="none"/>
          <w:lang w:val="en-US" w:eastAsia="zh-CN"/>
        </w:rPr>
        <w:t>10.67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执行年限为三年，即从2022年3月12日至2025年3月11日。该项目年度目标已基本完成：分析、测试报告数量2份、软件开发1套、EI收录论文2篇、SCI收录论文3篇、国内外核心期刊发表论文2篇、专利申请3项、支持培养研究生12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分析、测试报告数量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软件开发数量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EI收录论文数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验收合格率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12人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rPr>
        <w:t>、省院士创新平台科研</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20.75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资金总额全年执行数83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342.83元，执行率</w:t>
      </w:r>
      <w:r>
        <w:rPr>
          <w:rFonts w:hint="eastAsia" w:ascii="仿宋" w:hAnsi="仿宋" w:eastAsia="仿宋" w:cs="仿宋"/>
          <w:color w:val="auto"/>
          <w:sz w:val="32"/>
          <w:szCs w:val="32"/>
          <w:highlight w:val="none"/>
          <w:lang w:val="en-US" w:eastAsia="zh-CN"/>
        </w:rPr>
        <w:t>7.51</w:t>
      </w:r>
      <w:r>
        <w:rPr>
          <w:rFonts w:hint="eastAsia" w:ascii="仿宋" w:hAnsi="仿宋" w:eastAsia="仿宋" w:cs="仿宋"/>
          <w:color w:val="auto"/>
          <w:sz w:val="32"/>
          <w:szCs w:val="32"/>
          <w:highlight w:val="none"/>
        </w:rPr>
        <w:t>%。其中：财政资金全年执行数83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342.83元，执行率</w:t>
      </w:r>
      <w:r>
        <w:rPr>
          <w:rFonts w:hint="eastAsia" w:ascii="仿宋" w:hAnsi="仿宋" w:eastAsia="仿宋" w:cs="仿宋"/>
          <w:color w:val="auto"/>
          <w:sz w:val="32"/>
          <w:szCs w:val="32"/>
          <w:highlight w:val="none"/>
          <w:lang w:val="en-US" w:eastAsia="zh-CN"/>
        </w:rPr>
        <w:t>7.51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项目绩效目标完成情况：该项目执行年限为2021年12月至2024年12月，截止至2022年底，本项目完成论文发表1篇，培养学生1名，项目达到年度预期效果，目前按照任务书约定的执行年限正常进行。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14</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发表论文数量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3篇（部）</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可持续发展指标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培养学生</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、海南省科学技术奖奖金</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90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元，全年预算数980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元，财政资金全年预算数980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项目绩效目标完成情况：奖金发放及时，本年度科学技术奖奖金于2022年12月底到位，是在下一年度（即2023年）发放。</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获得省级奖励</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1个</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按时发放率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16</w:t>
      </w:r>
      <w:r>
        <w:rPr>
          <w:rFonts w:hint="eastAsia" w:ascii="仿宋" w:hAnsi="仿宋" w:eastAsia="仿宋" w:cs="仿宋"/>
          <w:sz w:val="32"/>
          <w:szCs w:val="32"/>
          <w:highlight w:val="none"/>
        </w:rPr>
        <w:t>、科技条件平台专项</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元，全年预算数337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261元。其中：财政资金年初预算数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元，财政资金全年预算数337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261元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项目绩效目标完成情况：该项目预算下达时间为2022年10月，项目执行期一般为2-3年，正在抓紧推进中。本项目为跨年度项目，目前按照计划正常进行，项目未到期。</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16</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17</w:t>
      </w:r>
      <w:r>
        <w:rPr>
          <w:rFonts w:hint="eastAsia" w:ascii="仿宋" w:hAnsi="仿宋" w:eastAsia="仿宋" w:cs="仿宋"/>
          <w:sz w:val="32"/>
          <w:szCs w:val="32"/>
          <w:highlight w:val="none"/>
        </w:rPr>
        <w:t>、软科学</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94.31</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325,000</w:t>
      </w:r>
      <w:r>
        <w:rPr>
          <w:rFonts w:hint="eastAsia" w:ascii="仿宋" w:hAnsi="仿宋" w:eastAsia="仿宋" w:cs="仿宋"/>
          <w:color w:val="auto"/>
          <w:sz w:val="32"/>
          <w:szCs w:val="32"/>
          <w:highlight w:val="none"/>
        </w:rPr>
        <w:t>元，全年预算数325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325,000</w:t>
      </w:r>
      <w:r>
        <w:rPr>
          <w:rFonts w:hint="eastAsia" w:ascii="仿宋" w:hAnsi="仿宋" w:eastAsia="仿宋" w:cs="仿宋"/>
          <w:color w:val="auto"/>
          <w:sz w:val="32"/>
          <w:szCs w:val="32"/>
          <w:highlight w:val="none"/>
        </w:rPr>
        <w:t>元，财政资金全年预算数325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140,000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43.08</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140,000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43.08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项目绩效目标完成情况：年度目标已经全部完成: 发表期刊论文1篇、出具研究报告2份，培养研究生数量3人。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17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期刊论文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研究报告</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培养研究生数量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18</w:t>
      </w:r>
      <w:r>
        <w:rPr>
          <w:rFonts w:hint="eastAsia" w:ascii="仿宋" w:hAnsi="仿宋" w:eastAsia="仿宋" w:cs="仿宋"/>
          <w:color w:val="auto"/>
          <w:sz w:val="32"/>
          <w:szCs w:val="32"/>
          <w:highlight w:val="none"/>
        </w:rPr>
        <w:t>、海甸校区电力改造-学生公寓空调配电系统改造项目绩效自评综述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元，全年预算数8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667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207元。其中：财政资金年初预算数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元，财政资金全年预算数8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667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已完成学生宿舍的空调供电系统扩容及线路改造，并通电运行，困扰学生空调不能正常使用的问题彻底解决，保证学生公寓正常用电。改造后新增供电容量为7470KVA。</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18</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18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88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项目受益人数</w:t>
            </w:r>
          </w:p>
        </w:tc>
        <w:tc>
          <w:tcPr>
            <w:tcW w:w="1475" w:type="dxa"/>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30000人</w:t>
            </w:r>
          </w:p>
        </w:tc>
        <w:tc>
          <w:tcPr>
            <w:tcW w:w="1475" w:type="dxa"/>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30000人</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成本指标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经济成本指标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19</w:t>
      </w:r>
      <w:r>
        <w:rPr>
          <w:rFonts w:hint="eastAsia" w:ascii="仿宋" w:hAnsi="仿宋" w:eastAsia="仿宋" w:cs="仿宋"/>
          <w:color w:val="auto"/>
          <w:sz w:val="32"/>
          <w:szCs w:val="32"/>
          <w:highlight w:val="none"/>
        </w:rPr>
        <w:t>、创新能力建设专项资金项目绩效自评综述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99.94</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4,300,000</w:t>
      </w:r>
      <w:r>
        <w:rPr>
          <w:rFonts w:hint="eastAsia" w:ascii="仿宋" w:hAnsi="仿宋" w:eastAsia="仿宋" w:cs="仿宋"/>
          <w:color w:val="auto"/>
          <w:sz w:val="32"/>
          <w:szCs w:val="32"/>
          <w:highlight w:val="none"/>
        </w:rPr>
        <w:t>元，全年预算数4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4,300,000</w:t>
      </w:r>
      <w:r>
        <w:rPr>
          <w:rFonts w:hint="eastAsia" w:ascii="仿宋" w:hAnsi="仿宋" w:eastAsia="仿宋" w:cs="仿宋"/>
          <w:color w:val="auto"/>
          <w:sz w:val="32"/>
          <w:szCs w:val="32"/>
          <w:highlight w:val="none"/>
        </w:rPr>
        <w:t>元，财政资金全年预算数4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4,274,169.5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99.4</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4,274,169.5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已完成学生宿舍的空调供电系统扩容及线路改造，并通电运行，困扰学生空调不能正常使用的问题彻底解决，保证学生公寓正常用电。改造后新增供电容量为7470KVA。</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19</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19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质量指标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验收合格率</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97%</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97%</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88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发表SCI论文数</w:t>
            </w:r>
          </w:p>
        </w:tc>
        <w:tc>
          <w:tcPr>
            <w:tcW w:w="90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5篇</w:t>
            </w:r>
          </w:p>
        </w:tc>
        <w:tc>
          <w:tcPr>
            <w:tcW w:w="90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5篇</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、儋州校区图书馆改造项目绩效自评综述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863.2元。其中：财政资金年初预算数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863.2元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20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8500平方米/公里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8632.65平方米/公里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、联谊馆周边排涝工程项目绩效自评综述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655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215元。其中：财政资金年初预算数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655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215元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21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、儋州校区1至4栋学生宿舍维修改造项目绩效自评综述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372.83元。其中：财政资金年初预算数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372.83元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完成项目竣工验收并投入使用，完成工程结算、决算工作。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22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8400平方米/公里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8521.35平方米/公里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95%</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23</w:t>
      </w:r>
      <w:r>
        <w:rPr>
          <w:rFonts w:hint="eastAsia" w:ascii="仿宋" w:hAnsi="仿宋" w:eastAsia="仿宋" w:cs="仿宋"/>
          <w:color w:val="auto"/>
          <w:sz w:val="32"/>
          <w:szCs w:val="32"/>
          <w:highlight w:val="none"/>
        </w:rPr>
        <w:t>、城西校区消防历史遗留问题整改项目绩效自评综述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97</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083元。其中：财政资金年初预算数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083元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项目改造总面积已完成27000平方米，除综合实验楼内部部分面积未完成，其余部分已完成。</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23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30000平方米/公里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27000平方米/公里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、学生资助补助经费项目绩效自评综述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453,098.02</w:t>
      </w:r>
      <w:r>
        <w:rPr>
          <w:rFonts w:hint="eastAsia" w:ascii="仿宋" w:hAnsi="仿宋" w:eastAsia="仿宋" w:cs="仿宋"/>
          <w:color w:val="auto"/>
          <w:sz w:val="32"/>
          <w:szCs w:val="32"/>
          <w:highlight w:val="none"/>
        </w:rPr>
        <w:t>元，全年预算数109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383.02元。其中：财政资金年初预算数</w:t>
      </w:r>
      <w:r>
        <w:rPr>
          <w:rFonts w:hint="eastAsia" w:ascii="仿宋" w:hAnsi="仿宋" w:eastAsia="仿宋" w:cs="仿宋"/>
          <w:color w:val="auto"/>
          <w:sz w:val="32"/>
          <w:szCs w:val="32"/>
          <w:highlight w:val="none"/>
          <w:lang w:val="en-US" w:eastAsia="zh-CN"/>
        </w:rPr>
        <w:t>453,098.02</w:t>
      </w:r>
      <w:r>
        <w:rPr>
          <w:rFonts w:hint="eastAsia" w:ascii="仿宋" w:hAnsi="仿宋" w:eastAsia="仿宋" w:cs="仿宋"/>
          <w:color w:val="auto"/>
          <w:sz w:val="32"/>
          <w:szCs w:val="32"/>
          <w:highlight w:val="none"/>
        </w:rPr>
        <w:t>元，财政资金全年预算数109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383.02元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109,383.02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109,383.02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本项目资助家庭经济困难学生，鼓励家庭经济困难学生奋发向上，提升学业。总体而言，成功完成年度目标。奖学金按时发放率达到100%，受资助人数达到330人</w:t>
      </w:r>
      <w:r>
        <w:rPr>
          <w:rFonts w:hint="eastAsia" w:ascii="仿宋" w:hAnsi="仿宋" w:eastAsia="仿宋" w:cs="仿宋"/>
          <w:kern w:val="0"/>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24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767"/>
        <w:gridCol w:w="219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108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345"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08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34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按时发放率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108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可持续发展指标</w:t>
            </w:r>
          </w:p>
        </w:tc>
        <w:tc>
          <w:tcPr>
            <w:tcW w:w="134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受资助人数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100人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330人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、泰坚楼维修改造项目绩效自评综述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元，全年预算数153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516.2元。其中：财政资金年初预算数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元，财政资金全年预算数153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516.2元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25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617"/>
        <w:gridCol w:w="234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92"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437"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4000平方米/公里</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4025.18平方米/公里</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26</w:t>
      </w:r>
      <w:r>
        <w:rPr>
          <w:rFonts w:hint="eastAsia" w:ascii="仿宋" w:hAnsi="仿宋" w:eastAsia="仿宋" w:cs="仿宋"/>
          <w:color w:val="auto"/>
          <w:sz w:val="32"/>
          <w:szCs w:val="32"/>
          <w:highlight w:val="none"/>
        </w:rPr>
        <w:t>、重大传染病防控经费项目绩效自评综述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99.92</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21,196</w:t>
      </w:r>
      <w:r>
        <w:rPr>
          <w:rFonts w:hint="eastAsia" w:ascii="仿宋" w:hAnsi="仿宋" w:eastAsia="仿宋" w:cs="仿宋"/>
          <w:color w:val="auto"/>
          <w:sz w:val="32"/>
          <w:szCs w:val="32"/>
          <w:highlight w:val="none"/>
        </w:rPr>
        <w:t>元，全年预算数21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196元。其中：财政资金年初预算数</w:t>
      </w:r>
      <w:r>
        <w:rPr>
          <w:rFonts w:hint="eastAsia" w:ascii="仿宋" w:hAnsi="仿宋" w:eastAsia="仿宋" w:cs="仿宋"/>
          <w:color w:val="auto"/>
          <w:sz w:val="32"/>
          <w:szCs w:val="32"/>
          <w:highlight w:val="none"/>
          <w:lang w:val="en-US" w:eastAsia="zh-CN"/>
        </w:rPr>
        <w:t>21,196</w:t>
      </w:r>
      <w:r>
        <w:rPr>
          <w:rFonts w:hint="eastAsia" w:ascii="仿宋" w:hAnsi="仿宋" w:eastAsia="仿宋" w:cs="仿宋"/>
          <w:color w:val="auto"/>
          <w:sz w:val="32"/>
          <w:szCs w:val="32"/>
          <w:highlight w:val="none"/>
        </w:rPr>
        <w:t>元，财政资金全年预算数21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196元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21,035.9</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99.24</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21,035.9</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99.24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联合海南省第五人民医院开展海南大学举行2022年“共抗艾滋 共享健康”艾滋病防治巡回讲座1次。</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26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617"/>
        <w:gridCol w:w="234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92"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437"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开展艾滋病宣传工作</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1次</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活动覆盖人数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38000人次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40000人次</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27</w:t>
      </w:r>
      <w:r>
        <w:rPr>
          <w:rFonts w:hint="eastAsia" w:ascii="仿宋" w:hAnsi="仿宋" w:eastAsia="仿宋" w:cs="仿宋"/>
          <w:color w:val="auto"/>
          <w:sz w:val="32"/>
          <w:szCs w:val="32"/>
          <w:highlight w:val="none"/>
        </w:rPr>
        <w:t>、林业改革发展资金项目绩效自评综述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99.92</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20,799.67</w:t>
      </w:r>
      <w:r>
        <w:rPr>
          <w:rFonts w:hint="eastAsia" w:ascii="仿宋" w:hAnsi="仿宋" w:eastAsia="仿宋" w:cs="仿宋"/>
          <w:color w:val="auto"/>
          <w:sz w:val="32"/>
          <w:szCs w:val="32"/>
          <w:highlight w:val="none"/>
        </w:rPr>
        <w:t>元，全年预算数265.3元。其中：财政资金年初预算数</w:t>
      </w:r>
      <w:r>
        <w:rPr>
          <w:rFonts w:hint="eastAsia" w:ascii="仿宋" w:hAnsi="仿宋" w:eastAsia="仿宋" w:cs="仿宋"/>
          <w:color w:val="auto"/>
          <w:sz w:val="32"/>
          <w:szCs w:val="32"/>
          <w:highlight w:val="none"/>
          <w:lang w:val="en-US" w:eastAsia="zh-CN"/>
        </w:rPr>
        <w:t>20,799.67</w:t>
      </w:r>
      <w:r>
        <w:rPr>
          <w:rFonts w:hint="eastAsia" w:ascii="仿宋" w:hAnsi="仿宋" w:eastAsia="仿宋" w:cs="仿宋"/>
          <w:color w:val="auto"/>
          <w:sz w:val="32"/>
          <w:szCs w:val="32"/>
          <w:highlight w:val="none"/>
        </w:rPr>
        <w:t>元，财政资金全年预算数265.3元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265.3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265.3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油茶良种嫁接苗60万株育苗任务已完成，目前已销售推广销售约20万</w:t>
      </w:r>
      <w:bookmarkStart w:id="0" w:name="_GoBack"/>
      <w:bookmarkEnd w:id="0"/>
      <w:r>
        <w:rPr>
          <w:rFonts w:hint="eastAsia" w:ascii="仿宋" w:hAnsi="仿宋" w:eastAsia="仿宋" w:cs="仿宋"/>
          <w:kern w:val="0"/>
          <w:sz w:val="32"/>
          <w:szCs w:val="32"/>
          <w:highlight w:val="none"/>
        </w:rPr>
        <w:t>株，带动了20人就业，当年任务完成率达到100%。</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27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559"/>
        <w:gridCol w:w="2550"/>
        <w:gridCol w:w="132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56"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65"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813"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当年任务完成率</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培育的优良种子标准级别</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1级</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1级</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通过良种培育带动了就业</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20人数</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highlight w:val="none"/>
        </w:rPr>
      </w:pPr>
      <w:r>
        <w:rPr>
          <w:rFonts w:hint="eastAsia" w:ascii="仿宋" w:hAnsi="仿宋" w:eastAsia="仿宋" w:cs="仿宋"/>
          <w:kern w:val="2"/>
          <w:sz w:val="32"/>
          <w:szCs w:val="32"/>
          <w:highlight w:val="none"/>
          <w:lang w:val="en-US" w:eastAsia="zh-CN" w:bidi="ar-SA"/>
        </w:rPr>
        <w:t>暂无。</w:t>
      </w:r>
    </w:p>
    <w:p>
      <w:pPr>
        <w:spacing w:line="360" w:lineRule="auto"/>
        <w:ind w:firstLine="420" w:firstLineChars="200"/>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kN2FlYTZmNmFlNWJmNTRlODdiMGE0ZDY5YWUzMGEifQ=="/>
  </w:docVars>
  <w:rsids>
    <w:rsidRoot w:val="00000000"/>
    <w:rsid w:val="001675AE"/>
    <w:rsid w:val="007C3482"/>
    <w:rsid w:val="011C028F"/>
    <w:rsid w:val="01CE57B8"/>
    <w:rsid w:val="01F571E8"/>
    <w:rsid w:val="02CD056D"/>
    <w:rsid w:val="02EB239A"/>
    <w:rsid w:val="03570B9C"/>
    <w:rsid w:val="043F6404"/>
    <w:rsid w:val="048E1E25"/>
    <w:rsid w:val="04FC43EA"/>
    <w:rsid w:val="054144F3"/>
    <w:rsid w:val="055C5765"/>
    <w:rsid w:val="060A2B37"/>
    <w:rsid w:val="071A4FFB"/>
    <w:rsid w:val="073A38CF"/>
    <w:rsid w:val="077F41EF"/>
    <w:rsid w:val="07B741AE"/>
    <w:rsid w:val="08A052E6"/>
    <w:rsid w:val="099358C9"/>
    <w:rsid w:val="09E532BA"/>
    <w:rsid w:val="0A264B9C"/>
    <w:rsid w:val="0B7929A8"/>
    <w:rsid w:val="0B987A3C"/>
    <w:rsid w:val="0BA276BD"/>
    <w:rsid w:val="0BD70132"/>
    <w:rsid w:val="0C2907E9"/>
    <w:rsid w:val="0C625AA7"/>
    <w:rsid w:val="0CE0675F"/>
    <w:rsid w:val="0CE547A5"/>
    <w:rsid w:val="0D68166A"/>
    <w:rsid w:val="0D981488"/>
    <w:rsid w:val="0DF91E0E"/>
    <w:rsid w:val="0E6217F5"/>
    <w:rsid w:val="0EA5271C"/>
    <w:rsid w:val="0F033E8F"/>
    <w:rsid w:val="0F0C791F"/>
    <w:rsid w:val="0F1F485D"/>
    <w:rsid w:val="1005689B"/>
    <w:rsid w:val="103A378A"/>
    <w:rsid w:val="11231A18"/>
    <w:rsid w:val="11924999"/>
    <w:rsid w:val="1228104F"/>
    <w:rsid w:val="125E37B6"/>
    <w:rsid w:val="12F40DF6"/>
    <w:rsid w:val="12FE2C52"/>
    <w:rsid w:val="13E14B44"/>
    <w:rsid w:val="13FA243C"/>
    <w:rsid w:val="152B0972"/>
    <w:rsid w:val="15783F61"/>
    <w:rsid w:val="15EE5FD1"/>
    <w:rsid w:val="16DD6E7A"/>
    <w:rsid w:val="17771379"/>
    <w:rsid w:val="17B84AE8"/>
    <w:rsid w:val="17DF7A1A"/>
    <w:rsid w:val="17F82398"/>
    <w:rsid w:val="184E4D3B"/>
    <w:rsid w:val="194720B3"/>
    <w:rsid w:val="1967459C"/>
    <w:rsid w:val="1A297944"/>
    <w:rsid w:val="1B0A2852"/>
    <w:rsid w:val="1B701236"/>
    <w:rsid w:val="1BBD091F"/>
    <w:rsid w:val="1C276CB2"/>
    <w:rsid w:val="1CD53A47"/>
    <w:rsid w:val="1D022A36"/>
    <w:rsid w:val="1D495AF7"/>
    <w:rsid w:val="1D9C70F7"/>
    <w:rsid w:val="1E9B1AE1"/>
    <w:rsid w:val="1F0054E3"/>
    <w:rsid w:val="1F7D1A45"/>
    <w:rsid w:val="1FD33329"/>
    <w:rsid w:val="20B6121F"/>
    <w:rsid w:val="213634B2"/>
    <w:rsid w:val="213F1987"/>
    <w:rsid w:val="217D645B"/>
    <w:rsid w:val="237A5348"/>
    <w:rsid w:val="23F873F7"/>
    <w:rsid w:val="2453076C"/>
    <w:rsid w:val="255045B2"/>
    <w:rsid w:val="25695674"/>
    <w:rsid w:val="259F4AE8"/>
    <w:rsid w:val="25CC5344"/>
    <w:rsid w:val="274A389D"/>
    <w:rsid w:val="27AA5303"/>
    <w:rsid w:val="27F05BD9"/>
    <w:rsid w:val="28722C41"/>
    <w:rsid w:val="28C83B50"/>
    <w:rsid w:val="295624BD"/>
    <w:rsid w:val="29684C55"/>
    <w:rsid w:val="2AC05D36"/>
    <w:rsid w:val="2B7D6336"/>
    <w:rsid w:val="2B8919C3"/>
    <w:rsid w:val="2BBB474F"/>
    <w:rsid w:val="2C47597A"/>
    <w:rsid w:val="2C815051"/>
    <w:rsid w:val="2CDF614E"/>
    <w:rsid w:val="2E505623"/>
    <w:rsid w:val="2EB80E51"/>
    <w:rsid w:val="2F2F75F7"/>
    <w:rsid w:val="30021656"/>
    <w:rsid w:val="30B31E99"/>
    <w:rsid w:val="30FB5378"/>
    <w:rsid w:val="31264419"/>
    <w:rsid w:val="316B2774"/>
    <w:rsid w:val="31CB26D7"/>
    <w:rsid w:val="324749E3"/>
    <w:rsid w:val="328F7449"/>
    <w:rsid w:val="32982CB6"/>
    <w:rsid w:val="329B3C5F"/>
    <w:rsid w:val="32B03598"/>
    <w:rsid w:val="34C72FF1"/>
    <w:rsid w:val="35095F6B"/>
    <w:rsid w:val="35A71F6E"/>
    <w:rsid w:val="36CC4CF8"/>
    <w:rsid w:val="36FF7AA3"/>
    <w:rsid w:val="37607601"/>
    <w:rsid w:val="383B2EA0"/>
    <w:rsid w:val="38AC518A"/>
    <w:rsid w:val="38CA4224"/>
    <w:rsid w:val="394E6C03"/>
    <w:rsid w:val="3ACB3A69"/>
    <w:rsid w:val="3AF45588"/>
    <w:rsid w:val="3B4272F4"/>
    <w:rsid w:val="3B451F73"/>
    <w:rsid w:val="3B9D50C0"/>
    <w:rsid w:val="3C405C01"/>
    <w:rsid w:val="3CDB1CF4"/>
    <w:rsid w:val="3CE8111C"/>
    <w:rsid w:val="3D1A01E0"/>
    <w:rsid w:val="3DD1395F"/>
    <w:rsid w:val="3DE32AC4"/>
    <w:rsid w:val="3E950E30"/>
    <w:rsid w:val="3E9E0642"/>
    <w:rsid w:val="3F01658C"/>
    <w:rsid w:val="3F340223"/>
    <w:rsid w:val="3F7F525C"/>
    <w:rsid w:val="3F903914"/>
    <w:rsid w:val="3FBF0DD8"/>
    <w:rsid w:val="3FD2189A"/>
    <w:rsid w:val="40233273"/>
    <w:rsid w:val="406821E7"/>
    <w:rsid w:val="408D1223"/>
    <w:rsid w:val="40D55514"/>
    <w:rsid w:val="41382CD2"/>
    <w:rsid w:val="41AA4BF2"/>
    <w:rsid w:val="424E2509"/>
    <w:rsid w:val="426C3C56"/>
    <w:rsid w:val="427E2AD7"/>
    <w:rsid w:val="42CC7D2A"/>
    <w:rsid w:val="432F3601"/>
    <w:rsid w:val="4340580E"/>
    <w:rsid w:val="437159C8"/>
    <w:rsid w:val="43717414"/>
    <w:rsid w:val="438029B0"/>
    <w:rsid w:val="447F58E5"/>
    <w:rsid w:val="44EE57F6"/>
    <w:rsid w:val="453C2005"/>
    <w:rsid w:val="456432C1"/>
    <w:rsid w:val="459B7312"/>
    <w:rsid w:val="45B858B9"/>
    <w:rsid w:val="4615223B"/>
    <w:rsid w:val="465A557C"/>
    <w:rsid w:val="47013507"/>
    <w:rsid w:val="47DC187E"/>
    <w:rsid w:val="48212413"/>
    <w:rsid w:val="48B128C3"/>
    <w:rsid w:val="48DE5A3E"/>
    <w:rsid w:val="48FC21D7"/>
    <w:rsid w:val="49563C6B"/>
    <w:rsid w:val="495F62C2"/>
    <w:rsid w:val="49DF77CB"/>
    <w:rsid w:val="4B175D35"/>
    <w:rsid w:val="4B2A4627"/>
    <w:rsid w:val="4B425E9C"/>
    <w:rsid w:val="4B9E125C"/>
    <w:rsid w:val="4C2D2789"/>
    <w:rsid w:val="4CBE409E"/>
    <w:rsid w:val="4CF913F7"/>
    <w:rsid w:val="4D4E02A1"/>
    <w:rsid w:val="4E562F02"/>
    <w:rsid w:val="4E604FB7"/>
    <w:rsid w:val="4E834801"/>
    <w:rsid w:val="4F0E056F"/>
    <w:rsid w:val="503C7AAB"/>
    <w:rsid w:val="519E24DF"/>
    <w:rsid w:val="52851FC9"/>
    <w:rsid w:val="53810C46"/>
    <w:rsid w:val="538C0ED3"/>
    <w:rsid w:val="54062CA5"/>
    <w:rsid w:val="544A08EB"/>
    <w:rsid w:val="549F7EBB"/>
    <w:rsid w:val="55E53FF3"/>
    <w:rsid w:val="56510A85"/>
    <w:rsid w:val="571516FA"/>
    <w:rsid w:val="57BE250A"/>
    <w:rsid w:val="58102901"/>
    <w:rsid w:val="5822508B"/>
    <w:rsid w:val="5AEB0587"/>
    <w:rsid w:val="5B326679"/>
    <w:rsid w:val="5B4048DE"/>
    <w:rsid w:val="5B4C1E4D"/>
    <w:rsid w:val="5B905C87"/>
    <w:rsid w:val="5C016A5C"/>
    <w:rsid w:val="5D9657BB"/>
    <w:rsid w:val="5F3437B0"/>
    <w:rsid w:val="5F3479DF"/>
    <w:rsid w:val="5F9253C0"/>
    <w:rsid w:val="5FA94584"/>
    <w:rsid w:val="5FE1582B"/>
    <w:rsid w:val="61341789"/>
    <w:rsid w:val="614E5143"/>
    <w:rsid w:val="625574A9"/>
    <w:rsid w:val="628D6B9C"/>
    <w:rsid w:val="62F15D85"/>
    <w:rsid w:val="631C6658"/>
    <w:rsid w:val="63F65FAC"/>
    <w:rsid w:val="64240A7A"/>
    <w:rsid w:val="644463E6"/>
    <w:rsid w:val="64AC6408"/>
    <w:rsid w:val="64C37BF6"/>
    <w:rsid w:val="65921AA2"/>
    <w:rsid w:val="66370987"/>
    <w:rsid w:val="668134B2"/>
    <w:rsid w:val="66BB48A2"/>
    <w:rsid w:val="68920BCB"/>
    <w:rsid w:val="6897562C"/>
    <w:rsid w:val="69602062"/>
    <w:rsid w:val="69AF492B"/>
    <w:rsid w:val="69F33C42"/>
    <w:rsid w:val="6A4D243B"/>
    <w:rsid w:val="6A592EB2"/>
    <w:rsid w:val="6B3D6DE6"/>
    <w:rsid w:val="6C140234"/>
    <w:rsid w:val="6C752A38"/>
    <w:rsid w:val="6C8B46C6"/>
    <w:rsid w:val="6CC04E53"/>
    <w:rsid w:val="6CD164F5"/>
    <w:rsid w:val="6D2A763D"/>
    <w:rsid w:val="6D88378A"/>
    <w:rsid w:val="6D8B1D1F"/>
    <w:rsid w:val="6E004D3F"/>
    <w:rsid w:val="6EE669BA"/>
    <w:rsid w:val="6FA00950"/>
    <w:rsid w:val="6FDD7DBD"/>
    <w:rsid w:val="703D6AAE"/>
    <w:rsid w:val="710475CC"/>
    <w:rsid w:val="71127683"/>
    <w:rsid w:val="71BF0C91"/>
    <w:rsid w:val="71C33899"/>
    <w:rsid w:val="71DE5F6E"/>
    <w:rsid w:val="72A71082"/>
    <w:rsid w:val="73E7745D"/>
    <w:rsid w:val="742C1313"/>
    <w:rsid w:val="744E128A"/>
    <w:rsid w:val="74C463D7"/>
    <w:rsid w:val="74D10786"/>
    <w:rsid w:val="750D315E"/>
    <w:rsid w:val="757765BE"/>
    <w:rsid w:val="75941F88"/>
    <w:rsid w:val="75B90985"/>
    <w:rsid w:val="75CB5ED1"/>
    <w:rsid w:val="768B00D0"/>
    <w:rsid w:val="77594A3F"/>
    <w:rsid w:val="776D433B"/>
    <w:rsid w:val="781B6AE9"/>
    <w:rsid w:val="783F4DFB"/>
    <w:rsid w:val="79C21DD2"/>
    <w:rsid w:val="7A860EB9"/>
    <w:rsid w:val="7A9814B1"/>
    <w:rsid w:val="7ADB7812"/>
    <w:rsid w:val="7AF62E6A"/>
    <w:rsid w:val="7B810197"/>
    <w:rsid w:val="7B831270"/>
    <w:rsid w:val="7B8C6B3B"/>
    <w:rsid w:val="7C54306B"/>
    <w:rsid w:val="7CAF6B09"/>
    <w:rsid w:val="7CED2B42"/>
    <w:rsid w:val="7CFB2247"/>
    <w:rsid w:val="7DFB58B2"/>
    <w:rsid w:val="7E1618E7"/>
    <w:rsid w:val="7E2B263C"/>
    <w:rsid w:val="7EC14D4E"/>
    <w:rsid w:val="7EC363D0"/>
    <w:rsid w:val="7ECE3911"/>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textAlignment w:val="baseline"/>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17681</Words>
  <Characters>20834</Characters>
  <Lines>0</Lines>
  <Paragraphs>0</Paragraphs>
  <TotalTime>35</TotalTime>
  <ScaleCrop>false</ScaleCrop>
  <LinksUpToDate>false</LinksUpToDate>
  <CharactersWithSpaces>20920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2023-09-02T02:23:00Z</dcterms:created>
  <dc:creator>fengjieying</dc:creator>
  <cp:lastModifiedBy>WPS_1521538103</cp:lastModifiedBy>
  <dcterms:modified xsi:type="dcterms:W3CDTF">2023-09-12T08:53:26Z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BA35357DE57C4EFCA21BCD9D33BF228E_13</vt:lpwstr>
  </property>
</Properties>
</file>