
<file path=[Content_Types].xml><?xml version="1.0" encoding="utf-8"?>
<Types xmlns="http://schemas.openxmlformats.org/package/2006/content-types">
  <Default Extension="xml" ContentType="application/xml"/>
  <Default Extension="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document.xml" ContentType="application/vnd.openxmlformats-officedocument.wordprocessingml.document.main+xml"/>
  <Override PartName="/docProps/core.xml" ContentType="application/vnd.openxmlformats-package.core-propertie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2" Type="http://schemas.openxmlformats.org/officeDocument/2006/relationships/extended-properties" Target="docProps/app.xml" /><Relationship Id="rId3" Type="http://schemas.openxmlformats.org/officeDocument/2006/relationships/custom-properties" Target="docProps/custom.xml" /><Relationship Id="rId1" Type="http://schemas.openxmlformats.org/package/2006/relationships/metadata/core-properties" Target="docProps/core.xml" /><Relationship Id="rId0" Type="http://schemas.openxmlformats.org/officeDocument/2006/relationships/officeDocument" Target="word/document.xml" /></Relationships>
</file>

<file path=word/document.xml><?xml version="1.0" encoding="utf-8"?>
<w:document xmlns:wps="http://schemas.microsoft.com/office/word/2010/wordprocessingShape" xmlns:wne="http://schemas.microsoft.com/office/word/2006/wordml" xmlns:wpg="http://schemas.microsoft.com/office/word/2010/wordprocessingGroup" xmlns:w15="http://schemas.microsoft.com/office/word/2012/wordml" xmlns:wpi="http://schemas.microsoft.com/office/word/2010/wordprocessingInk" xmlns:w10="urn:schemas-microsoft-com:office:word" xmlns:w14="http://schemas.microsoft.com/office/word/2010/wordml" xmlns:wp="http://schemas.openxmlformats.org/drawingml/2006/wordprocessingDrawing" xmlns:wp14="http://schemas.microsoft.com/office/word/2010/wordprocessingDrawing" xmlns:v="urn:schemas-microsoft-com:vml" xmlns:r="http://schemas.openxmlformats.org/officeDocument/2006/relationships" xmlns:m="http://schemas.openxmlformats.org/officeDocument/2006/math" xmlns:wpsCustomData="http://www.wps.cn/officeDocument/2013/wpsCustomData" xmlns:w="http://schemas.openxmlformats.org/wordprocessingml/2006/main" xmlns:o="urn:schemas-microsoft-com:office:office" xmlns:mc="http://schemas.openxmlformats.org/markup-compatibility/2006" xmlns:wpc="http://schemas.microsoft.com/office/word/2010/wordprocessingCanvas" mc:Ignorable="w14 w15 wp14">
  <w:body>
    <w:p>
      <w:pPr>
        <w:rPr>
          <w:u w:val="single"/>
          <w:color w:val="242424"/>
          <w:sz w:val="84"/>
          <w:szCs w:val="84"/>
        </w:rPr>
      </w:pPr>
    </w:p>
    <w:p>
      <w:pPr>
        <w:rPr>
          <w:u w:val="single"/>
          <w:color w:val="242424"/>
          <w:sz w:val="84"/>
          <w:szCs w:val="84"/>
        </w:rPr>
      </w:pPr>
    </w:p>
    <w:p>
      <w:pPr>
        <w:rPr>
          <w:u w:val="single"/>
          <w:color w:val="242424"/>
          <w:sz w:val="84"/>
          <w:szCs w:val="84"/>
        </w:rPr>
      </w:pPr>
    </w:p>
    <w:p>
      <w:pPr>
        <w:jc w:val="both"/>
        <w:rPr>
          <w:color w:val="242424"/>
          <w:sz w:val="52"/>
          <w:szCs w:val="52"/>
          <w:rFonts w:hint="eastAsia"/>
        </w:rPr>
      </w:pPr>
    </w:p>
    <w:p>
      <w:pPr>
        <w:jc w:val="center"/>
        <w:rPr>
          <w:color w:val="242424"/>
          <w:sz w:val="52"/>
          <w:szCs w:val="52"/>
          <w:rFonts w:hint="eastAsia"/>
        </w:rPr>
      </w:pPr>
    </w:p>
    <w:p>
      <w:pPr>
        <w:jc w:val="both"/>
        <w:rPr>
          <w:color w:val="auto"/>
          <w:sz w:val="52"/>
          <w:lang w:val="en-US" w:eastAsia="zh-CN"/>
          <w:szCs w:val="52"/>
          <w:rFonts w:eastAsia="宋体" w:hint="eastAsia"/>
        </w:rPr>
      </w:pPr>
      <w:r>
        <w:rPr>
          <w:color w:val="auto"/>
          <w:sz w:val="52"/>
          <w:lang w:val="en-US" w:eastAsia="zh-CN"/>
          <w:szCs w:val="52"/>
          <w:rFonts w:hint="eastAsia"/>
        </w:rPr>
        <w:t>2024年海南外国语职业学院单位预算</w:t>
      </w:r>
    </w:p>
    <w:p>
      <w:pPr>
        <w:jc w:val="center"/>
        <w:ind w:firstLine="520" w:firstLineChars="100"/>
        <w:rPr>
          <w:color w:val="auto"/>
          <w:sz w:val="52"/>
          <w:szCs w:val="52"/>
        </w:rPr>
      </w:pPr>
    </w:p>
    <w:p>
      <w:pPr>
        <w:jc w:val="center"/>
        <w:ind w:firstLine="1680"/>
        <w:rPr>
          <w:color w:val="auto"/>
          <w:sz w:val="84"/>
          <w:szCs w:val="84"/>
        </w:rPr>
      </w:pPr>
    </w:p>
    <w:p>
      <w:pPr>
        <w:jc w:val="center"/>
        <w:ind w:firstLine="1680"/>
        <w:rPr>
          <w:color w:val="auto"/>
          <w:sz w:val="84"/>
          <w:szCs w:val="84"/>
        </w:rPr>
      </w:pPr>
    </w:p>
    <w:p>
      <w:pPr>
        <w:jc w:val="center"/>
        <w:ind w:firstLine="1680"/>
        <w:rPr>
          <w:color w:val="auto"/>
          <w:sz w:val="84"/>
          <w:szCs w:val="84"/>
        </w:rPr>
      </w:pPr>
    </w:p>
    <w:p>
      <w:pPr>
        <w:jc w:val="center"/>
        <w:ind w:firstLine="1680"/>
        <w:rPr>
          <w:color w:val="auto"/>
          <w:sz w:val="84"/>
          <w:szCs w:val="84"/>
        </w:rPr>
      </w:pPr>
    </w:p>
    <w:p>
      <w:pPr>
        <w:jc w:val="center"/>
        <w:ind w:firstLine="1680"/>
        <w:rPr>
          <w:color w:val="auto"/>
          <w:sz w:val="84"/>
          <w:szCs w:val="84"/>
        </w:rPr>
      </w:pPr>
    </w:p>
    <w:p>
      <w:pPr>
        <w:jc w:val="center"/>
        <w:rPr>
          <w:color w:val="auto"/>
          <w:sz w:val="52"/>
          <w:szCs w:val="52"/>
          <w:rFonts w:ascii="黑体" w:hAnsi="黑体" w:eastAsia="黑体"/>
        </w:rPr>
      </w:pPr>
      <w:r>
        <w:rPr>
          <w:color w:val="auto"/>
          <w:sz w:val="52"/>
          <w:szCs w:val="52"/>
          <w:rFonts w:ascii="黑体" w:hAnsi="黑体" w:eastAsia="黑体" w:hint="eastAsia"/>
        </w:rPr>
        <w:t>目录</w:t>
      </w:r>
    </w:p>
    <w:p>
      <w:pPr>
        <w:pStyle w:val="7"/>
        <w:jc w:val="left"/>
        <w:numPr>
          <w:ilvl w:val="0"/>
          <w:numId w:val="0"/>
        </w:numPr>
        <w:ind w:leftChars="0"/>
        <w:rPr>
          <w:color w:val="auto"/>
          <w:sz w:val="32"/>
          <w:lang w:val="en-US" w:eastAsia="zh-CN" w:bidi="ar-SA"/>
          <w:kern w:val="2"/>
          <w:szCs w:val="32"/>
          <w:rFonts w:ascii="黑体" w:hAnsi="黑体" w:eastAsia="黑体" w:cs="黑体" w:hint="eastAsia"/>
        </w:rPr>
      </w:pPr>
      <w:r>
        <w:rPr>
          <w:color w:val="auto"/>
          <w:sz w:val="32"/>
          <w:lang w:val="en-US" w:eastAsia="zh-CN" w:bidi="ar-SA"/>
          <w:kern w:val="2"/>
          <w:szCs w:val="32"/>
          <w:rFonts w:ascii="黑体" w:hAnsi="黑体" w:eastAsia="黑体" w:cs="黑体" w:hint="eastAsia"/>
        </w:rPr>
        <w:t>第一部分  海南外国语职业学院单位概况</w:t>
      </w:r>
    </w:p>
    <w:p>
      <w:pPr>
        <w:pStyle w:val="12"/>
        <w:jc w:val="left"/>
        <w:ind w:firstLine="0" w:firstLineChars="0" w:left="0" w:leftChars="0"/>
        <w:rPr>
          <w:u w:val="none"/>
          <w:sz w:val="32"/>
          <w:szCs w:val="32"/>
          <w:rFonts w:ascii="黑体" w:hAnsi="黑体" w:eastAsia="黑体"/>
        </w:rPr>
      </w:pPr>
      <w:bookmarkStart w:id="0" w:name="_GoBack"/>
      <w:bookmarkEnd w:id="0"/>
      <w:r>
        <w:rPr>
          <w:u w:val="none"/>
          <w:sz w:val="32"/>
          <w:szCs w:val="32"/>
          <w:rFonts w:ascii="黑体" w:hAnsi="黑体" w:eastAsia="黑体" w:hint="eastAsia"/>
        </w:rPr>
        <w:t>一、主要职能</w:t>
      </w:r>
    </w:p>
    <w:p>
      <w:pPr>
        <w:pStyle w:val="11"/>
        <w:numPr>
          <w:ilvl w:val="0"/>
          <w:numId w:val="0"/>
        </w:numPr>
        <w:ind w:leftChars="0"/>
        <w:rPr>
          <w:color w:val="auto"/>
          <w:sz w:val="32"/>
          <w:szCs w:val="32"/>
          <w:rFonts w:ascii="仿宋_GB2312" w:hAnsi="仿宋_GB2312" w:eastAsia="仿宋_GB2312" w:cs="仿宋_GB2312" w:hint="eastAsia"/>
        </w:rPr>
      </w:pPr>
      <w:r>
        <w:rPr>
          <w:u w:val="none"/>
          <w:sz w:val="32"/>
          <w:lang w:eastAsia="zh-CN"/>
          <w:szCs w:val="32"/>
          <w:rFonts w:ascii="黑体" w:hAnsi="黑体" w:eastAsia="黑体" w:hint="eastAsia"/>
        </w:rPr>
        <w:t>二、</w:t>
      </w:r>
      <w:r>
        <w:rPr>
          <w:u w:val="none"/>
          <w:sz w:val="32"/>
          <w:szCs w:val="32"/>
          <w:rFonts w:ascii="黑体" w:hAnsi="黑体" w:eastAsia="黑体" w:hint="eastAsia"/>
        </w:rPr>
        <w:t>部门预算单位构成（单位公开没有这部分内容）</w:t>
      </w:r>
    </w:p>
    <w:p>
      <w:pPr>
        <w:pStyle w:val="7"/>
        <w:numPr>
          <w:ilvl w:val="0"/>
          <w:numId w:val="0"/>
        </w:numPr>
        <w:ind w:leftChars="0"/>
        <w:rPr>
          <w:color w:val="auto"/>
          <w:sz w:val="32"/>
          <w:szCs w:val="32"/>
          <w:rFonts w:ascii="黑体" w:hAnsi="黑体" w:eastAsia="黑体"/>
        </w:rPr>
      </w:pPr>
      <w:r>
        <w:rPr>
          <w:color w:val="auto"/>
          <w:sz w:val="32"/>
          <w:szCs w:val="32"/>
          <w:rFonts w:ascii="黑体" w:hAnsi="黑体" w:eastAsia="黑体" w:hint="eastAsia"/>
        </w:rPr>
        <w:t>第二部分  海南外国语职业学院</w:t>
      </w:r>
      <w:r>
        <w:rPr>
          <w:color w:val="auto"/>
          <w:sz w:val="32"/>
          <w:lang w:eastAsia="zh-CN"/>
          <w:szCs w:val="32"/>
          <w:rFonts w:ascii="黑体" w:hAnsi="黑体" w:eastAsia="黑体" w:hint="eastAsia"/>
        </w:rPr>
        <w:t>单位</w:t>
      </w:r>
      <w:r>
        <w:rPr>
          <w:color w:val="auto"/>
          <w:sz w:val="32"/>
          <w:szCs w:val="32"/>
          <w:rFonts w:ascii="黑体" w:hAnsi="黑体" w:eastAsia="黑体" w:hint="eastAsia"/>
        </w:rPr>
        <w:t>2024年单位预算表</w:t>
      </w:r>
    </w:p>
    <w:p>
      <w:pPr>
        <w:pStyle w:val="11"/>
        <w:numPr>
          <w:ilvl w:val="0"/>
          <w:numId w:val="0"/>
        </w:numPr>
        <w:ind w:leftChars="0"/>
        <w:rPr>
          <w:color w:val="auto"/>
          <w:sz w:val="32"/>
          <w:szCs w:val="32"/>
          <w:rFonts w:ascii="仿宋_GB2312" w:hAnsi="仿宋_GB2312" w:eastAsia="仿宋_GB2312" w:cs="仿宋_GB2312"/>
        </w:rPr>
      </w:pPr>
      <w:r>
        <w:rPr>
          <w:color w:val="auto"/>
          <w:sz w:val="32"/>
          <w:szCs w:val="32"/>
          <w:rFonts w:ascii="仿宋_GB2312" w:hAnsi="仿宋_GB2312" w:eastAsia="仿宋_GB2312" w:cs="仿宋_GB2312" w:hint="eastAsia"/>
        </w:rPr>
        <w:t>一、财政拨款收支总表</w:t>
      </w:r>
    </w:p>
    <w:p>
      <w:pPr>
        <w:pStyle w:val="11"/>
        <w:numPr>
          <w:ilvl w:val="0"/>
          <w:numId w:val="0"/>
        </w:numPr>
        <w:ind w:leftChars="0"/>
        <w:rPr>
          <w:color w:val="auto"/>
          <w:sz w:val="32"/>
          <w:szCs w:val="32"/>
          <w:rFonts w:ascii="仿宋_GB2312" w:hAnsi="仿宋_GB2312" w:eastAsia="仿宋_GB2312" w:cs="仿宋_GB2312"/>
        </w:rPr>
      </w:pPr>
      <w:r>
        <w:rPr>
          <w:color w:val="auto"/>
          <w:sz w:val="32"/>
          <w:szCs w:val="32"/>
          <w:rFonts w:ascii="仿宋_GB2312" w:hAnsi="仿宋_GB2312" w:eastAsia="仿宋_GB2312" w:cs="仿宋_GB2312" w:hint="eastAsia"/>
        </w:rPr>
        <w:t>二、一般公共预算支出表</w:t>
      </w:r>
    </w:p>
    <w:p>
      <w:pPr>
        <w:pStyle w:val="11"/>
        <w:numPr>
          <w:ilvl w:val="0"/>
          <w:numId w:val="0"/>
        </w:numPr>
        <w:ind w:leftChars="0"/>
        <w:rPr>
          <w:color w:val="auto"/>
          <w:sz w:val="32"/>
          <w:szCs w:val="32"/>
          <w:rFonts w:ascii="仿宋_GB2312" w:hAnsi="仿宋_GB2312" w:eastAsia="仿宋_GB2312" w:cs="仿宋_GB2312"/>
        </w:rPr>
      </w:pPr>
      <w:r>
        <w:rPr>
          <w:color w:val="auto"/>
          <w:sz w:val="32"/>
          <w:szCs w:val="32"/>
          <w:rFonts w:ascii="仿宋_GB2312" w:hAnsi="仿宋_GB2312" w:eastAsia="仿宋_GB2312" w:cs="仿宋_GB2312" w:hint="eastAsia"/>
        </w:rPr>
        <w:t>三、一般公共预算基本支出表</w:t>
      </w:r>
    </w:p>
    <w:p>
      <w:pPr>
        <w:pStyle w:val="11"/>
        <w:numPr>
          <w:ilvl w:val="0"/>
          <w:numId w:val="0"/>
        </w:numPr>
        <w:ind w:leftChars="0"/>
        <w:rPr>
          <w:color w:val="auto"/>
          <w:sz w:val="32"/>
          <w:szCs w:val="32"/>
          <w:rFonts w:ascii="仿宋_GB2312" w:hAnsi="仿宋_GB2312" w:eastAsia="仿宋_GB2312" w:cs="仿宋_GB2312"/>
        </w:rPr>
      </w:pPr>
      <w:r>
        <w:rPr>
          <w:color w:val="auto"/>
          <w:sz w:val="32"/>
          <w:szCs w:val="32"/>
          <w:rFonts w:ascii="仿宋_GB2312" w:hAnsi="仿宋_GB2312" w:eastAsia="仿宋_GB2312" w:cs="仿宋_GB2312" w:hint="eastAsia"/>
        </w:rPr>
        <w:t>四、一般公共预算“三公”经费支出表</w:t>
      </w:r>
    </w:p>
    <w:p>
      <w:pPr>
        <w:pStyle w:val="11"/>
        <w:numPr>
          <w:ilvl w:val="0"/>
          <w:numId w:val="0"/>
        </w:numPr>
        <w:ind w:leftChars="0"/>
        <w:rPr>
          <w:color w:val="auto"/>
          <w:sz w:val="32"/>
          <w:szCs w:val="32"/>
          <w:rFonts w:ascii="仿宋_GB2312" w:hAnsi="仿宋_GB2312" w:eastAsia="仿宋_GB2312" w:cs="仿宋_GB2312"/>
        </w:rPr>
      </w:pPr>
      <w:r>
        <w:rPr>
          <w:color w:val="auto"/>
          <w:sz w:val="32"/>
          <w:szCs w:val="32"/>
          <w:rFonts w:ascii="仿宋_GB2312" w:hAnsi="仿宋_GB2312" w:eastAsia="仿宋_GB2312" w:cs="仿宋_GB2312" w:hint="eastAsia"/>
        </w:rPr>
        <w:t>五、政府性基金预算支出表。</w:t>
      </w:r>
    </w:p>
    <w:p>
      <w:pPr>
        <w:pStyle w:val="11"/>
        <w:numPr>
          <w:ilvl w:val="0"/>
          <w:numId w:val="0"/>
        </w:numPr>
        <w:ind w:leftChars="0"/>
        <w:rPr>
          <w:color w:val="auto"/>
          <w:sz w:val="32"/>
          <w:szCs w:val="32"/>
          <w:rFonts w:ascii="仿宋_GB2312" w:hAnsi="仿宋_GB2312" w:eastAsia="仿宋_GB2312" w:cs="仿宋_GB2312"/>
        </w:rPr>
      </w:pPr>
      <w:r>
        <w:rPr>
          <w:color w:val="auto"/>
          <w:sz w:val="32"/>
          <w:szCs w:val="32"/>
          <w:rFonts w:ascii="仿宋_GB2312" w:hAnsi="仿宋_GB2312" w:eastAsia="仿宋_GB2312" w:cs="仿宋_GB2312" w:hint="eastAsia"/>
        </w:rPr>
        <w:t>六、政府性基金预算“三公”经费支出表</w:t>
      </w:r>
    </w:p>
    <w:p>
      <w:pPr>
        <w:pStyle w:val="11"/>
        <w:jc w:val="left"/>
        <w:numPr>
          <w:ilvl w:val="0"/>
          <w:numId w:val="0"/>
        </w:numPr>
        <w:ind w:leftChars="0"/>
        <w:rPr>
          <w:color w:val="auto"/>
          <w:sz w:val="32"/>
          <w:szCs w:val="32"/>
          <w:rFonts w:ascii="黑体" w:hAnsi="黑体" w:eastAsia="黑体"/>
        </w:rPr>
      </w:pPr>
      <w:r>
        <w:rPr>
          <w:color w:val="auto"/>
          <w:sz w:val="32"/>
          <w:szCs w:val="32"/>
          <w:rFonts w:ascii="仿宋_GB2312" w:hAnsi="仿宋_GB2312" w:eastAsia="仿宋_GB2312" w:cs="仿宋_GB2312" w:hint="eastAsia"/>
        </w:rPr>
        <w:t>七、部门（单位）收支总表</w:t>
      </w:r>
    </w:p>
    <w:p>
      <w:pPr>
        <w:pStyle w:val="11"/>
        <w:jc w:val="left"/>
        <w:numPr>
          <w:ilvl w:val="0"/>
          <w:numId w:val="0"/>
        </w:numPr>
        <w:ind w:leftChars="0"/>
        <w:rPr>
          <w:color w:val="auto"/>
          <w:sz w:val="32"/>
          <w:szCs w:val="32"/>
          <w:rFonts w:ascii="黑体" w:hAnsi="黑体" w:eastAsia="黑体"/>
        </w:rPr>
      </w:pPr>
      <w:r>
        <w:rPr>
          <w:color w:val="auto"/>
          <w:sz w:val="32"/>
          <w:szCs w:val="32"/>
          <w:rFonts w:ascii="仿宋_GB2312" w:hAnsi="仿宋_GB2312" w:eastAsia="仿宋_GB2312" w:cs="仿宋_GB2312" w:hint="eastAsia"/>
        </w:rPr>
        <w:t>八、部门（单位）收入总表</w:t>
      </w:r>
    </w:p>
    <w:p>
      <w:pPr>
        <w:pStyle w:val="11"/>
        <w:jc w:val="left"/>
        <w:numPr>
          <w:ilvl w:val="0"/>
          <w:numId w:val="0"/>
        </w:numPr>
        <w:ind w:leftChars="0"/>
        <w:rPr>
          <w:color w:val="auto"/>
          <w:sz w:val="32"/>
          <w:szCs w:val="32"/>
          <w:rFonts w:ascii="黑体" w:hAnsi="黑体" w:eastAsia="黑体"/>
        </w:rPr>
      </w:pPr>
      <w:r>
        <w:rPr>
          <w:color w:val="auto"/>
          <w:sz w:val="32"/>
          <w:szCs w:val="32"/>
          <w:rFonts w:ascii="仿宋_GB2312" w:hAnsi="仿宋_GB2312" w:eastAsia="仿宋_GB2312" w:cs="仿宋_GB2312" w:hint="eastAsia"/>
        </w:rPr>
        <w:t>九、部门（单位）支出总表</w:t>
      </w:r>
    </w:p>
    <w:p>
      <w:pPr>
        <w:pStyle w:val="11"/>
        <w:jc w:val="left"/>
        <w:numPr>
          <w:ilvl w:val="0"/>
          <w:numId w:val="0"/>
        </w:numPr>
        <w:ind w:leftChars="0"/>
        <w:rPr>
          <w:color w:val="auto"/>
          <w:sz w:val="32"/>
          <w:szCs w:val="32"/>
          <w:rFonts w:ascii="黑体" w:hAnsi="黑体" w:eastAsia="黑体"/>
        </w:rPr>
      </w:pPr>
      <w:r>
        <w:rPr>
          <w:color w:val="auto"/>
          <w:sz w:val="32"/>
          <w:szCs w:val="32"/>
          <w:rFonts w:ascii="仿宋_GB2312" w:hAnsi="仿宋_GB2312" w:eastAsia="仿宋_GB2312" w:cs="仿宋_GB2312" w:hint="eastAsia"/>
        </w:rPr>
        <w:t>十、项目支出绩效信息表</w:t>
      </w:r>
    </w:p>
    <w:p>
      <w:pPr>
        <w:pStyle w:val="7"/>
        <w:jc w:val="left"/>
        <w:numPr>
          <w:ilvl w:val="0"/>
          <w:numId w:val="0"/>
        </w:numPr>
        <w:ind w:leftChars="0"/>
        <w:rPr>
          <w:color w:val="auto"/>
          <w:sz w:val="32"/>
          <w:szCs w:val="32"/>
          <w:rFonts w:ascii="黑体" w:hAnsi="黑体" w:eastAsia="黑体" w:hint="eastAsia"/>
        </w:rPr>
      </w:pPr>
      <w:r>
        <w:rPr>
          <w:color w:val="auto"/>
          <w:sz w:val="32"/>
          <w:szCs w:val="32"/>
          <w:rFonts w:ascii="黑体" w:hAnsi="黑体" w:eastAsia="黑体" w:hint="eastAsia"/>
        </w:rPr>
        <w:t>第三部分  海南外国语职业学院</w:t>
      </w:r>
      <w:r>
        <w:rPr>
          <w:color w:val="auto"/>
          <w:sz w:val="32"/>
          <w:lang w:eastAsia="zh-CN"/>
          <w:szCs w:val="32"/>
          <w:rFonts w:ascii="黑体" w:hAnsi="黑体" w:eastAsia="黑体" w:hint="eastAsia"/>
        </w:rPr>
        <w:t>单位</w:t>
      </w:r>
      <w:r>
        <w:rPr>
          <w:color w:val="auto"/>
          <w:sz w:val="32"/>
          <w:szCs w:val="32"/>
          <w:rFonts w:ascii="黑体" w:hAnsi="黑体" w:eastAsia="黑体" w:hint="eastAsia"/>
        </w:rPr>
        <w:t>2024年单位预算情况说明</w:t>
      </w:r>
    </w:p>
    <w:p>
      <w:pPr>
        <w:pStyle w:val="7"/>
        <w:jc w:val="left"/>
        <w:numPr>
          <w:ilvl w:val="0"/>
          <w:numId w:val="0"/>
        </w:numPr>
        <w:ind w:leftChars="0"/>
        <w:rPr>
          <w:color w:val="auto"/>
          <w:sz w:val="32"/>
          <w:szCs w:val="32"/>
          <w:rFonts w:ascii="仿宋_GB2312" w:hAnsi="仿宋_GB2312" w:eastAsia="仿宋_GB2312" w:cs="仿宋_GB2312"/>
        </w:rPr>
      </w:pPr>
      <w:r>
        <w:rPr>
          <w:color w:val="auto"/>
          <w:sz w:val="32"/>
          <w:szCs w:val="32"/>
          <w:rFonts w:ascii="黑体" w:hAnsi="黑体" w:eastAsia="黑体" w:hint="eastAsia"/>
        </w:rPr>
        <w:t>第四部分  名词解释</w:t>
      </w:r>
    </w:p>
    <w:p>
      <w:pPr>
        <w:pStyle w:val="7"/>
        <w:jc w:val="left"/>
        <w:ind w:firstLine="0" w:firstLineChars="0" w:left="1320"/>
        <w:rPr>
          <w:color w:val="auto"/>
          <w:sz w:val="32"/>
          <w:szCs w:val="32"/>
          <w:rFonts w:ascii="黑体" w:hAnsi="黑体" w:eastAsia="黑体"/>
        </w:rPr>
      </w:pPr>
    </w:p>
    <w:p>
      <w:pPr>
        <w:jc w:val="left"/>
        <w:rPr>
          <w:color w:val="auto"/>
          <w:sz w:val="32"/>
          <w:szCs w:val="32"/>
          <w:rFonts w:ascii="黑体" w:hAnsi="黑体" w:eastAsia="黑体"/>
        </w:rPr>
      </w:pPr>
    </w:p>
    <w:p>
      <w:pPr>
        <w:jc w:val="left"/>
        <w:rPr>
          <w:color w:val="auto"/>
          <w:sz w:val="32"/>
          <w:szCs w:val="32"/>
          <w:rFonts w:ascii="黑体" w:hAnsi="黑体" w:eastAsia="黑体"/>
        </w:rPr>
      </w:pPr>
    </w:p>
    <w:p>
      <w:pPr>
        <w:pStyle w:val="7"/>
        <w:jc w:val="center"/>
        <w:numPr>
          <w:ilvl w:val="0"/>
          <w:numId w:val="0"/>
        </w:numPr>
        <w:ind w:leftChars="0"/>
        <w:rPr>
          <w:color w:val="auto"/>
          <w:sz w:val="32"/>
          <w:lang w:eastAsia="zh-CN"/>
          <w:szCs w:val="32"/>
          <w:rFonts w:ascii="黑体" w:hAnsi="黑体" w:eastAsia="黑体" w:hint="eastAsia"/>
        </w:rPr>
      </w:pPr>
    </w:p>
    <w:p>
      <w:pPr>
        <w:pStyle w:val="7"/>
        <w:jc w:val="center"/>
        <w:numPr>
          <w:ilvl w:val="0"/>
          <w:numId w:val="0"/>
        </w:numPr>
        <w:ind w:leftChars="0"/>
        <w:rPr>
          <w:color w:val="auto"/>
          <w:sz w:val="32"/>
          <w:lang w:eastAsia="zh-CN"/>
          <w:szCs w:val="32"/>
          <w:rFonts w:ascii="黑体" w:hAnsi="黑体" w:eastAsia="黑体" w:hint="eastAsia"/>
        </w:rPr>
      </w:pPr>
    </w:p>
    <w:p>
      <w:pPr>
        <w:pStyle w:val="7"/>
        <w:jc w:val="center"/>
        <w:numPr>
          <w:ilvl w:val="0"/>
          <w:numId w:val="0"/>
        </w:numPr>
        <w:ind w:leftChars="0"/>
        <w:rPr>
          <w:color w:val="auto"/>
          <w:sz w:val="32"/>
          <w:szCs w:val="32"/>
          <w:rFonts w:ascii="仿宋_GB2312" w:hAnsi="仿宋_GB2312" w:eastAsia="仿宋_GB2312" w:cs="仿宋_GB2312"/>
        </w:rPr>
      </w:pPr>
      <w:r>
        <w:rPr>
          <w:color w:val="auto"/>
          <w:sz w:val="32"/>
          <w:szCs w:val="32"/>
          <w:rFonts w:ascii="黑体" w:hAnsi="黑体" w:eastAsia="黑体" w:hint="eastAsia"/>
        </w:rPr>
        <w:t>第一部分  海南外国语职业学院</w:t>
      </w:r>
      <w:r>
        <w:rPr>
          <w:color w:val="auto"/>
          <w:sz w:val="32"/>
          <w:lang w:eastAsia="zh-CN"/>
          <w:szCs w:val="32"/>
          <w:rFonts w:ascii="黑体" w:hAnsi="黑体" w:eastAsia="黑体" w:hint="eastAsia"/>
        </w:rPr>
        <w:t>单位</w:t>
      </w:r>
      <w:r>
        <w:rPr>
          <w:color w:val="auto"/>
          <w:sz w:val="32"/>
          <w:szCs w:val="32"/>
          <w:rFonts w:ascii="黑体" w:hAnsi="黑体" w:eastAsia="黑体" w:hint="eastAsia"/>
        </w:rPr>
        <w:t>概况</w:t>
      </w:r>
    </w:p>
    <w:p>
      <w:pPr>
        <w:jc w:val="left"/>
        <w:rPr>
          <w:color w:val="auto"/>
          <w:sz w:val="32"/>
          <w:szCs w:val="32"/>
          <w:rFonts w:ascii="仿宋_GB2312" w:hAnsi="仿宋_GB2312" w:eastAsia="仿宋_GB2312" w:cs="仿宋_GB2312"/>
        </w:rPr>
      </w:pPr>
    </w:p>
    <w:p>
      <w:pPr>
        <w:jc w:val="left"/>
        <w:spacing w:line="600" w:lineRule="exact"/>
        <w:ind w:firstLine="640" w:firstLineChars="200"/>
        <w:rPr>
          <w:color w:val="auto"/>
          <w:sz w:val="30"/>
          <w:kern w:val="0"/>
          <w:szCs w:val="30"/>
          <w:rFonts w:ascii="宋体" w:hAnsi="宋体" w:cs="宋体"/>
        </w:rPr>
      </w:pPr>
      <w:r>
        <w:rPr>
          <w:color w:val="auto"/>
          <w:sz w:val="32"/>
          <w:lang w:val="en-US" w:eastAsia="zh-CN"/>
          <w:szCs w:val="32"/>
          <w:rFonts w:ascii="仿宋_GB2312" w:hAnsi="黑体" w:eastAsia="仿宋_GB2312" w:hint="eastAsia"/>
        </w:rPr>
        <w:t>海南外国语职业学院是经海南省政府批准教育部备案的公办全日制外语类高等职业院校，也是海南省外语语种最多、外语专业最齐的高校。学校始终坚持以质量求发展，全力提高人才培养质量，为海南自贸港建设服务。</w:t>
      </w:r>
    </w:p>
    <w:p>
      <w:pPr>
        <w:jc w:val="left"/>
        <w:spacing w:line="600" w:lineRule="exact"/>
        <w:ind w:firstLine="640" w:firstLineChars="200"/>
        <w:rPr>
          <w:color w:val="auto"/>
          <w:sz w:val="32"/>
          <w:szCs w:val="32"/>
          <w:rFonts w:ascii="黑体" w:hAnsi="黑体" w:eastAsia="黑体" w:cs="仿宋_GB2312"/>
        </w:rPr>
      </w:pPr>
      <w:r>
        <w:rPr>
          <w:color w:val="auto"/>
          <w:sz w:val="32"/>
          <w:szCs w:val="32"/>
          <w:rFonts w:ascii="黑体" w:hAnsi="黑体" w:eastAsia="黑体" w:cs="仿宋_GB2312" w:hint="eastAsia"/>
        </w:rPr>
        <w:t>一、主要职能</w:t>
      </w:r>
    </w:p>
    <w:p>
      <w:pPr>
        <w:jc w:val="left"/>
        <w:numPr>
          <w:ilvl w:val="0"/>
          <w:numId w:val="0"/>
        </w:numPr>
        <w:spacing w:line="600" w:lineRule="exact"/>
        <w:ind w:firstLine="640" w:firstLineChars="200"/>
        <w:rPr>
          <w:color w:val="auto"/>
          <w:sz w:val="32"/>
          <w:szCs w:val="32"/>
          <w:rFonts w:ascii="仿宋_GB2312" w:eastAsia="仿宋_GB2312" w:hint="eastAsia"/>
        </w:rPr>
      </w:pPr>
      <w:r>
        <w:rPr>
          <w:color w:val="auto"/>
          <w:sz w:val="32"/>
          <w:szCs w:val="32"/>
          <w:rFonts w:ascii="仿宋_GB2312" w:eastAsia="仿宋_GB2312" w:hint="eastAsia"/>
        </w:rPr>
        <w:t>（一）按照《中华人民共和国高等教育法》《中华人民共和国职业教育法》等法律法规规定开展高等教育工作。</w:t>
      </w:r>
    </w:p>
    <w:p>
      <w:pPr>
        <w:jc w:val="left"/>
        <w:numPr>
          <w:ilvl w:val="0"/>
          <w:numId w:val="0"/>
        </w:numPr>
        <w:spacing w:line="600" w:lineRule="exact"/>
        <w:ind w:firstLine="640" w:firstLineChars="200"/>
        <w:rPr>
          <w:color w:val="auto"/>
          <w:sz w:val="32"/>
          <w:szCs w:val="32"/>
          <w:rFonts w:ascii="仿宋_GB2312" w:eastAsia="仿宋_GB2312" w:hint="eastAsia"/>
        </w:rPr>
      </w:pPr>
      <w:r>
        <w:rPr>
          <w:color w:val="auto"/>
          <w:sz w:val="32"/>
          <w:szCs w:val="32"/>
          <w:rFonts w:ascii="仿宋_GB2312" w:eastAsia="仿宋_GB2312" w:hint="eastAsia"/>
        </w:rPr>
        <w:t>（二）承担各类外语人才和我省小学外语师资的培养、培训工作。</w:t>
      </w:r>
    </w:p>
    <w:p>
      <w:pPr>
        <w:pStyle w:val="2"/>
        <w:ind w:firstLine="640" w:firstLineChars="200"/>
        <w:rPr>
          <w:color w:val="auto"/>
          <w:rFonts w:hint="eastAsia"/>
        </w:rPr>
      </w:pPr>
      <w:r>
        <w:rPr>
          <w:color w:val="auto"/>
          <w:sz w:val="32"/>
          <w:lang w:eastAsia="zh-CN"/>
          <w:szCs w:val="32"/>
          <w:rFonts w:ascii="仿宋_GB2312" w:hAnsi="黑体" w:eastAsia="仿宋_GB2312" w:hint="eastAsia"/>
        </w:rPr>
        <w:t>（三）承担科学研究及研究成果推广工作。</w:t>
      </w:r>
    </w:p>
    <w:p>
      <w:pPr>
        <w:jc w:val="left"/>
        <w:spacing w:line="600" w:lineRule="exact"/>
        <w:ind w:firstLine="640" w:firstLineChars="200"/>
        <w:rPr>
          <w:color w:val="auto"/>
          <w:sz w:val="32"/>
          <w:lang w:val="en-US" w:eastAsia="zh-CN"/>
          <w:szCs w:val="32"/>
          <w:rFonts w:ascii="仿宋_GB2312" w:hAnsi="黑体" w:eastAsia="仿宋_GB2312" w:hint="eastAsia"/>
        </w:rPr>
      </w:pPr>
      <w:r>
        <w:rPr>
          <w:color w:val="auto"/>
          <w:sz w:val="32"/>
          <w:lang w:val="en-US" w:eastAsia="zh-CN"/>
          <w:szCs w:val="32"/>
          <w:rFonts w:ascii="仿宋_GB2312" w:hAnsi="黑体" w:eastAsia="仿宋_GB2312" w:hint="eastAsia"/>
        </w:rPr>
        <w:t>（四）为国家和地方发展提供应用型外语人才储备和服务型人才保障。</w:t>
      </w:r>
    </w:p>
    <w:p>
      <w:pPr>
        <w:jc w:val="left"/>
        <w:spacing w:line="600" w:lineRule="exact"/>
        <w:ind w:firstLine="640" w:firstLineChars="200"/>
        <w:rPr>
          <w:color w:val="auto"/>
          <w:sz w:val="32"/>
          <w:szCs w:val="32"/>
          <w:rFonts w:ascii="仿宋_GB2312" w:hAnsi="黑体" w:eastAsia="仿宋_GB2312" w:hint="eastAsia"/>
        </w:rPr>
      </w:pPr>
      <w:r>
        <w:rPr>
          <w:color w:val="auto"/>
          <w:sz w:val="32"/>
          <w:szCs w:val="32"/>
          <w:rFonts w:ascii="仿宋_GB2312" w:hAnsi="黑体" w:eastAsia="仿宋_GB2312" w:hint="eastAsia"/>
        </w:rPr>
        <w:t>（五）为学生提供形式多样的学习和交流机会，搭建广阔的出国留学平台。</w:t>
      </w:r>
    </w:p>
    <w:p>
      <w:pPr>
        <w:pStyle w:val="2"/>
        <w:ind w:firstLine="640" w:firstLineChars="200"/>
        <w:rPr>
          <w:color w:val="auto"/>
          <w:rFonts w:hint="eastAsia"/>
        </w:rPr>
      </w:pPr>
      <w:r>
        <w:rPr>
          <w:color w:val="auto"/>
          <w:sz w:val="32"/>
          <w:szCs w:val="32"/>
          <w:rFonts w:ascii="仿宋_GB2312" w:hAnsi="黑体" w:eastAsia="仿宋_GB2312" w:hint="eastAsia"/>
        </w:rPr>
        <w:t>（六）深化与省内学校校际协同合作，构建“中高职本科”以及“专本一体化”人才培养体系。</w:t>
      </w:r>
    </w:p>
    <w:p>
      <w:pPr>
        <w:jc w:val="left"/>
        <w:spacing w:line="600" w:lineRule="exact"/>
        <w:ind w:firstLine="640" w:firstLineChars="200"/>
        <w:rPr>
          <w:color w:val="auto"/>
          <w:sz w:val="32"/>
          <w:szCs w:val="32"/>
          <w:rFonts w:ascii="仿宋_GB2312" w:hAnsi="黑体" w:eastAsia="仿宋_GB2312" w:hint="eastAsia"/>
        </w:rPr>
      </w:pPr>
      <w:r>
        <w:rPr>
          <w:color w:val="auto"/>
          <w:sz w:val="32"/>
          <w:szCs w:val="32"/>
          <w:rFonts w:ascii="仿宋_GB2312" w:hAnsi="黑体" w:eastAsia="仿宋_GB2312" w:hint="eastAsia"/>
        </w:rPr>
        <w:t>（七）通过与国内知名高校合作办学，提升办学综合实力。</w:t>
      </w:r>
    </w:p>
    <w:p>
      <w:pPr>
        <w:pStyle w:val="2"/>
        <w:ind w:firstLine="640" w:firstLineChars="200"/>
        <w:rPr>
          <w:color w:val="auto"/>
          <w:sz w:val="32"/>
          <w:lang w:val="en-US" w:eastAsia="zh-CN" w:bidi="ar-SA"/>
          <w:kern w:val="2"/>
          <w:szCs w:val="32"/>
          <w:rFonts w:ascii="仿宋_GB2312" w:hAnsi="黑体" w:eastAsia="仿宋_GB2312" w:cs="黑体" w:hint="eastAsia"/>
        </w:rPr>
      </w:pPr>
      <w:r>
        <w:rPr>
          <w:color w:val="auto"/>
          <w:sz w:val="32"/>
          <w:lang w:val="en-US" w:eastAsia="zh-CN" w:bidi="ar-SA"/>
          <w:kern w:val="2"/>
          <w:szCs w:val="32"/>
          <w:rFonts w:ascii="仿宋_GB2312" w:hAnsi="黑体" w:eastAsia="仿宋_GB2312" w:cs="黑体" w:hint="eastAsia"/>
        </w:rPr>
        <w:t>（八）通过与国内外高端企业深度合作，实行订单式联合培养高素质技能型人才，确保学生高质量就业。</w:t>
      </w:r>
    </w:p>
    <w:p>
      <w:pPr>
        <w:jc w:val="left"/>
        <w:numPr>
          <w:ilvl w:val="0"/>
          <w:numId w:val="0"/>
        </w:numPr>
        <w:spacing w:line="600" w:lineRule="exact"/>
        <w:ind w:firstLine="640" w:firstLineChars="200"/>
        <w:rPr>
          <w:color w:val="auto"/>
          <w:sz w:val="32"/>
          <w:szCs w:val="32"/>
          <w:rFonts w:ascii="仿宋_GB2312" w:eastAsia="仿宋_GB2312" w:hint="eastAsia"/>
        </w:rPr>
      </w:pPr>
      <w:r>
        <w:rPr>
          <w:color w:val="auto"/>
          <w:sz w:val="32"/>
          <w:szCs w:val="32"/>
          <w:rFonts w:ascii="仿宋_GB2312" w:eastAsia="仿宋_GB2312" w:hint="eastAsia"/>
        </w:rPr>
        <w:t>（九）承办上级主管部门交办的其他工作。</w:t>
      </w:r>
    </w:p>
    <w:p>
      <w:pPr>
        <w:jc w:val="left"/>
        <w:numPr>
          <w:ilvl w:val="0"/>
          <w:numId w:val="0"/>
        </w:numPr>
        <w:spacing w:line="600" w:lineRule="exact"/>
        <w:ind w:firstLine="640" w:firstLineChars="200"/>
        <w:rPr>
          <w:color w:val="auto"/>
          <w:sz w:val="32"/>
          <w:lang w:eastAsia="zh-CN"/>
          <w:szCs w:val="32"/>
          <w:rFonts w:ascii="仿宋_GB2312" w:eastAsia="仿宋_GB2312" w:hint="eastAsia"/>
        </w:rPr>
      </w:pPr>
      <w:r>
        <w:rPr>
          <w:color w:val="auto"/>
          <w:sz w:val="32"/>
          <w:szCs w:val="32"/>
          <w:rFonts w:ascii="仿宋_GB2312" w:eastAsia="仿宋_GB2312" w:hint="eastAsia"/>
        </w:rPr>
        <w:t>机构设置</w:t>
      </w:r>
      <w:r>
        <w:rPr>
          <w:color w:val="auto"/>
          <w:sz w:val="32"/>
          <w:lang w:eastAsia="zh-CN"/>
          <w:szCs w:val="32"/>
          <w:rFonts w:ascii="仿宋_GB2312" w:eastAsia="仿宋_GB2312" w:hint="eastAsia"/>
        </w:rPr>
        <w:t>情况：</w:t>
      </w:r>
    </w:p>
    <w:p>
      <w:pPr>
        <w:widowControl w:val="0"/>
        <w:keepNext w:val="0"/>
        <w:keepLines w:val="0"/>
        <w:pageBreakBefore w:val="0"/>
        <w:wordWrap w:val="1"/>
        <w:overflowPunct w:val="1"/>
        <w:topLinePunct w:val="0"/>
        <w:kinsoku w:val="1"/>
        <w:autoSpaceDE w:val="1"/>
        <w:autoSpaceDN w:val="1"/>
        <w:bidi w:val="0"/>
        <w:jc w:val="both"/>
        <w:widowControl w:val="0"/>
        <w:spacing w:line="600" w:lineRule="exact"/>
        <w:ind w:firstLine="640" w:firstLineChars="200"/>
        <w:rPr>
          <w:color w:val="auto"/>
          <w:sz w:val="32"/>
          <w:lang w:eastAsia="zh-CN"/>
          <w:szCs w:val="32"/>
          <w:rFonts w:ascii="仿宋_GB2312" w:eastAsia="仿宋_GB2312" w:hint="eastAsia"/>
        </w:rPr>
      </w:pPr>
      <w:r>
        <w:rPr>
          <w:color w:val="auto"/>
          <w:sz w:val="32"/>
          <w:lang w:eastAsia="zh-CN"/>
          <w:szCs w:val="32"/>
          <w:rFonts w:ascii="仿宋_GB2312" w:eastAsia="仿宋_GB2312" w:hint="eastAsia"/>
        </w:rPr>
        <w:t>（一）内设党政管理机构10个：党政办公室(发展规划处、审计处、校友办公室)、纪检监察处、组织人事处(教师工作部、教师发展中心)、宣传统战部（港澳台办公室）、教务处、学生工作部(学生工作处、人民武装部)、招生就业处、国际合作与交流处(汉语国际推广中心)、财务处、后勤处。</w:t>
      </w:r>
    </w:p>
    <w:p>
      <w:pPr>
        <w:widowControl w:val="0"/>
        <w:keepNext w:val="0"/>
        <w:keepLines w:val="0"/>
        <w:pageBreakBefore w:val="0"/>
        <w:wordWrap w:val="1"/>
        <w:overflowPunct w:val="1"/>
        <w:topLinePunct w:val="0"/>
        <w:kinsoku w:val="1"/>
        <w:autoSpaceDE w:val="1"/>
        <w:autoSpaceDN w:val="1"/>
        <w:bidi w:val="0"/>
        <w:jc w:val="both"/>
        <w:widowControl w:val="0"/>
        <w:spacing w:line="600" w:lineRule="exact"/>
        <w:ind w:firstLine="640" w:firstLineChars="200"/>
        <w:rPr>
          <w:color w:val="auto"/>
          <w:sz w:val="32"/>
          <w:lang w:eastAsia="zh-CN"/>
          <w:szCs w:val="32"/>
          <w:rFonts w:ascii="仿宋_GB2312" w:eastAsia="仿宋_GB2312" w:hint="eastAsia"/>
        </w:rPr>
      </w:pPr>
      <w:r>
        <w:rPr>
          <w:color w:val="auto"/>
          <w:sz w:val="32"/>
          <w:lang w:eastAsia="zh-CN"/>
          <w:szCs w:val="32"/>
          <w:rFonts w:ascii="仿宋_GB2312" w:eastAsia="仿宋_GB2312" w:hint="eastAsia"/>
        </w:rPr>
        <w:t>（二）内设群团组织3个：工会、团委、妇联。</w:t>
      </w:r>
    </w:p>
    <w:p>
      <w:pPr>
        <w:jc w:val="left"/>
        <w:spacing w:line="600" w:lineRule="exact"/>
        <w:ind w:firstLine="640" w:firstLineChars="200"/>
        <w:rPr>
          <w:color w:val="auto"/>
          <w:sz w:val="32"/>
          <w:lang w:eastAsia="zh-CN"/>
          <w:szCs w:val="32"/>
          <w:rFonts w:ascii="仿宋_GB2312" w:eastAsia="仿宋_GB2312" w:hint="eastAsia"/>
        </w:rPr>
      </w:pPr>
      <w:r>
        <w:rPr>
          <w:color w:val="auto"/>
          <w:sz w:val="32"/>
          <w:lang w:eastAsia="zh-CN"/>
          <w:szCs w:val="32"/>
          <w:rFonts w:ascii="仿宋_GB2312" w:eastAsia="仿宋_GB2312" w:hint="eastAsia"/>
        </w:rPr>
        <w:t>（三）内设教辅机构5个：产学研发展中心（期刊编辑部）、网络信息中心、继续教育与职业培训中心、图书馆、招投标与采购服务中心。</w:t>
      </w:r>
    </w:p>
    <w:p>
      <w:pPr>
        <w:jc w:val="left"/>
        <w:spacing w:line="600" w:lineRule="exact"/>
        <w:ind w:firstLine="640" w:firstLineChars="200"/>
        <w:rPr>
          <w:color w:val="auto"/>
          <w:sz w:val="32"/>
          <w:szCs w:val="32"/>
          <w:rFonts w:ascii="仿宋_GB2312" w:eastAsia="仿宋_GB2312" w:hint="eastAsia"/>
        </w:rPr>
      </w:pPr>
      <w:r>
        <w:rPr>
          <w:color w:val="auto"/>
          <w:sz w:val="32"/>
          <w:szCs w:val="32"/>
          <w:rFonts w:ascii="仿宋_GB2312" w:eastAsia="仿宋_GB2312" w:hint="eastAsia"/>
        </w:rPr>
        <w:t>（四）内设教学机构9个：马克思主义学院、英语学院、国际商务学院、东方语言学院、西方语言学院、国际旅游学院、人文艺术学院、体育学院、国际智能学院。</w:t>
      </w:r>
    </w:p>
    <w:p>
      <w:pPr>
        <w:jc w:val="left"/>
        <w:spacing w:line="600" w:lineRule="exact"/>
        <w:ind w:firstLine="640" w:firstLineChars="200"/>
        <w:rPr>
          <w:u w:val="none"/>
          <w:sz w:val="32"/>
          <w:szCs w:val="32"/>
          <w:rFonts w:ascii="黑体" w:hAnsi="黑体" w:eastAsia="黑体" w:hint="eastAsia"/>
        </w:rPr>
      </w:pPr>
      <w:r>
        <w:rPr>
          <w:u w:val="none"/>
          <w:sz w:val="32"/>
          <w:lang w:eastAsia="zh-CN"/>
          <w:szCs w:val="32"/>
          <w:rFonts w:ascii="黑体" w:hAnsi="黑体" w:eastAsia="黑体" w:hint="eastAsia"/>
        </w:rPr>
        <w:t>二、</w:t>
      </w:r>
      <w:r>
        <w:rPr>
          <w:u w:val="none"/>
          <w:sz w:val="32"/>
          <w:szCs w:val="32"/>
          <w:rFonts w:ascii="黑体" w:hAnsi="黑体" w:eastAsia="黑体" w:hint="eastAsia"/>
        </w:rPr>
        <w:t>部门预算单位构成（单位公开没有这部分内容）</w:t>
      </w:r>
    </w:p>
    <w:p>
      <w:pPr>
        <w:jc w:val="left"/>
        <w:spacing w:line="600" w:lineRule="exact"/>
        <w:ind w:firstLine="640" w:firstLineChars="200"/>
        <w:rPr>
          <w:color w:val="auto"/>
          <w:sz w:val="32"/>
          <w:szCs w:val="32"/>
          <w:rFonts w:ascii="黑体" w:hAnsi="黑体" w:eastAsia="黑体" w:hint="eastAsia"/>
        </w:rPr>
      </w:pPr>
      <w:r>
        <w:rPr>
          <w:color w:val="auto"/>
          <w:sz w:val="32"/>
          <w:lang w:eastAsia="zh-CN"/>
          <w:szCs w:val="32"/>
          <w:rFonts w:ascii="仿宋_GB2312" w:eastAsia="仿宋_GB2312" w:hint="eastAsia"/>
        </w:rPr>
        <w:t>无此类情况。</w:t>
      </w:r>
    </w:p>
    <w:p>
      <w:pPr>
        <w:jc w:val="both"/>
        <w:ind w:firstLine="640" w:firstLineChars="200"/>
        <w:rPr>
          <w:color w:val="auto"/>
          <w:sz w:val="32"/>
          <w:szCs w:val="32"/>
          <w:rFonts w:ascii="黑体" w:hAnsi="黑体" w:eastAsia="黑体" w:hint="eastAsia"/>
        </w:rPr>
      </w:pPr>
    </w:p>
    <w:p>
      <w:pPr>
        <w:jc w:val="both"/>
        <w:rPr>
          <w:color w:val="auto"/>
          <w:sz w:val="32"/>
          <w:szCs w:val="32"/>
          <w:rFonts w:ascii="黑体" w:hAnsi="黑体" w:eastAsia="黑体"/>
        </w:rPr>
      </w:pPr>
      <w:r>
        <w:rPr>
          <w:color w:val="auto"/>
          <w:sz w:val="32"/>
          <w:szCs w:val="32"/>
          <w:rFonts w:ascii="黑体" w:hAnsi="黑体" w:eastAsia="黑体" w:hint="eastAsia"/>
        </w:rPr>
        <w:t>第二部分  海南外国语职业学院</w:t>
      </w:r>
      <w:r>
        <w:rPr>
          <w:color w:val="auto"/>
          <w:sz w:val="32"/>
          <w:lang w:eastAsia="zh-CN"/>
          <w:szCs w:val="32"/>
          <w:rFonts w:ascii="黑体" w:hAnsi="黑体" w:eastAsia="黑体" w:hint="eastAsia"/>
        </w:rPr>
        <w:t>单位</w:t>
      </w:r>
      <w:r>
        <w:rPr>
          <w:color w:val="auto"/>
          <w:sz w:val="32"/>
          <w:szCs w:val="32"/>
          <w:rFonts w:ascii="黑体" w:hAnsi="黑体" w:eastAsia="黑体" w:hint="eastAsia"/>
        </w:rPr>
        <w:t>2024年单位预算表</w:t>
      </w:r>
    </w:p>
    <w:p>
      <w:pPr>
        <w:jc w:val="both"/>
        <w:ind w:left="800"/>
        <w:rPr>
          <w:b w:val="1"/>
          <w:color w:val="auto"/>
          <w:sz w:val="32"/>
          <w:szCs w:val="32"/>
          <w:rFonts w:ascii="仿宋_GB2312" w:hAnsi="黑体" w:eastAsia="仿宋_GB2312" w:hint="eastAsia"/>
        </w:rPr>
      </w:pPr>
    </w:p>
    <w:p>
      <w:pPr>
        <w:jc w:val="both"/>
        <w:ind w:left="800"/>
        <w:rPr>
          <w:b w:val="1"/>
          <w:color w:val="auto"/>
          <w:sz w:val="32"/>
          <w:szCs w:val="32"/>
          <w:rFonts w:ascii="仿宋_GB2312" w:hAnsi="黑体" w:eastAsia="仿宋_GB2312"/>
        </w:rPr>
      </w:pPr>
      <w:r>
        <w:rPr>
          <w:b w:val="1"/>
          <w:color w:val="auto"/>
          <w:sz w:val="32"/>
          <w:szCs w:val="32"/>
          <w:rFonts w:ascii="仿宋_GB2312" w:hAnsi="黑体" w:eastAsia="仿宋_GB2312" w:hint="eastAsia"/>
        </w:rPr>
        <w:t>（此部分内容即为单位预算公开表，详见表格）</w:t>
      </w:r>
    </w:p>
    <w:p>
      <w:pPr>
        <w:rPr>
          <w:color w:val="auto"/>
          <w:sz w:val="32"/>
          <w:szCs w:val="32"/>
          <w:rFonts w:ascii="黑体" w:hAnsi="黑体" w:eastAsia="黑体"/>
        </w:rPr>
      </w:pPr>
    </w:p>
    <w:p>
      <w:pPr>
        <w:rPr>
          <w:color w:val="auto"/>
          <w:sz w:val="32"/>
          <w:szCs w:val="32"/>
          <w:rFonts w:ascii="黑体" w:hAnsi="黑体" w:eastAsia="黑体"/>
        </w:rPr>
      </w:pPr>
    </w:p>
    <w:p>
      <w:pPr>
        <w:rPr>
          <w:color w:val="auto"/>
          <w:sz w:val="32"/>
          <w:szCs w:val="32"/>
          <w:rFonts w:ascii="黑体" w:hAnsi="黑体" w:eastAsia="黑体"/>
        </w:rPr>
      </w:pPr>
    </w:p>
    <w:p>
      <w:pPr>
        <w:ind w:firstLine="320" w:firstLineChars="100"/>
        <w:rPr>
          <w:color w:val="auto"/>
          <w:sz w:val="32"/>
          <w:szCs w:val="32"/>
          <w:rFonts w:ascii="黑体" w:hAnsi="黑体" w:eastAsia="黑体"/>
        </w:rPr>
      </w:pPr>
      <w:r>
        <w:rPr>
          <w:color w:val="auto"/>
          <w:sz w:val="32"/>
          <w:szCs w:val="32"/>
          <w:rFonts w:ascii="黑体" w:hAnsi="黑体" w:eastAsia="黑体" w:hint="eastAsia"/>
        </w:rPr>
        <w:t>第三部分  海南外国语职业学院</w:t>
      </w:r>
      <w:r>
        <w:rPr>
          <w:color w:val="auto"/>
          <w:sz w:val="32"/>
          <w:lang w:eastAsia="zh-CN"/>
          <w:szCs w:val="32"/>
          <w:rFonts w:ascii="黑体" w:hAnsi="黑体" w:eastAsia="黑体" w:hint="eastAsia"/>
        </w:rPr>
        <w:t>单位</w:t>
      </w:r>
      <w:r>
        <w:rPr>
          <w:color w:val="auto"/>
          <w:sz w:val="32"/>
          <w:szCs w:val="32"/>
          <w:rFonts w:ascii="黑体" w:hAnsi="黑体" w:eastAsia="黑体" w:hint="eastAsia"/>
        </w:rPr>
        <w:t>2024年单位预算情况说明</w:t>
      </w:r>
    </w:p>
    <w:p>
      <w:pPr>
        <w:jc w:val="center"/>
        <w:rPr>
          <w:color w:val="auto"/>
          <w:sz w:val="32"/>
          <w:szCs w:val="32"/>
          <w:rFonts w:ascii="黑体" w:hAnsi="黑体" w:eastAsia="黑体"/>
        </w:rPr>
      </w:pPr>
    </w:p>
    <w:p>
      <w:pPr>
        <w:jc w:val="left"/>
        <w:ind w:firstLine="640" w:firstLineChars="200"/>
        <w:rPr>
          <w:color w:val="auto"/>
          <w:sz w:val="32"/>
          <w:szCs w:val="32"/>
          <w:rFonts w:ascii="黑体" w:hAnsi="黑体" w:eastAsia="黑体"/>
        </w:rPr>
      </w:pPr>
      <w:r>
        <w:rPr>
          <w:color w:val="auto"/>
          <w:sz w:val="32"/>
          <w:szCs w:val="32"/>
          <w:rFonts w:ascii="黑体" w:hAnsi="黑体" w:eastAsia="黑体" w:hint="eastAsia"/>
        </w:rPr>
        <w:t>一、关于海南外国语职业学院</w:t>
      </w:r>
      <w:r>
        <w:rPr>
          <w:color w:val="auto"/>
          <w:sz w:val="32"/>
          <w:lang w:eastAsia="zh-CN"/>
          <w:szCs w:val="32"/>
          <w:rFonts w:ascii="黑体" w:hAnsi="黑体" w:eastAsia="黑体" w:hint="eastAsia"/>
        </w:rPr>
        <w:t>单位</w:t>
      </w:r>
      <w:r>
        <w:rPr>
          <w:color w:val="auto"/>
          <w:sz w:val="32"/>
          <w:szCs w:val="32"/>
          <w:rFonts w:ascii="黑体" w:hAnsi="黑体" w:eastAsia="黑体" w:hint="eastAsia"/>
        </w:rPr>
        <w:t>2024年财政拨款收支预算情况的总体说明</w:t>
      </w:r>
    </w:p>
    <w:p>
      <w:pPr>
        <w:jc w:val="left"/>
        <w:ind w:firstLine="640" w:firstLineChars="200"/>
        <w:rPr>
          <w:color w:val="auto"/>
          <w:sz w:val="32"/>
          <w:szCs w:val="32"/>
          <w:rFonts w:ascii="仿宋_GB2312" w:hAnsi="黑体" w:eastAsia="仿宋_GB2312"/>
        </w:rPr>
      </w:pPr>
      <w:r>
        <w:rPr>
          <w:color w:val="auto"/>
          <w:sz w:val="32"/>
          <w:lang w:eastAsia="zh-CN"/>
          <w:szCs w:val="32"/>
          <w:rFonts w:ascii="仿宋_GB2312" w:hAnsi="黑体" w:eastAsia="仿宋_GB2312" w:hint="eastAsia"/>
        </w:rPr>
        <w:t>海南外国语职业学院单位2024年财政拨款收支总预算14,729.66万元，</w:t>
      </w:r>
      <w:r>
        <w:rPr>
          <w:u w:val="none"/>
          <w:color w:val="auto"/>
          <w:sz w:val="32"/>
          <w:szCs w:val="32"/>
          <w:rFonts w:ascii="仿宋_GB2312" w:hAnsi="黑体" w:eastAsia="仿宋_GB2312" w:hint="eastAsia"/>
        </w:rPr>
        <w:t>比上年预算数</w:t>
      </w:r>
      <w:r>
        <w:rPr>
          <w:u w:val="none"/>
          <w:color w:val="auto"/>
          <w:sz w:val="32"/>
          <w:lang w:eastAsia="zh-CN"/>
          <w:szCs w:val="32"/>
          <w:rFonts w:ascii="仿宋_GB2312" w:hAnsi="黑体" w:eastAsia="仿宋_GB2312" w:hint="eastAsia"/>
        </w:rPr>
        <w:t>增加</w:t>
      </w:r>
      <w:r>
        <w:rPr>
          <w:u w:val="none"/>
          <w:color w:val="auto"/>
          <w:sz w:val="32"/>
          <w:lang w:val="en-US" w:eastAsia="zh-CN"/>
          <w:szCs w:val="32"/>
          <w:rFonts w:ascii="仿宋_GB2312" w:hAnsi="黑体" w:eastAsia="仿宋_GB2312" w:cs="仿宋_GB2312" w:hint="eastAsia"/>
        </w:rPr>
        <w:t>2,124.44</w:t>
      </w:r>
      <w:r>
        <w:rPr>
          <w:u w:val="none"/>
          <w:color w:val="auto"/>
          <w:sz w:val="32"/>
          <w:szCs w:val="32"/>
          <w:rFonts w:ascii="仿宋_GB2312" w:hAnsi="黑体" w:eastAsia="仿宋_GB2312" w:hint="eastAsia"/>
        </w:rPr>
        <w:t>万元，主要</w:t>
      </w:r>
      <w:r>
        <w:rPr>
          <w:u w:val="none"/>
          <w:color w:val="auto"/>
          <w:sz w:val="32"/>
          <w:lang w:eastAsia="zh-CN"/>
          <w:szCs w:val="32"/>
          <w:rFonts w:ascii="仿宋_GB2312" w:hAnsi="黑体" w:eastAsia="仿宋_GB2312" w:hint="eastAsia"/>
        </w:rPr>
        <w:t>是上年结余增加</w:t>
      </w:r>
      <w:r>
        <w:rPr>
          <w:u w:val="none"/>
          <w:color w:val="auto"/>
          <w:sz w:val="32"/>
          <w:lang w:val="en-US" w:eastAsia="zh-CN"/>
          <w:szCs w:val="32"/>
          <w:rFonts w:ascii="仿宋_GB2312" w:hAnsi="黑体" w:eastAsia="仿宋_GB2312" w:hint="eastAsia"/>
        </w:rPr>
        <w:t>457.10万元</w:t>
      </w:r>
      <w:r>
        <w:rPr>
          <w:u w:val="none"/>
          <w:color w:val="auto"/>
          <w:sz w:val="32"/>
          <w:lang w:eastAsia="zh-CN"/>
          <w:rFonts w:ascii="仿宋_GB2312" w:hAnsi="黑体" w:eastAsia="仿宋_GB2312" w:hint="eastAsia"/>
        </w:rPr>
        <w:t>及财政投入增加</w:t>
      </w:r>
      <w:r>
        <w:rPr>
          <w:u w:val="none"/>
          <w:color w:val="auto"/>
          <w:sz w:val="32"/>
          <w:lang w:val="en-US" w:eastAsia="zh-CN"/>
          <w:rFonts w:ascii="仿宋_GB2312" w:hAnsi="黑体" w:eastAsia="仿宋_GB2312" w:hint="eastAsia"/>
        </w:rPr>
        <w:t>1,664.34万</w:t>
      </w:r>
      <w:r>
        <w:rPr>
          <w:u w:val="none"/>
          <w:color w:val="auto"/>
          <w:sz w:val="32"/>
          <w:lang w:val="en-US" w:eastAsia="zh-CN"/>
          <w:szCs w:val="32"/>
          <w:rFonts w:ascii="仿宋_GB2312" w:hAnsi="黑体" w:eastAsia="仿宋_GB2312" w:hint="eastAsia"/>
        </w:rPr>
        <w:t>元</w:t>
      </w:r>
      <w:r>
        <w:rPr>
          <w:u w:val="none"/>
          <w:color w:val="auto"/>
          <w:sz w:val="32"/>
          <w:lang w:eastAsia="zh-CN"/>
          <w:szCs w:val="32"/>
          <w:rFonts w:ascii="仿宋_GB2312" w:hAnsi="黑体" w:eastAsia="仿宋_GB2312" w:hint="eastAsia"/>
        </w:rPr>
        <w:t>的原因</w:t>
      </w:r>
      <w:r>
        <w:rPr>
          <w:u w:val="none"/>
          <w:color w:val="auto"/>
          <w:sz w:val="32"/>
          <w:szCs w:val="32"/>
          <w:rFonts w:ascii="仿宋_GB2312" w:hAnsi="黑体" w:eastAsia="仿宋_GB2312" w:hint="eastAsia"/>
        </w:rPr>
        <w:t>。</w:t>
      </w:r>
      <w:r>
        <w:rPr>
          <w:color w:val="auto"/>
          <w:sz w:val="32"/>
          <w:szCs w:val="32"/>
          <w:rFonts w:ascii="仿宋_GB2312" w:hAnsi="黑体" w:eastAsia="仿宋_GB2312" w:hint="eastAsia"/>
        </w:rPr>
        <w:t>其中，收入总计14,729.66万元，包括一般公共预算本年收入13,350.95万元，上年结转1,378.71万元；支出总计14,729.66万元，包括教育支出13,643.64万元；科学技术支出18.01万元；社会保障和就业支出577.74万元；卫生健康支出181.70万元；住房保障支出308.57万元。</w:t>
      </w:r>
    </w:p>
    <w:p>
      <w:pPr>
        <w:jc w:val="left"/>
        <w:ind w:firstLine="640"/>
        <w:rPr>
          <w:color w:val="auto"/>
          <w:sz w:val="32"/>
          <w:szCs w:val="32"/>
          <w:rFonts w:ascii="黑体" w:hAnsi="黑体" w:eastAsia="黑体"/>
        </w:rPr>
      </w:pPr>
      <w:r>
        <w:rPr>
          <w:color w:val="auto"/>
          <w:sz w:val="32"/>
          <w:szCs w:val="32"/>
          <w:rFonts w:ascii="黑体" w:hAnsi="黑体" w:eastAsia="黑体" w:hint="eastAsia"/>
        </w:rPr>
        <w:t>二、关于海南外国语职业学院</w:t>
      </w:r>
      <w:r>
        <w:rPr>
          <w:color w:val="auto"/>
          <w:sz w:val="32"/>
          <w:lang w:eastAsia="zh-CN"/>
          <w:szCs w:val="32"/>
          <w:rFonts w:ascii="黑体" w:hAnsi="黑体" w:eastAsia="黑体" w:hint="eastAsia"/>
        </w:rPr>
        <w:t>单位</w:t>
      </w:r>
      <w:r>
        <w:rPr>
          <w:color w:val="auto"/>
          <w:sz w:val="32"/>
          <w:szCs w:val="32"/>
          <w:rFonts w:ascii="黑体" w:hAnsi="黑体" w:eastAsia="黑体" w:hint="eastAsia"/>
        </w:rPr>
        <w:t>2024年一般公共预算当年拨款情况说明</w:t>
      </w:r>
    </w:p>
    <w:p>
      <w:pPr>
        <w:jc w:val="left"/>
        <w:ind w:firstLine="640"/>
        <w:rPr>
          <w:color w:val="auto"/>
          <w:sz w:val="32"/>
          <w:szCs w:val="32"/>
          <w:rFonts w:ascii="楷体" w:hAnsi="楷体" w:eastAsia="楷体"/>
        </w:rPr>
      </w:pPr>
      <w:r>
        <w:rPr>
          <w:color w:val="auto"/>
          <w:sz w:val="32"/>
          <w:szCs w:val="32"/>
          <w:rFonts w:ascii="楷体" w:hAnsi="楷体" w:eastAsia="楷体" w:hint="eastAsia"/>
        </w:rPr>
        <w:t>（一）一般公共预算当年规模变化情况</w:t>
      </w:r>
    </w:p>
    <w:p>
      <w:pPr>
        <w:ind w:firstLine="640" w:firstLineChars="200"/>
        <w:rPr>
          <w:color w:val="auto"/>
          <w:sz w:val="32"/>
          <w:szCs w:val="32"/>
          <w:rFonts w:ascii="仿宋_GB2312" w:hAnsi="黑体" w:eastAsia="仿宋_GB2312"/>
        </w:rPr>
      </w:pPr>
      <w:r>
        <w:rPr>
          <w:color w:val="auto"/>
          <w:sz w:val="32"/>
          <w:lang w:eastAsia="zh-CN"/>
          <w:szCs w:val="32"/>
          <w:rFonts w:ascii="仿宋_GB2312" w:hAnsi="黑体" w:eastAsia="仿宋_GB2312" w:hint="eastAsia"/>
        </w:rPr>
        <w:t>海南外国语职业学院单位2024年一般公共预算当年拨款14,729.66万元，比上年预算数增加</w:t>
      </w:r>
      <w:r>
        <w:rPr>
          <w:u w:val="none"/>
          <w:color w:val="auto"/>
          <w:sz w:val="32"/>
          <w:lang w:val="en-US" w:eastAsia="zh-CN"/>
          <w:szCs w:val="32"/>
          <w:rFonts w:ascii="仿宋_GB2312" w:hAnsi="黑体" w:eastAsia="仿宋_GB2312" w:cs="仿宋_GB2312" w:hint="eastAsia"/>
        </w:rPr>
        <w:t>2,124.44</w:t>
      </w:r>
      <w:r>
        <w:rPr>
          <w:color w:val="auto"/>
          <w:sz w:val="32"/>
          <w:szCs w:val="32"/>
          <w:rFonts w:ascii="仿宋_GB2312" w:hAnsi="黑体" w:eastAsia="仿宋_GB2312" w:hint="eastAsia"/>
        </w:rPr>
        <w:t>万元，主要是基本支出增加489.54万元（人员经费增加470.92万元，公用经费增加18.62万元），项目支出增加1,631.90万元。</w:t>
      </w:r>
    </w:p>
    <w:p>
      <w:pPr>
        <w:jc w:val="left"/>
        <w:ind w:firstLine="640"/>
        <w:rPr>
          <w:color w:val="auto"/>
          <w:sz w:val="32"/>
          <w:szCs w:val="32"/>
          <w:rFonts w:ascii="楷体" w:hAnsi="楷体" w:eastAsia="楷体"/>
        </w:rPr>
      </w:pPr>
      <w:r>
        <w:rPr>
          <w:color w:val="auto"/>
          <w:sz w:val="32"/>
          <w:szCs w:val="32"/>
          <w:rFonts w:ascii="楷体" w:hAnsi="楷体" w:eastAsia="楷体" w:hint="eastAsia"/>
        </w:rPr>
        <w:t>（二）一般公共预算当年拨款结构情况</w:t>
      </w:r>
    </w:p>
    <w:p>
      <w:pPr>
        <w:jc w:val="left"/>
        <w:ind w:firstLine="640" w:firstLineChars="200"/>
        <w:rPr>
          <w:color w:val="auto"/>
          <w:sz w:val="32"/>
          <w:szCs w:val="32"/>
          <w:rFonts w:ascii="仿宋_GB2312" w:hAnsi="黑体" w:eastAsia="仿宋_GB2312"/>
        </w:rPr>
      </w:pPr>
      <w:r>
        <w:rPr>
          <w:color w:val="auto"/>
          <w:sz w:val="32"/>
          <w:szCs w:val="32"/>
          <w:rFonts w:ascii="仿宋_GB2312" w:hAnsi="黑体" w:eastAsia="仿宋_GB2312" w:hint="eastAsia"/>
        </w:rPr>
        <w:t>教育支出13,643.6</w:t>
      </w:r>
      <w:r>
        <w:rPr>
          <w:color w:val="auto"/>
          <w:sz w:val="32"/>
          <w:lang w:val="en-US" w:eastAsia="zh-CN"/>
          <w:szCs w:val="32"/>
          <w:rFonts w:ascii="仿宋_GB2312" w:hAnsi="黑体" w:eastAsia="仿宋_GB2312" w:hint="eastAsia"/>
        </w:rPr>
        <w:t>4</w:t>
      </w:r>
      <w:r>
        <w:rPr>
          <w:color w:val="auto"/>
          <w:sz w:val="32"/>
          <w:szCs w:val="32"/>
          <w:rFonts w:ascii="仿宋_GB2312" w:hAnsi="黑体" w:eastAsia="仿宋_GB2312" w:hint="eastAsia"/>
        </w:rPr>
        <w:t>万元，占92.63%；科学技术支出18.01万元，占0.12%；社会保障和就业支出577.74万元，占3.92%；卫生健康支出181.70万元，占1.23%；住房保障支出308.57万元，占2.1%。</w:t>
      </w:r>
    </w:p>
    <w:p>
      <w:pPr>
        <w:jc w:val="left"/>
        <w:ind w:firstLine="640"/>
        <w:rPr>
          <w:color w:val="auto"/>
          <w:sz w:val="32"/>
          <w:szCs w:val="32"/>
          <w:rFonts w:ascii="楷体" w:hAnsi="楷体" w:eastAsia="楷体"/>
        </w:rPr>
      </w:pPr>
      <w:r>
        <w:rPr>
          <w:color w:val="auto"/>
          <w:sz w:val="32"/>
          <w:szCs w:val="32"/>
          <w:rFonts w:ascii="楷体" w:hAnsi="楷体" w:eastAsia="楷体" w:hint="eastAsia"/>
        </w:rPr>
        <w:t>（三）一般公共预算当年拨款具体使用情况</w:t>
      </w:r>
    </w:p>
    <w:p>
      <w:pPr>
        <w:ind w:firstLine="640" w:firstLineChars="200"/>
        <w:rPr>
          <w:color w:val="auto"/>
          <w:sz w:val="32"/>
          <w:lang w:val="en-US" w:eastAsia="zh-CN"/>
          <w:szCs w:val="32"/>
          <w:rFonts w:ascii="仿宋_GB2312" w:hAnsi="黑体" w:eastAsia="仿宋_GB2312" w:cs="仿宋_GB2312" w:hint="eastAsia"/>
        </w:rPr>
      </w:pPr>
      <w:r>
        <w:rPr>
          <w:color w:val="auto"/>
          <w:sz w:val="32"/>
          <w:lang w:val="en-US" w:eastAsia="zh-CN"/>
          <w:szCs w:val="32"/>
          <w:rFonts w:ascii="仿宋_GB2312" w:hAnsi="黑体" w:eastAsia="仿宋_GB2312" w:cs="仿宋_GB2312" w:hint="eastAsia"/>
        </w:rPr>
        <w:t>1.教育支出（类）职业教育（款）中等职业教育（项）2024年预算数为213.06万元，比上年预算数增加25.62万元，主要是2024年学生资助补助中职免学费资金及助学金增加。</w:t>
      </w:r>
    </w:p>
    <w:p>
      <w:pPr>
        <w:ind w:firstLine="640" w:firstLineChars="200"/>
        <w:rPr>
          <w:color w:val="auto"/>
          <w:sz w:val="32"/>
          <w:lang w:val="en-US" w:eastAsia="zh-CN"/>
          <w:szCs w:val="32"/>
          <w:rFonts w:ascii="仿宋_GB2312" w:hAnsi="黑体" w:eastAsia="仿宋_GB2312" w:cs="仿宋_GB2312" w:hint="eastAsia"/>
        </w:rPr>
      </w:pPr>
      <w:r>
        <w:rPr>
          <w:color w:val="auto"/>
          <w:sz w:val="32"/>
          <w:lang w:val="en-US" w:eastAsia="zh-CN"/>
          <w:szCs w:val="32"/>
          <w:rFonts w:ascii="仿宋_GB2312" w:hAnsi="黑体" w:eastAsia="仿宋_GB2312" w:cs="仿宋_GB2312" w:hint="eastAsia"/>
        </w:rPr>
        <w:t>2.教育支出（类）职业教育（款）高职职业教育（项）2024年预算数为13,423.08万元，比上年预算数增加1,982.49万元，主要是基本支出增加381.58万元，项目支出增加1,600.91万元。</w:t>
      </w:r>
    </w:p>
    <w:p>
      <w:pPr>
        <w:ind w:firstLine="640" w:firstLineChars="200"/>
        <w:rPr>
          <w:color w:val="auto"/>
          <w:sz w:val="32"/>
          <w:lang w:val="en-US" w:eastAsia="zh-CN"/>
          <w:szCs w:val="32"/>
          <w:rFonts w:ascii="仿宋_GB2312" w:hAnsi="黑体" w:eastAsia="仿宋_GB2312" w:cs="仿宋_GB2312" w:hint="default"/>
        </w:rPr>
      </w:pPr>
      <w:r>
        <w:rPr>
          <w:color w:val="auto"/>
          <w:sz w:val="32"/>
          <w:lang w:val="en-US" w:eastAsia="zh-CN"/>
          <w:szCs w:val="32"/>
          <w:rFonts w:ascii="仿宋_GB2312" w:hAnsi="黑体" w:eastAsia="仿宋_GB2312" w:cs="仿宋_GB2312" w:hint="eastAsia"/>
        </w:rPr>
        <w:t>3.教育支出（类）留学教育（款）来华留学教育（项）2024年预算数为7.5万元，比上年预算数增加7.5万元，主要是项目支出增加7.5万元。</w:t>
      </w:r>
    </w:p>
    <w:p>
      <w:pPr>
        <w:ind w:firstLine="640" w:firstLineChars="200"/>
        <w:rPr>
          <w:color w:val="auto"/>
          <w:sz w:val="32"/>
          <w:lang w:eastAsia="zh-CN"/>
          <w:szCs w:val="32"/>
          <w:rFonts w:ascii="仿宋_GB2312" w:hAnsi="黑体" w:eastAsia="仿宋_GB2312" w:cs="仿宋_GB2312" w:hint="eastAsia"/>
        </w:rPr>
      </w:pPr>
      <w:r>
        <w:rPr>
          <w:color w:val="auto"/>
          <w:sz w:val="32"/>
          <w:lang w:val="en-US" w:eastAsia="zh-CN"/>
          <w:szCs w:val="32"/>
          <w:rFonts w:ascii="仿宋_GB2312" w:hAnsi="黑体" w:eastAsia="仿宋_GB2312" w:cs="仿宋_GB2312" w:hint="eastAsia"/>
        </w:rPr>
        <w:t>4</w:t>
      </w:r>
      <w:r>
        <w:rPr>
          <w:color w:val="auto"/>
          <w:sz w:val="32"/>
          <w:lang w:eastAsia="zh-CN"/>
          <w:szCs w:val="32"/>
          <w:rFonts w:ascii="仿宋_GB2312" w:hAnsi="黑体" w:eastAsia="仿宋_GB2312" w:cs="仿宋_GB2312" w:hint="eastAsia"/>
        </w:rPr>
        <w:t>.科学技术支出（类）社会科学（款）社会科学研究（项）2024年预算数为18.01万元，比上年预算数减少2.12万元，主要是2024年科学研究项目支出预算减少。</w:t>
      </w:r>
    </w:p>
    <w:p>
      <w:pPr>
        <w:ind w:firstLine="640" w:firstLineChars="200"/>
        <w:rPr>
          <w:color w:val="auto"/>
          <w:sz w:val="32"/>
          <w:szCs w:val="32"/>
          <w:rFonts w:ascii="仿宋_GB2312" w:hAnsi="黑体" w:eastAsia="仿宋_GB2312" w:cs="仿宋_GB2312"/>
        </w:rPr>
      </w:pPr>
      <w:r>
        <w:rPr>
          <w:color w:val="auto"/>
          <w:sz w:val="32"/>
          <w:lang w:val="en-US" w:eastAsia="zh-CN"/>
          <w:szCs w:val="32"/>
          <w:rFonts w:ascii="仿宋_GB2312" w:hAnsi="黑体" w:eastAsia="仿宋_GB2312" w:cs="仿宋_GB2312" w:hint="eastAsia"/>
        </w:rPr>
        <w:t>5</w:t>
      </w:r>
      <w:r>
        <w:rPr>
          <w:color w:val="auto"/>
          <w:sz w:val="32"/>
          <w:szCs w:val="32"/>
          <w:rFonts w:ascii="仿宋_GB2312" w:hAnsi="黑体" w:eastAsia="仿宋_GB2312" w:cs="仿宋_GB2312" w:hint="eastAsia"/>
        </w:rPr>
        <w:t>.社会保障和就业支出（类）行政事业单位养老支出（款）机关事业单位基本养老保险缴费支出（项）2024年预算数为380.50万元，比上年预算数增加38.04万元，主要是单位基本养老保险缴费基数调增。</w:t>
      </w:r>
    </w:p>
    <w:p>
      <w:pPr>
        <w:ind w:firstLine="640" w:firstLineChars="200"/>
        <w:rPr>
          <w:color w:val="auto"/>
          <w:sz w:val="32"/>
          <w:szCs w:val="32"/>
          <w:rFonts w:ascii="仿宋_GB2312" w:hAnsi="黑体" w:eastAsia="仿宋_GB2312" w:cs="仿宋_GB2312"/>
        </w:rPr>
      </w:pPr>
      <w:r>
        <w:rPr>
          <w:color w:val="auto"/>
          <w:sz w:val="32"/>
          <w:lang w:val="en-US" w:eastAsia="zh-CN"/>
          <w:szCs w:val="32"/>
          <w:rFonts w:ascii="仿宋_GB2312" w:hAnsi="黑体" w:eastAsia="仿宋_GB2312" w:cs="仿宋_GB2312" w:hint="eastAsia"/>
        </w:rPr>
        <w:t>6</w:t>
      </w:r>
      <w:r>
        <w:rPr>
          <w:color w:val="auto"/>
          <w:sz w:val="32"/>
          <w:szCs w:val="32"/>
          <w:rFonts w:ascii="仿宋_GB2312" w:hAnsi="黑体" w:eastAsia="仿宋_GB2312" w:cs="仿宋_GB2312" w:hint="eastAsia"/>
        </w:rPr>
        <w:t>.社会保障和就业支出（类）行政事业单位养老支出（款）机关事业单位职业年金缴费支出（项）2024年预算数为190.25万元，比上年预算数增加19.02万元，主要是单位职业年金缴费基数调增。</w:t>
      </w:r>
    </w:p>
    <w:p>
      <w:pPr>
        <w:ind w:firstLine="640" w:firstLineChars="200"/>
        <w:rPr>
          <w:color w:val="auto"/>
          <w:sz w:val="32"/>
          <w:lang w:val="en-US" w:eastAsia="zh-CN"/>
          <w:szCs w:val="32"/>
          <w:rFonts w:ascii="仿宋_GB2312" w:hAnsi="黑体" w:eastAsia="仿宋_GB2312" w:hint="eastAsia"/>
        </w:rPr>
      </w:pPr>
      <w:r>
        <w:rPr>
          <w:color w:val="auto"/>
          <w:sz w:val="32"/>
          <w:lang w:val="en-US" w:eastAsia="zh-CN"/>
          <w:szCs w:val="32"/>
          <w:rFonts w:ascii="仿宋_GB2312" w:hAnsi="黑体" w:eastAsia="仿宋_GB2312" w:hint="eastAsia"/>
        </w:rPr>
        <w:t>7.社会保障和就业支出（类）抚恤（款）其他优抚支出（项）2024年预算数为6.99万元，与上年持平。</w:t>
      </w:r>
    </w:p>
    <w:p>
      <w:pPr>
        <w:ind w:firstLine="640" w:firstLineChars="200"/>
        <w:rPr>
          <w:color w:val="auto"/>
          <w:sz w:val="32"/>
          <w:szCs w:val="32"/>
          <w:rFonts w:ascii="仿宋_GB2312" w:hAnsi="黑体" w:eastAsia="仿宋_GB2312"/>
        </w:rPr>
      </w:pPr>
      <w:r>
        <w:rPr>
          <w:color w:val="auto"/>
          <w:sz w:val="32"/>
          <w:lang w:val="en-US" w:eastAsia="zh-CN"/>
          <w:szCs w:val="32"/>
          <w:rFonts w:ascii="仿宋_GB2312" w:hAnsi="黑体" w:eastAsia="仿宋_GB2312" w:hint="eastAsia"/>
        </w:rPr>
        <w:t>8</w:t>
      </w:r>
      <w:r>
        <w:rPr>
          <w:color w:val="auto"/>
          <w:sz w:val="32"/>
          <w:szCs w:val="32"/>
          <w:rFonts w:ascii="仿宋_GB2312" w:hAnsi="黑体" w:eastAsia="仿宋_GB2312" w:hint="eastAsia"/>
        </w:rPr>
        <w:t>.卫生健康支出（类）行政事业单位医疗（款）事业单位医疗（项）2024年预算数为181.7万元，比上年预算数增加20.35万元，主要是单位基本医疗基数调增。</w:t>
      </w:r>
    </w:p>
    <w:p>
      <w:pPr>
        <w:ind w:firstLine="640" w:firstLineChars="200"/>
        <w:rPr>
          <w:color w:val="auto"/>
          <w:sz w:val="32"/>
          <w:szCs w:val="32"/>
          <w:rFonts w:ascii="仿宋_GB2312" w:hAnsi="黑体" w:eastAsia="仿宋_GB2312"/>
        </w:rPr>
      </w:pPr>
      <w:r>
        <w:rPr>
          <w:color w:val="auto"/>
          <w:sz w:val="32"/>
          <w:lang w:val="en-US" w:eastAsia="zh-CN"/>
          <w:szCs w:val="32"/>
          <w:rFonts w:ascii="仿宋_GB2312" w:hAnsi="黑体" w:eastAsia="仿宋_GB2312" w:cs="仿宋_GB2312" w:hint="eastAsia"/>
        </w:rPr>
        <w:t>9</w:t>
      </w:r>
      <w:r>
        <w:rPr>
          <w:color w:val="auto"/>
          <w:sz w:val="32"/>
          <w:lang w:eastAsia="zh-CN"/>
          <w:szCs w:val="32"/>
          <w:rFonts w:ascii="仿宋_GB2312" w:hAnsi="黑体" w:eastAsia="仿宋_GB2312" w:cs="仿宋_GB2312" w:hint="eastAsia"/>
        </w:rPr>
        <w:t>.住房保障支出（类）住房改革支出（款）住房公积金（项）2024年预算数为308.57万元，比上年预算数增加30.55万元，主要是单位住房公积金基数调增。</w:t>
      </w:r>
    </w:p>
    <w:p>
      <w:pPr>
        <w:ind w:firstLine="640"/>
        <w:rPr>
          <w:color w:val="auto"/>
          <w:sz w:val="32"/>
          <w:szCs w:val="32"/>
          <w:rFonts w:ascii="黑体" w:hAnsi="黑体" w:eastAsia="黑体"/>
        </w:rPr>
      </w:pPr>
      <w:r>
        <w:rPr>
          <w:color w:val="auto"/>
          <w:sz w:val="32"/>
          <w:szCs w:val="32"/>
          <w:rFonts w:ascii="黑体" w:hAnsi="黑体" w:eastAsia="黑体" w:hint="eastAsia"/>
        </w:rPr>
        <w:t>三、关于海南外国语职业学院</w:t>
      </w:r>
      <w:r>
        <w:rPr>
          <w:color w:val="auto"/>
          <w:sz w:val="32"/>
          <w:lang w:eastAsia="zh-CN"/>
          <w:szCs w:val="32"/>
          <w:rFonts w:ascii="黑体" w:hAnsi="黑体" w:eastAsia="黑体" w:hint="eastAsia"/>
        </w:rPr>
        <w:t>单位</w:t>
      </w:r>
      <w:r>
        <w:rPr>
          <w:color w:val="auto"/>
          <w:sz w:val="32"/>
          <w:szCs w:val="32"/>
          <w:rFonts w:ascii="黑体" w:hAnsi="黑体" w:eastAsia="黑体" w:hint="eastAsia"/>
        </w:rPr>
        <w:t>2024年一般公共预算基本支出情况说明</w:t>
      </w:r>
    </w:p>
    <w:p>
      <w:pPr>
        <w:ind w:firstLine="640" w:firstLineChars="200"/>
        <w:rPr>
          <w:color w:val="auto"/>
          <w:sz w:val="32"/>
          <w:szCs w:val="32"/>
          <w:rFonts w:ascii="仿宋_GB2312" w:hAnsi="黑体" w:eastAsia="仿宋_GB2312"/>
        </w:rPr>
      </w:pPr>
      <w:r>
        <w:rPr>
          <w:color w:val="auto"/>
          <w:sz w:val="32"/>
          <w:szCs w:val="32"/>
          <w:rFonts w:ascii="仿宋_GB2312" w:hAnsi="黑体" w:eastAsia="仿宋_GB2312" w:hint="eastAsia"/>
        </w:rPr>
        <w:t>海南外国语职业学院</w:t>
      </w:r>
      <w:r>
        <w:rPr>
          <w:color w:val="auto"/>
          <w:sz w:val="32"/>
          <w:lang w:eastAsia="zh-CN"/>
          <w:szCs w:val="32"/>
          <w:rFonts w:ascii="仿宋_GB2312" w:hAnsi="黑体" w:eastAsia="仿宋_GB2312" w:hint="eastAsia"/>
        </w:rPr>
        <w:t>单位</w:t>
      </w:r>
      <w:r>
        <w:rPr>
          <w:color w:val="auto"/>
          <w:sz w:val="32"/>
          <w:szCs w:val="32"/>
          <w:rFonts w:ascii="仿宋_GB2312" w:hAnsi="黑体" w:eastAsia="仿宋_GB2312" w:hint="eastAsia"/>
        </w:rPr>
        <w:t>2024年一般公共预算基本支出为6,156.04万元，其中：</w:t>
      </w:r>
    </w:p>
    <w:p>
      <w:pPr>
        <w:ind w:firstLine="640" w:firstLineChars="200"/>
        <w:rPr>
          <w:color w:val="auto"/>
          <w:sz w:val="32"/>
          <w:lang w:val="en-US" w:eastAsia="zh-CN"/>
          <w:szCs w:val="32"/>
          <w:rFonts w:ascii="仿宋_GB2312" w:hAnsi="黑体" w:eastAsia="仿宋_GB2312" w:hint="eastAsia"/>
        </w:rPr>
      </w:pPr>
      <w:r>
        <w:rPr>
          <w:color w:val="auto"/>
          <w:sz w:val="32"/>
          <w:lang w:eastAsia="zh-CN"/>
          <w:szCs w:val="32"/>
          <w:rFonts w:ascii="仿宋_GB2312" w:hAnsi="黑体" w:eastAsia="仿宋_GB2312" w:hint="eastAsia"/>
        </w:rPr>
        <w:t>人员经费5,210.54万元，主要包括：基本工资、津贴补贴、绩效工资、机关事业单位基本养老保险缴费、职业年金缴费、职工基本医疗保险缴费、其他社会保障缴费（失业与工伤保险）、住房公积金、医疗费、其他工资福利支出（编外长聘人员工资福利）、邮电费（通讯补贴）、其他交通费用（交通补贴）、生活补助（遗属生活补助）、奖励金。</w:t>
      </w:r>
    </w:p>
    <w:p>
      <w:pPr>
        <w:ind w:firstLine="640" w:firstLineChars="200"/>
        <w:rPr>
          <w:color w:val="auto"/>
          <w:sz w:val="32"/>
          <w:szCs w:val="32"/>
          <w:rFonts w:ascii="仿宋_GB2312" w:hAnsi="黑体" w:eastAsia="仿宋_GB2312"/>
        </w:rPr>
      </w:pPr>
      <w:r>
        <w:rPr>
          <w:color w:val="auto"/>
          <w:sz w:val="32"/>
          <w:lang w:eastAsia="zh-CN"/>
          <w:szCs w:val="32"/>
          <w:rFonts w:ascii="仿宋_GB2312" w:hAnsi="黑体" w:eastAsia="仿宋_GB2312" w:hint="eastAsia"/>
        </w:rPr>
        <w:t>公用经费945.50万元，主要包括：其他社会保障缴费（残疾人就业保障金）、其他工资福利支出（职工探亲旅费）、办公费、印刷费、咨询费、手续费、水费、电费、邮电费（电话费、邮寄费等）、差旅费、因公出国(境)费用、租赁费、会议费、培训费、公务接待费、专用材料费、劳务费、工会经费、公务用车运行维护费、其他交通费用（日常交通费）、其他商品和服务支出、生活补助（伙食补助费）。</w:t>
      </w:r>
    </w:p>
    <w:p>
      <w:pPr>
        <w:ind w:firstLine="640" w:firstLineChars="200"/>
        <w:rPr>
          <w:color w:val="auto"/>
          <w:sz w:val="32"/>
          <w:shd w:val="clear" w:color="auto" w:fill="FFFFFF"/>
          <w:rFonts w:ascii="黑体" w:hAnsi="黑体" w:eastAsia="黑体" w:cs="Times New Roman"/>
        </w:rPr>
      </w:pPr>
      <w:r>
        <w:rPr>
          <w:color w:val="auto"/>
          <w:sz w:val="32"/>
          <w:shd w:val="clear" w:color="auto" w:fill="FFFFFF"/>
          <w:rFonts w:ascii="黑体" w:hAnsi="黑体" w:eastAsia="黑体" w:cs="Times New Roman" w:hint="eastAsia"/>
        </w:rPr>
        <w:t>四、海南外国语职业学院</w:t>
      </w:r>
      <w:r>
        <w:rPr>
          <w:color w:val="auto"/>
          <w:sz w:val="32"/>
          <w:lang w:eastAsia="zh-CN"/>
          <w:shd w:val="clear" w:color="auto" w:fill="FFFFFF"/>
          <w:rFonts w:ascii="黑体" w:hAnsi="黑体" w:eastAsia="黑体" w:cs="Times New Roman" w:hint="eastAsia"/>
        </w:rPr>
        <w:t>单位</w:t>
      </w:r>
      <w:r>
        <w:rPr>
          <w:color w:val="auto"/>
          <w:sz w:val="32"/>
          <w:shd w:val="clear" w:color="auto" w:fill="FFFFFF"/>
          <w:rFonts w:ascii="黑体" w:hAnsi="黑体" w:eastAsia="黑体" w:cs="Times New Roman" w:hint="eastAsia"/>
        </w:rPr>
        <w:t>2024年“三公”经费预算情况说明</w:t>
      </w:r>
    </w:p>
    <w:p>
      <w:pPr>
        <w:ind w:firstLine="640" w:firstLineChars="200"/>
        <w:rPr>
          <w:color w:val="auto"/>
          <w:sz w:val="32"/>
          <w:szCs w:val="32"/>
          <w:rFonts w:ascii="仿宋_GB2312" w:hAnsi="黑体" w:eastAsia="仿宋_GB2312" w:cs="Times New Roman"/>
        </w:rPr>
      </w:pPr>
      <w:r>
        <w:rPr>
          <w:color w:val="auto"/>
          <w:sz w:val="32"/>
          <w:szCs w:val="32"/>
          <w:rFonts w:ascii="仿宋_GB2312" w:hAnsi="黑体" w:eastAsia="仿宋_GB2312" w:hint="eastAsia"/>
        </w:rPr>
        <w:t>（一）海南外国语职业学院</w:t>
      </w:r>
      <w:r>
        <w:rPr>
          <w:color w:val="auto"/>
          <w:sz w:val="32"/>
          <w:lang w:eastAsia="zh-CN"/>
          <w:szCs w:val="32"/>
          <w:rFonts w:ascii="仿宋_GB2312" w:hAnsi="黑体" w:eastAsia="仿宋_GB2312" w:hint="eastAsia"/>
        </w:rPr>
        <w:t>单位</w:t>
      </w:r>
      <w:r>
        <w:rPr>
          <w:color w:val="auto"/>
          <w:sz w:val="32"/>
          <w:szCs w:val="32"/>
          <w:rFonts w:ascii="仿宋_GB2312" w:hAnsi="黑体" w:eastAsia="仿宋_GB2312" w:hint="eastAsia"/>
        </w:rPr>
        <w:t>2024年一般公共预算“三公”经费预算数为53.59万元，其中：</w:t>
      </w:r>
    </w:p>
    <w:p>
      <w:pPr>
        <w:spacing w:line="600" w:lineRule="exact"/>
        <w:ind w:firstLine="630"/>
        <w:rPr>
          <w:color w:val="auto"/>
          <w:sz w:val="32"/>
          <w:shd w:val="clear" w:color="auto" w:fill="FFFFFF"/>
          <w:rFonts w:ascii="Times New Roman" w:hAnsi="Times New Roman" w:eastAsia="仿宋_GB2312" w:hint="eastAsia"/>
        </w:rPr>
      </w:pPr>
      <w:r>
        <w:rPr>
          <w:color w:val="auto"/>
          <w:sz w:val="32"/>
          <w:szCs w:val="32"/>
          <w:rFonts w:ascii="仿宋" w:hAnsi="仿宋" w:eastAsia="仿宋" w:cs="仿宋" w:hint="eastAsia"/>
        </w:rPr>
        <w:t>因公出国（境）经费32.46万元，比上年预算数增加15万元，</w:t>
      </w:r>
      <w:r>
        <w:rPr>
          <w:color w:val="auto"/>
          <w:sz w:val="32"/>
          <w:lang w:eastAsia="zh-CN"/>
          <w:szCs w:val="32"/>
          <w:rFonts w:ascii="仿宋" w:hAnsi="仿宋" w:eastAsia="仿宋" w:cs="仿宋" w:hint="eastAsia"/>
        </w:rPr>
        <w:t>较上年预算增长</w:t>
      </w:r>
      <w:r>
        <w:rPr>
          <w:color w:val="auto"/>
          <w:sz w:val="32"/>
          <w:lang w:val="en-US" w:eastAsia="zh-CN"/>
          <w:szCs w:val="32"/>
          <w:rFonts w:ascii="仿宋" w:hAnsi="仿宋" w:eastAsia="仿宋" w:cs="仿宋" w:hint="eastAsia"/>
        </w:rPr>
        <w:t>85.91%，增长的</w:t>
      </w:r>
      <w:r>
        <w:rPr>
          <w:color w:val="auto"/>
          <w:sz w:val="32"/>
          <w:szCs w:val="32"/>
          <w:rFonts w:ascii="仿宋" w:hAnsi="仿宋" w:eastAsia="仿宋" w:cs="仿宋" w:hint="eastAsia"/>
        </w:rPr>
        <w:t>主要</w:t>
      </w:r>
      <w:r>
        <w:rPr>
          <w:color w:val="auto"/>
          <w:sz w:val="32"/>
          <w:lang w:eastAsia="zh-CN"/>
          <w:szCs w:val="32"/>
          <w:rFonts w:ascii="仿宋" w:hAnsi="仿宋" w:eastAsia="仿宋" w:cs="仿宋" w:hint="eastAsia"/>
        </w:rPr>
        <w:t>原因是</w:t>
      </w:r>
      <w:r>
        <w:rPr>
          <w:color w:val="auto"/>
          <w:sz w:val="32"/>
          <w:lang w:val="en-US" w:eastAsia="zh-CN"/>
          <w:szCs w:val="32"/>
          <w:rFonts w:ascii="仿宋" w:hAnsi="仿宋" w:eastAsia="仿宋" w:cs="仿宋" w:hint="eastAsia"/>
        </w:rPr>
        <w:t>疫情已经放开，</w:t>
      </w:r>
      <w:r>
        <w:rPr>
          <w:color w:val="auto"/>
          <w:sz w:val="32"/>
          <w:szCs w:val="32"/>
          <w:rFonts w:ascii="仿宋" w:hAnsi="仿宋" w:eastAsia="仿宋" w:cs="仿宋" w:hint="eastAsia"/>
        </w:rPr>
        <w:t>为</w:t>
      </w:r>
      <w:r>
        <w:rPr>
          <w:color w:val="auto"/>
          <w:sz w:val="32"/>
          <w:lang w:eastAsia="zh-CN"/>
          <w:szCs w:val="32"/>
          <w:rFonts w:ascii="仿宋" w:hAnsi="仿宋" w:eastAsia="仿宋" w:cs="仿宋" w:hint="eastAsia"/>
        </w:rPr>
        <w:t>了</w:t>
      </w:r>
      <w:r>
        <w:rPr>
          <w:color w:val="auto"/>
          <w:sz w:val="32"/>
          <w:szCs w:val="32"/>
          <w:rFonts w:ascii="仿宋" w:hAnsi="仿宋" w:eastAsia="仿宋" w:cs="仿宋" w:hint="eastAsia"/>
        </w:rPr>
        <w:t>响应省委省政府关于海南自贸港“一本三基四梁八柱”全力推进国际教育创新岛建设要求，我</w:t>
      </w:r>
      <w:r>
        <w:rPr>
          <w:color w:val="auto"/>
          <w:sz w:val="32"/>
          <w:lang w:eastAsia="zh-CN"/>
          <w:szCs w:val="32"/>
          <w:rFonts w:ascii="仿宋" w:hAnsi="仿宋" w:eastAsia="仿宋" w:cs="仿宋" w:hint="eastAsia"/>
        </w:rPr>
        <w:t>校</w:t>
      </w:r>
      <w:r>
        <w:rPr>
          <w:color w:val="auto"/>
          <w:sz w:val="32"/>
          <w:szCs w:val="32"/>
          <w:rFonts w:ascii="仿宋" w:hAnsi="仿宋" w:eastAsia="仿宋" w:cs="仿宋" w:hint="eastAsia"/>
        </w:rPr>
        <w:t>因公团组计划出访国家增多，相对去年增加1个国家。同时，因全球通货膨胀，促使因公出国（境）费用提高。</w:t>
      </w:r>
      <w:r>
        <w:rPr>
          <w:color w:val="auto"/>
          <w:sz w:val="32"/>
          <w:lang w:eastAsia="zh-CN"/>
          <w:szCs w:val="32"/>
          <w:rFonts w:ascii="仿宋" w:hAnsi="仿宋" w:eastAsia="仿宋" w:cs="仿宋" w:hint="eastAsia"/>
        </w:rPr>
        <w:t>我校</w:t>
      </w:r>
      <w:r>
        <w:rPr>
          <w:color w:val="auto"/>
          <w:sz w:val="32"/>
          <w:szCs w:val="32"/>
          <w:rFonts w:ascii="仿宋" w:hAnsi="仿宋" w:eastAsia="仿宋" w:cs="仿宋" w:hint="eastAsia"/>
        </w:rPr>
        <w:t>将继续做好海南自由贸易港所需的教育国际交流活动计划安排，加强因公出国（境）团组的申报和审批，对因公出国（境）的人员、出访计划、资金支出预算安排等方面从严控制。</w:t>
      </w:r>
      <w:r>
        <w:rPr>
          <w:color w:val="auto"/>
          <w:sz w:val="32"/>
          <w:lang w:eastAsia="zh-CN"/>
          <w:szCs w:val="32"/>
          <w:rFonts w:ascii="仿宋" w:hAnsi="仿宋" w:eastAsia="仿宋" w:cs="仿宋" w:hint="eastAsia"/>
        </w:rPr>
        <w:t>我校</w:t>
      </w:r>
      <w:r>
        <w:rPr>
          <w:color w:val="auto"/>
          <w:sz w:val="32"/>
          <w:szCs w:val="32"/>
          <w:rFonts w:ascii="仿宋" w:hAnsi="仿宋" w:eastAsia="仿宋" w:cs="仿宋" w:hint="eastAsia"/>
        </w:rPr>
        <w:t>拟实施的因公出国（境）</w:t>
      </w:r>
      <w:r>
        <w:rPr>
          <w:color w:val="auto"/>
          <w:sz w:val="32"/>
          <w:lang w:eastAsia="zh-CN"/>
          <w:szCs w:val="32"/>
          <w:rFonts w:ascii="仿宋" w:hAnsi="仿宋" w:eastAsia="仿宋" w:cs="仿宋" w:hint="eastAsia"/>
        </w:rPr>
        <w:t>团组</w:t>
      </w:r>
      <w:r>
        <w:rPr>
          <w:color w:val="auto"/>
          <w:sz w:val="32"/>
          <w:lang w:val="en-US" w:eastAsia="zh-CN"/>
          <w:szCs w:val="32"/>
          <w:rFonts w:ascii="仿宋" w:hAnsi="仿宋" w:eastAsia="仿宋" w:cs="仿宋" w:hint="eastAsia"/>
        </w:rPr>
        <w:t>1次，出国（境）4人，出国（境）</w:t>
      </w:r>
      <w:r>
        <w:rPr>
          <w:color w:val="auto"/>
          <w:sz w:val="32"/>
          <w:szCs w:val="32"/>
          <w:rFonts w:ascii="仿宋" w:hAnsi="仿宋" w:eastAsia="仿宋" w:cs="仿宋" w:hint="eastAsia"/>
        </w:rPr>
        <w:t>计划如下：</w:t>
      </w:r>
      <w:r>
        <w:rPr>
          <w:color w:val="auto"/>
          <w:sz w:val="32"/>
          <w:lang w:val="en-US" w:eastAsia="zh-CN"/>
          <w:szCs w:val="32"/>
          <w:rFonts w:ascii="仿宋" w:hAnsi="仿宋" w:eastAsia="仿宋" w:cs="仿宋" w:hint="eastAsia"/>
        </w:rPr>
        <w:t>1.</w:t>
      </w:r>
      <w:r>
        <w:rPr>
          <w:color w:val="auto"/>
          <w:sz w:val="32"/>
          <w:szCs w:val="32"/>
          <w:rFonts w:ascii="仿宋" w:hAnsi="仿宋" w:eastAsia="仿宋" w:cs="仿宋" w:hint="eastAsia"/>
        </w:rPr>
        <w:t>赴西班牙、葡萄牙、德国访问团</w:t>
      </w:r>
      <w:r>
        <w:rPr>
          <w:color w:val="auto"/>
          <w:sz w:val="32"/>
          <w:lang w:eastAsia="zh-CN"/>
          <w:szCs w:val="32"/>
          <w:rFonts w:ascii="仿宋" w:hAnsi="仿宋" w:eastAsia="仿宋" w:cs="仿宋" w:hint="eastAsia"/>
        </w:rPr>
        <w:t>组</w:t>
      </w:r>
      <w:r>
        <w:rPr>
          <w:color w:val="auto"/>
          <w:sz w:val="32"/>
          <w:szCs w:val="32"/>
          <w:rFonts w:ascii="仿宋" w:hAnsi="仿宋" w:eastAsia="仿宋" w:cs="仿宋" w:hint="eastAsia"/>
        </w:rPr>
        <w:t>：目的地是西班牙萨拉曼卡大学、西班牙康普顿斯大学、葡萄牙布拉干萨理工学院、葡萄牙莱利亚理工学院、德国莱比锡大学，汉诺威大学，人数为4人，天数为10天。主要任务：访问相关大学、学院；校际合作签约，提高我校西班牙、葡萄牙、德语学科建设水平；看望</w:t>
      </w:r>
      <w:r>
        <w:rPr>
          <w:color w:val="auto"/>
          <w:sz w:val="32"/>
          <w:lang w:eastAsia="zh-CN"/>
          <w:szCs w:val="32"/>
          <w:rFonts w:ascii="仿宋" w:hAnsi="仿宋" w:eastAsia="仿宋" w:cs="仿宋" w:hint="eastAsia"/>
        </w:rPr>
        <w:t>我校</w:t>
      </w:r>
      <w:r>
        <w:rPr>
          <w:color w:val="auto"/>
          <w:sz w:val="32"/>
          <w:szCs w:val="32"/>
          <w:rFonts w:ascii="仿宋" w:hAnsi="仿宋" w:eastAsia="仿宋" w:cs="仿宋" w:hint="eastAsia"/>
        </w:rPr>
        <w:t>在外留学生。</w:t>
      </w:r>
      <w:r>
        <w:rPr>
          <w:color w:val="auto"/>
          <w:sz w:val="32"/>
          <w:shd w:val="clear" w:color="auto" w:fill="FFFFFF"/>
          <w:rFonts w:ascii="Times New Roman" w:hAnsi="Times New Roman" w:eastAsia="仿宋_GB2312" w:hint="eastAsia"/>
        </w:rPr>
        <w:t>公务用车购置及运行费</w:t>
      </w:r>
      <w:r>
        <w:rPr>
          <w:color w:val="auto"/>
          <w:sz w:val="32"/>
          <w:szCs w:val="32"/>
          <w:rFonts w:ascii="仿宋" w:hAnsi="仿宋" w:eastAsia="仿宋" w:cs="仿宋" w:hint="eastAsia"/>
        </w:rPr>
        <w:t>11.43</w:t>
      </w:r>
      <w:r>
        <w:rPr>
          <w:color w:val="auto"/>
          <w:sz w:val="32"/>
          <w:shd w:val="clear" w:color="auto" w:fill="FFFFFF"/>
          <w:rFonts w:ascii="Times New Roman" w:hAnsi="Times New Roman" w:eastAsia="仿宋_GB2312" w:hint="eastAsia"/>
        </w:rPr>
        <w:t>万元，其中，公务用车购置数为</w:t>
      </w:r>
      <w:r>
        <w:rPr>
          <w:color w:val="auto"/>
          <w:sz w:val="32"/>
          <w:szCs w:val="32"/>
          <w:rFonts w:ascii="仿宋" w:hAnsi="仿宋" w:eastAsia="仿宋" w:cs="仿宋" w:hint="eastAsia"/>
        </w:rPr>
        <w:t>0</w:t>
      </w:r>
      <w:r>
        <w:rPr>
          <w:color w:val="auto"/>
          <w:sz w:val="32"/>
          <w:shd w:val="clear" w:color="auto" w:fill="FFFFFF"/>
          <w:rFonts w:ascii="Times New Roman" w:hAnsi="Times New Roman" w:eastAsia="仿宋_GB2312" w:hint="eastAsia"/>
        </w:rPr>
        <w:t>，未安排公务用车购置费，公务用车保有量为</w:t>
      </w:r>
      <w:r>
        <w:rPr>
          <w:color w:val="auto"/>
          <w:sz w:val="32"/>
          <w:szCs w:val="32"/>
          <w:rFonts w:ascii="仿宋" w:hAnsi="仿宋" w:eastAsia="仿宋" w:cs="仿宋" w:hint="eastAsia"/>
        </w:rPr>
        <w:t>3</w:t>
      </w:r>
      <w:r>
        <w:rPr>
          <w:color w:val="auto"/>
          <w:sz w:val="32"/>
          <w:shd w:val="clear" w:color="auto" w:fill="FFFFFF"/>
          <w:rFonts w:ascii="Times New Roman" w:hAnsi="Times New Roman" w:eastAsia="仿宋_GB2312" w:hint="eastAsia"/>
        </w:rPr>
        <w:t>辆，公务用车运行费</w:t>
      </w:r>
      <w:r>
        <w:rPr>
          <w:color w:val="auto"/>
          <w:sz w:val="32"/>
          <w:szCs w:val="32"/>
          <w:rFonts w:ascii="仿宋" w:hAnsi="仿宋" w:eastAsia="仿宋" w:cs="仿宋" w:hint="eastAsia"/>
        </w:rPr>
        <w:t>11.43</w:t>
      </w:r>
      <w:r>
        <w:rPr>
          <w:color w:val="auto"/>
          <w:sz w:val="32"/>
          <w:shd w:val="clear" w:color="auto" w:fill="FFFFFF"/>
          <w:rFonts w:ascii="Times New Roman" w:hAnsi="Times New Roman" w:eastAsia="仿宋_GB2312" w:hint="eastAsia"/>
        </w:rPr>
        <w:t>万元，与</w:t>
      </w:r>
      <w:r>
        <w:rPr>
          <w:color w:val="auto"/>
          <w:sz w:val="32"/>
          <w:lang w:eastAsia="zh-CN"/>
          <w:shd w:val="clear" w:color="auto" w:fill="FFFFFF"/>
          <w:rFonts w:ascii="Times New Roman" w:hAnsi="Times New Roman" w:eastAsia="仿宋_GB2312" w:hint="eastAsia"/>
        </w:rPr>
        <w:t>上年预算</w:t>
      </w:r>
      <w:r>
        <w:rPr>
          <w:color w:val="auto"/>
          <w:sz w:val="32"/>
          <w:shd w:val="clear" w:color="auto" w:fill="FFFFFF"/>
          <w:rFonts w:ascii="Times New Roman" w:hAnsi="Times New Roman" w:eastAsia="仿宋_GB2312" w:hint="eastAsia"/>
        </w:rPr>
        <w:t>持平。</w:t>
      </w:r>
      <w:r>
        <w:rPr>
          <w:color w:val="auto"/>
          <w:sz w:val="32"/>
          <w:lang w:eastAsia="zh-CN"/>
          <w:shd w:val="clear" w:color="auto" w:fill="FFFFFF"/>
          <w:rFonts w:ascii="Times New Roman" w:hAnsi="Times New Roman" w:eastAsia="仿宋_GB2312" w:hint="eastAsia"/>
        </w:rPr>
        <w:t>我校</w:t>
      </w:r>
      <w:r>
        <w:rPr>
          <w:color w:val="auto"/>
          <w:sz w:val="32"/>
          <w:shd w:val="clear" w:color="auto" w:fill="FFFFFF"/>
          <w:rFonts w:ascii="Times New Roman" w:hAnsi="Times New Roman" w:eastAsia="仿宋_GB2312" w:hint="eastAsia"/>
        </w:rPr>
        <w:t>加强公务用车购置及运行维护的监督管理，公务用车审批规范，控制车辆运行成本。</w:t>
      </w:r>
      <w:r>
        <w:rPr>
          <w:color w:val="auto"/>
          <w:sz w:val="32"/>
          <w:shd w:val="clear" w:color="auto" w:fill="FFFFFF"/>
          <w:rFonts w:ascii="仿宋_GB2312" w:eastAsia="仿宋_GB2312" w:hint="eastAsia"/>
        </w:rPr>
        <w:t>公务接待费</w:t>
      </w:r>
      <w:r>
        <w:rPr>
          <w:color w:val="auto"/>
          <w:sz w:val="32"/>
          <w:szCs w:val="32"/>
          <w:rFonts w:ascii="仿宋" w:hAnsi="仿宋" w:eastAsia="仿宋" w:cs="仿宋" w:hint="eastAsia"/>
        </w:rPr>
        <w:t>9.7</w:t>
      </w:r>
      <w:r>
        <w:rPr>
          <w:color w:val="auto"/>
          <w:sz w:val="32"/>
          <w:shd w:val="clear" w:color="auto" w:fill="FFFFFF"/>
          <w:rFonts w:ascii="仿宋_GB2312" w:eastAsia="仿宋_GB2312" w:hint="eastAsia"/>
        </w:rPr>
        <w:t>万元，与</w:t>
      </w:r>
      <w:r>
        <w:rPr>
          <w:color w:val="auto"/>
          <w:sz w:val="32"/>
          <w:lang w:eastAsia="zh-CN"/>
          <w:shd w:val="clear" w:color="auto" w:fill="FFFFFF"/>
          <w:rFonts w:ascii="仿宋_GB2312" w:eastAsia="仿宋_GB2312" w:hint="eastAsia"/>
        </w:rPr>
        <w:t>上年预算</w:t>
      </w:r>
      <w:r>
        <w:rPr>
          <w:color w:val="auto"/>
          <w:sz w:val="32"/>
          <w:shd w:val="clear" w:color="auto" w:fill="FFFFFF"/>
          <w:rFonts w:ascii="仿宋_GB2312" w:eastAsia="仿宋_GB2312" w:hint="eastAsia"/>
        </w:rPr>
        <w:t>持平。2024年</w:t>
      </w:r>
      <w:r>
        <w:rPr>
          <w:color w:val="auto"/>
          <w:sz w:val="32"/>
          <w:lang w:eastAsia="zh-CN"/>
          <w:shd w:val="clear" w:color="auto" w:fill="FFFFFF"/>
          <w:rFonts w:ascii="仿宋_GB2312" w:eastAsia="仿宋_GB2312" w:hint="eastAsia"/>
        </w:rPr>
        <w:t>我校</w:t>
      </w:r>
      <w:r>
        <w:rPr>
          <w:color w:val="auto"/>
          <w:sz w:val="32"/>
          <w:shd w:val="clear" w:color="auto" w:fill="FFFFFF"/>
          <w:rFonts w:ascii="仿宋_GB2312" w:eastAsia="仿宋_GB2312" w:hint="eastAsia"/>
        </w:rPr>
        <w:t>计划</w:t>
      </w:r>
      <w:r>
        <w:rPr>
          <w:color w:val="auto"/>
          <w:sz w:val="32"/>
          <w:lang w:eastAsia="zh-CN"/>
          <w:shd w:val="clear" w:color="auto" w:fill="FFFFFF"/>
          <w:rFonts w:ascii="仿宋_GB2312" w:eastAsia="仿宋_GB2312" w:hint="eastAsia"/>
        </w:rPr>
        <w:t>接待</w:t>
      </w:r>
      <w:r>
        <w:rPr>
          <w:b w:val="0"/>
          <w:color w:val="auto"/>
          <w:sz w:val="32"/>
          <w:lang w:val="en-US" w:eastAsia="zh-CN"/>
          <w:bCs w:val="0"/>
          <w:shd w:val="clear" w:color="auto" w:fill="FFFFFF"/>
          <w:rFonts w:ascii="仿宋_GB2312" w:eastAsia="仿宋_GB2312" w:hint="eastAsia"/>
        </w:rPr>
        <w:t>145批次，1080人（含</w:t>
      </w:r>
      <w:r>
        <w:rPr>
          <w:b w:val="0"/>
          <w:color w:val="auto"/>
          <w:sz w:val="32"/>
          <w:bCs w:val="0"/>
          <w:shd w:val="clear" w:color="auto" w:fill="FFFFFF"/>
          <w:rFonts w:ascii="仿宋_GB2312" w:eastAsia="仿宋_GB2312" w:hint="eastAsia"/>
        </w:rPr>
        <w:t>国内接待125批次，</w:t>
      </w:r>
      <w:r>
        <w:rPr>
          <w:color w:val="auto"/>
          <w:sz w:val="32"/>
          <w:szCs w:val="32"/>
          <w:rFonts w:ascii="仿宋" w:hAnsi="仿宋" w:eastAsia="仿宋" w:cs="仿宋" w:hint="eastAsia"/>
        </w:rPr>
        <w:t>980</w:t>
      </w:r>
      <w:r>
        <w:rPr>
          <w:b w:val="0"/>
          <w:color w:val="auto"/>
          <w:sz w:val="32"/>
          <w:bCs w:val="0"/>
          <w:shd w:val="clear" w:color="auto" w:fill="FFFFFF"/>
          <w:rFonts w:ascii="仿宋_GB2312" w:eastAsia="仿宋_GB2312" w:hint="eastAsia"/>
        </w:rPr>
        <w:t>人</w:t>
      </w:r>
      <w:r>
        <w:rPr>
          <w:b w:val="0"/>
          <w:color w:val="auto"/>
          <w:sz w:val="32"/>
          <w:lang w:val="en-US" w:eastAsia="zh-CN"/>
          <w:bCs w:val="0"/>
          <w:shd w:val="clear" w:color="auto" w:fill="FFFFFF"/>
          <w:rFonts w:ascii="仿宋_GB2312" w:eastAsia="仿宋_GB2312" w:hint="eastAsia"/>
        </w:rPr>
        <w:t>）</w:t>
      </w:r>
      <w:r>
        <w:rPr>
          <w:b w:val="0"/>
          <w:color w:val="auto"/>
          <w:sz w:val="32"/>
          <w:bCs w:val="0"/>
          <w:shd w:val="clear" w:color="auto" w:fill="FFFFFF"/>
          <w:rFonts w:ascii="仿宋_GB2312" w:eastAsia="仿宋_GB2312" w:hint="eastAsia"/>
        </w:rPr>
        <w:t>，</w:t>
      </w:r>
      <w:r>
        <w:rPr>
          <w:color w:val="auto"/>
          <w:sz w:val="32"/>
          <w:shd w:val="clear" w:color="auto" w:fill="FFFFFF"/>
          <w:rFonts w:ascii="Times New Roman" w:hAnsi="Times New Roman" w:eastAsia="仿宋_GB2312" w:hint="eastAsia"/>
        </w:rPr>
        <w:t>主要用于学院各类学术交流、合作办学等方面的接待支出。</w:t>
      </w:r>
    </w:p>
    <w:p>
      <w:pPr>
        <w:ind w:firstLine="640" w:firstLineChars="200"/>
        <w:rPr>
          <w:u w:val="none"/>
          <w:sz w:val="32"/>
          <w:szCs w:val="32"/>
          <w:rFonts w:ascii="仿宋_GB2312" w:hAnsi="黑体" w:eastAsia="仿宋_GB2312" w:cs="Times New Roman"/>
        </w:rPr>
      </w:pPr>
      <w:r>
        <w:rPr>
          <w:color w:val="auto"/>
          <w:sz w:val="32"/>
          <w:shd w:val="clear" w:color="auto" w:fill="FFFFFF"/>
          <w:rFonts w:ascii="Times New Roman" w:hAnsi="Times New Roman" w:eastAsia="仿宋_GB2312" w:hint="eastAsia"/>
        </w:rPr>
        <w:t>（二）海南外国语职业学院</w:t>
      </w:r>
      <w:r>
        <w:rPr>
          <w:color w:val="auto"/>
          <w:sz w:val="32"/>
          <w:lang w:eastAsia="zh-CN"/>
          <w:shd w:val="clear" w:color="auto" w:fill="FFFFFF"/>
          <w:rFonts w:ascii="Times New Roman" w:hAnsi="Times New Roman" w:eastAsia="仿宋_GB2312" w:hint="eastAsia"/>
        </w:rPr>
        <w:t>单位</w:t>
      </w:r>
      <w:r>
        <w:rPr>
          <w:color w:val="auto"/>
          <w:sz w:val="32"/>
          <w:szCs w:val="32"/>
          <w:rFonts w:ascii="仿宋" w:hAnsi="仿宋" w:eastAsia="仿宋" w:cs="仿宋" w:hint="eastAsia"/>
        </w:rPr>
        <w:t>2024</w:t>
      </w:r>
      <w:r>
        <w:rPr>
          <w:color w:val="auto"/>
          <w:sz w:val="32"/>
          <w:shd w:val="clear" w:color="auto" w:fill="FFFFFF"/>
          <w:rFonts w:ascii="Times New Roman" w:hAnsi="Times New Roman" w:eastAsia="仿宋_GB2312" w:hint="eastAsia"/>
        </w:rPr>
        <w:t>年政府性基金预算“三</w:t>
      </w:r>
      <w:r>
        <w:rPr>
          <w:color w:val="auto"/>
          <w:sz w:val="32"/>
          <w:lang w:eastAsia="zh-CN"/>
          <w:shd w:val="clear" w:color="auto" w:fill="FFFFFF"/>
          <w:rFonts w:ascii="Times New Roman" w:hAnsi="Times New Roman" w:eastAsia="仿宋_GB2312" w:hint="eastAsia"/>
        </w:rPr>
        <w:t>公”经费预算数为</w:t>
      </w:r>
      <w:r>
        <w:rPr>
          <w:color w:val="auto"/>
          <w:sz w:val="32"/>
          <w:lang w:eastAsia="zh-CN"/>
          <w:szCs w:val="32"/>
          <w:rFonts w:ascii="仿宋" w:hAnsi="仿宋" w:eastAsia="仿宋" w:cs="仿宋" w:hint="eastAsia"/>
        </w:rPr>
        <w:t>0</w:t>
      </w:r>
      <w:r>
        <w:rPr>
          <w:color w:val="auto"/>
          <w:sz w:val="32"/>
          <w:lang w:eastAsia="zh-CN"/>
          <w:shd w:val="clear" w:color="auto" w:fill="FFFFFF"/>
          <w:rFonts w:ascii="Times New Roman" w:hAnsi="Times New Roman" w:eastAsia="仿宋_GB2312" w:hint="eastAsia"/>
        </w:rPr>
        <w:t>万元</w:t>
      </w:r>
      <w:r>
        <w:rPr>
          <w:u w:val="none"/>
          <w:sz w:val="32"/>
          <w:szCs w:val="32"/>
          <w:rFonts w:ascii="仿宋_GB2312" w:hAnsi="黑体" w:eastAsia="仿宋_GB2312" w:hint="eastAsia"/>
        </w:rPr>
        <w:t>，其中：</w:t>
      </w:r>
    </w:p>
    <w:p>
      <w:pPr>
        <w:rPr>
          <w:color w:val="auto"/>
          <w:sz w:val="32"/>
          <w:lang w:eastAsia="zh-CN"/>
          <w:shd w:val="clear" w:color="auto" w:fill="FFFFFF"/>
          <w:rFonts w:ascii="Times New Roman" w:hAnsi="Times New Roman" w:eastAsia="仿宋_GB2312" w:hint="eastAsia"/>
        </w:rPr>
      </w:pPr>
      <w:r>
        <w:rPr>
          <w:u w:val="none"/>
          <w:sz w:val="32"/>
          <w:shd w:val="clear" w:color="auto" w:fill="FFFFFF"/>
          <w:rFonts w:ascii="Times New Roman" w:hAnsi="Times New Roman" w:eastAsia="仿宋_GB2312" w:cs="Times New Roman"/>
        </w:rPr>
        <w:t xml:space="preserve">    因公出国（境）经费</w:t>
      </w:r>
      <w:r>
        <w:rPr>
          <w:u w:val="none"/>
          <w:sz w:val="32"/>
          <w:lang w:val="en-US" w:eastAsia="zh-CN"/>
          <w:shd w:val="clear" w:color="auto" w:fill="FFFFFF"/>
          <w:rFonts w:ascii="Times New Roman" w:hAnsi="Times New Roman" w:eastAsia="仿宋_GB2312" w:cs="Times New Roman" w:hint="eastAsia"/>
        </w:rPr>
        <w:t>0</w:t>
      </w:r>
      <w:r>
        <w:rPr>
          <w:u w:val="none"/>
          <w:sz w:val="32"/>
          <w:szCs w:val="32"/>
          <w:rFonts w:ascii="仿宋_GB2312" w:hAnsi="黑体" w:eastAsia="仿宋_GB2312" w:hint="eastAsia"/>
        </w:rPr>
        <w:t>万元</w:t>
      </w:r>
      <w:r>
        <w:rPr>
          <w:u w:val="none"/>
          <w:sz w:val="32"/>
          <w:shd w:val="clear" w:color="auto" w:fill="FFFFFF"/>
          <w:rFonts w:ascii="Times New Roman" w:hAnsi="Times New Roman" w:eastAsia="仿宋_GB2312" w:cs="Times New Roman"/>
        </w:rPr>
        <w:t>，与</w:t>
      </w:r>
      <w:r>
        <w:rPr>
          <w:u w:val="none"/>
          <w:sz w:val="32"/>
          <w:shd w:val="clear" w:color="auto" w:fill="FFFFFF"/>
          <w:rFonts w:ascii="Times New Roman" w:hAnsi="Times New Roman" w:eastAsia="仿宋_GB2312" w:cs="Times New Roman" w:hint="eastAsia"/>
        </w:rPr>
        <w:t>上</w:t>
      </w:r>
      <w:r>
        <w:rPr>
          <w:u w:val="none"/>
          <w:sz w:val="32"/>
          <w:shd w:val="clear" w:color="auto" w:fill="FFFFFF"/>
          <w:rFonts w:ascii="Times New Roman" w:hAnsi="Times New Roman" w:eastAsia="仿宋_GB2312" w:cs="Times New Roman"/>
        </w:rPr>
        <w:t>年预算持平</w:t>
      </w:r>
      <w:r>
        <w:rPr>
          <w:u w:val="none"/>
          <w:sz w:val="32"/>
          <w:shd w:val="clear" w:color="auto" w:fill="FFFFFF"/>
          <w:rFonts w:ascii="Times New Roman" w:hAnsi="Times New Roman" w:eastAsia="仿宋_GB2312" w:cs="Times New Roman" w:hint="eastAsia"/>
        </w:rPr>
        <w:t>。</w:t>
      </w:r>
      <w:r>
        <w:rPr>
          <w:u w:val="none"/>
          <w:sz w:val="32"/>
          <w:lang w:val="en-US" w:eastAsia="zh-CN"/>
          <w:shd w:val="clear" w:color="auto" w:fill="FFFFFF"/>
          <w:rFonts w:ascii="Times New Roman" w:hAnsi="Times New Roman" w:eastAsia="仿宋_GB2312" w:cs="Times New Roman" w:hint="eastAsia"/>
        </w:rPr>
        <w:t>无</w:t>
      </w:r>
      <w:r>
        <w:rPr>
          <w:u w:val="none"/>
          <w:sz w:val="32"/>
          <w:shd w:val="clear" w:color="auto" w:fill="FFFFFF"/>
          <w:rFonts w:ascii="Times New Roman" w:hAnsi="Times New Roman" w:eastAsia="仿宋_GB2312" w:cs="Times New Roman"/>
        </w:rPr>
        <w:t>安排</w:t>
      </w:r>
      <w:r>
        <w:rPr>
          <w:u w:val="none"/>
          <w:sz w:val="32"/>
          <w:lang w:val="en-US" w:eastAsia="zh-CN"/>
          <w:shd w:val="clear" w:color="auto" w:fill="FFFFFF"/>
          <w:rFonts w:ascii="Times New Roman" w:hAnsi="Times New Roman" w:eastAsia="仿宋_GB2312" w:cs="Times New Roman" w:hint="eastAsia"/>
        </w:rPr>
        <w:t>2024</w:t>
      </w:r>
      <w:r>
        <w:rPr>
          <w:u w:val="none"/>
          <w:sz w:val="32"/>
          <w:shd w:val="clear" w:color="auto" w:fill="FFFFFF"/>
          <w:rFonts w:ascii="Times New Roman" w:hAnsi="Times New Roman" w:eastAsia="仿宋_GB2312" w:cs="Times New Roman"/>
        </w:rPr>
        <w:t>年出国计划，拟安排出国（境）组</w:t>
      </w:r>
      <w:r>
        <w:rPr>
          <w:u w:val="none"/>
          <w:sz w:val="32"/>
          <w:lang w:val="en-US" w:eastAsia="zh-CN"/>
          <w:shd w:val="clear" w:color="auto" w:fill="FFFFFF"/>
          <w:rFonts w:ascii="Times New Roman" w:hAnsi="Times New Roman" w:eastAsia="仿宋_GB2312" w:cs="Times New Roman" w:hint="eastAsia"/>
        </w:rPr>
        <w:t>0</w:t>
      </w:r>
      <w:r>
        <w:rPr>
          <w:u w:val="none"/>
          <w:sz w:val="32"/>
          <w:shd w:val="clear" w:color="auto" w:fill="FFFFFF"/>
          <w:rFonts w:ascii="Times New Roman" w:hAnsi="Times New Roman" w:eastAsia="仿宋_GB2312" w:cs="Times New Roman"/>
        </w:rPr>
        <w:t>次，出国（境）</w:t>
      </w:r>
      <w:r>
        <w:rPr>
          <w:u w:val="none"/>
          <w:sz w:val="32"/>
          <w:lang w:val="en-US" w:eastAsia="zh-CN"/>
          <w:shd w:val="clear" w:color="auto" w:fill="FFFFFF"/>
          <w:rFonts w:ascii="Times New Roman" w:hAnsi="Times New Roman" w:eastAsia="仿宋_GB2312" w:cs="Times New Roman" w:hint="eastAsia"/>
        </w:rPr>
        <w:t>0</w:t>
      </w:r>
      <w:r>
        <w:rPr>
          <w:u w:val="none"/>
          <w:sz w:val="32"/>
          <w:shd w:val="clear" w:color="auto" w:fill="FFFFFF"/>
          <w:rFonts w:ascii="Times New Roman" w:hAnsi="Times New Roman" w:eastAsia="仿宋_GB2312" w:cs="Times New Roman"/>
        </w:rPr>
        <w:t>人。出国（境）团组主要包括：1.</w:t>
      </w:r>
      <w:r>
        <w:rPr>
          <w:u w:val="none"/>
          <w:sz w:val="32"/>
          <w:lang w:val="en-US" w:eastAsia="zh-CN"/>
          <w:shd w:val="clear" w:color="auto" w:fill="FFFFFF"/>
          <w:rFonts w:ascii="Times New Roman" w:hAnsi="Times New Roman" w:eastAsia="仿宋_GB2312" w:cs="Times New Roman" w:hint="eastAsia"/>
        </w:rPr>
        <w:t>无</w:t>
      </w:r>
      <w:r>
        <w:rPr>
          <w:u w:val="none"/>
          <w:sz w:val="32"/>
          <w:shd w:val="clear" w:color="auto" w:fill="FFFFFF"/>
          <w:rFonts w:ascii="Times New Roman" w:hAnsi="Times New Roman" w:eastAsia="仿宋_GB2312" w:cs="Times New Roman"/>
        </w:rPr>
        <w:t>团组：目的地为</w:t>
      </w:r>
      <w:r>
        <w:rPr>
          <w:u w:val="none"/>
          <w:sz w:val="32"/>
          <w:lang w:val="en-US" w:eastAsia="zh-CN"/>
          <w:shd w:val="clear" w:color="auto" w:fill="FFFFFF"/>
          <w:rFonts w:ascii="Times New Roman" w:hAnsi="Times New Roman" w:eastAsia="仿宋_GB2312" w:cs="Times New Roman" w:hint="eastAsia"/>
        </w:rPr>
        <w:t>无</w:t>
      </w:r>
      <w:r>
        <w:rPr>
          <w:u w:val="none"/>
          <w:sz w:val="32"/>
          <w:shd w:val="clear" w:color="auto" w:fill="FFFFFF"/>
          <w:rFonts w:ascii="Times New Roman" w:hAnsi="Times New Roman" w:eastAsia="仿宋_GB2312" w:cs="Times New Roman"/>
        </w:rPr>
        <w:t>，人数为</w:t>
      </w:r>
      <w:r>
        <w:rPr>
          <w:u w:val="none"/>
          <w:sz w:val="32"/>
          <w:lang w:val="en-US" w:eastAsia="zh-CN"/>
          <w:shd w:val="clear" w:color="auto" w:fill="FFFFFF"/>
          <w:rFonts w:ascii="Times New Roman" w:hAnsi="Times New Roman" w:eastAsia="仿宋_GB2312" w:cs="Times New Roman" w:hint="eastAsia"/>
        </w:rPr>
        <w:t>0</w:t>
      </w:r>
      <w:r>
        <w:rPr>
          <w:u w:val="none"/>
          <w:sz w:val="32"/>
          <w:shd w:val="clear" w:color="auto" w:fill="FFFFFF"/>
          <w:rFonts w:ascii="Times New Roman" w:hAnsi="Times New Roman" w:eastAsia="仿宋_GB2312" w:cs="Times New Roman"/>
        </w:rPr>
        <w:t>人，天数为</w:t>
      </w:r>
      <w:r>
        <w:rPr>
          <w:u w:val="none"/>
          <w:sz w:val="32"/>
          <w:lang w:val="en-US" w:eastAsia="zh-CN"/>
          <w:shd w:val="clear" w:color="auto" w:fill="FFFFFF"/>
          <w:rFonts w:ascii="Times New Roman" w:hAnsi="Times New Roman" w:eastAsia="仿宋_GB2312" w:cs="Times New Roman" w:hint="eastAsia"/>
        </w:rPr>
        <w:t>0</w:t>
      </w:r>
      <w:r>
        <w:rPr>
          <w:u w:val="none"/>
          <w:sz w:val="32"/>
          <w:shd w:val="clear" w:color="auto" w:fill="FFFFFF"/>
          <w:rFonts w:ascii="Times New Roman" w:hAnsi="Times New Roman" w:eastAsia="仿宋_GB2312" w:cs="Times New Roman"/>
        </w:rPr>
        <w:t>天，主要任务为</w:t>
      </w:r>
      <w:r>
        <w:rPr>
          <w:u w:val="none"/>
          <w:sz w:val="32"/>
          <w:lang w:val="en-US" w:eastAsia="zh-CN"/>
          <w:shd w:val="clear" w:color="auto" w:fill="FFFFFF"/>
          <w:rFonts w:ascii="Times New Roman" w:hAnsi="Times New Roman" w:eastAsia="仿宋_GB2312" w:cs="Times New Roman" w:hint="eastAsia"/>
        </w:rPr>
        <w:t>无</w:t>
      </w:r>
      <w:r>
        <w:rPr>
          <w:u w:val="none"/>
          <w:sz w:val="32"/>
          <w:lang w:eastAsia="zh-CN"/>
          <w:shd w:val="clear" w:color="auto" w:fill="FFFFFF"/>
          <w:rFonts w:ascii="Times New Roman" w:hAnsi="Times New Roman" w:eastAsia="仿宋_GB2312" w:cs="Times New Roman" w:hint="eastAsia"/>
        </w:rPr>
        <w:t>。</w:t>
      </w:r>
      <w:r>
        <w:rPr>
          <w:u w:val="none"/>
          <w:sz w:val="32"/>
          <w:shd w:val="clear" w:color="auto" w:fill="FFFFFF"/>
          <w:rFonts w:ascii="Times New Roman" w:hAnsi="Times New Roman" w:eastAsia="仿宋_GB2312" w:cs="Times New Roman"/>
        </w:rPr>
        <w:t>公务用车购置及运行费</w:t>
      </w:r>
      <w:r>
        <w:rPr>
          <w:u w:val="none"/>
          <w:sz w:val="32"/>
          <w:lang w:val="en-US" w:eastAsia="zh-CN"/>
          <w:shd w:val="clear" w:color="auto" w:fill="FFFFFF"/>
          <w:rFonts w:ascii="Times New Roman" w:hAnsi="Times New Roman" w:eastAsia="仿宋_GB2312" w:cs="Times New Roman" w:hint="eastAsia"/>
        </w:rPr>
        <w:t>0</w:t>
      </w:r>
      <w:r>
        <w:rPr>
          <w:u w:val="none"/>
          <w:sz w:val="32"/>
          <w:szCs w:val="32"/>
          <w:rFonts w:ascii="仿宋_GB2312" w:hAnsi="黑体" w:eastAsia="仿宋_GB2312" w:hint="eastAsia"/>
        </w:rPr>
        <w:t>万元（其中，</w:t>
      </w:r>
      <w:r>
        <w:rPr>
          <w:u w:val="none"/>
          <w:sz w:val="32"/>
          <w:shd w:val="clear" w:color="auto" w:fill="FFFFFF"/>
          <w:rFonts w:ascii="Times New Roman" w:hAnsi="Times New Roman" w:eastAsia="仿宋_GB2312" w:cs="Times New Roman"/>
        </w:rPr>
        <w:t>公务用车购置</w:t>
      </w:r>
      <w:r>
        <w:rPr>
          <w:u w:val="none"/>
          <w:sz w:val="32"/>
          <w:shd w:val="clear" w:color="auto" w:fill="FFFFFF"/>
          <w:rFonts w:ascii="Times New Roman" w:hAnsi="Times New Roman" w:eastAsia="仿宋_GB2312" w:cs="Times New Roman" w:hint="eastAsia"/>
        </w:rPr>
        <w:t>费</w:t>
      </w:r>
      <w:r>
        <w:rPr>
          <w:u w:val="none"/>
          <w:sz w:val="32"/>
          <w:lang w:val="en-US" w:eastAsia="zh-CN"/>
          <w:shd w:val="clear" w:color="auto" w:fill="FFFFFF"/>
          <w:rFonts w:ascii="Times New Roman" w:hAnsi="Times New Roman" w:eastAsia="仿宋_GB2312" w:cs="Times New Roman" w:hint="eastAsia"/>
        </w:rPr>
        <w:t>0</w:t>
      </w:r>
      <w:r>
        <w:rPr>
          <w:u w:val="none"/>
          <w:sz w:val="32"/>
          <w:szCs w:val="32"/>
          <w:rFonts w:ascii="仿宋_GB2312" w:hAnsi="黑体" w:eastAsia="仿宋_GB2312" w:hint="eastAsia"/>
        </w:rPr>
        <w:t>万元</w:t>
      </w:r>
      <w:r>
        <w:rPr>
          <w:u w:val="none"/>
          <w:sz w:val="32"/>
          <w:shd w:val="clear" w:color="auto" w:fill="FFFFFF"/>
          <w:rFonts w:ascii="Times New Roman" w:hAnsi="Times New Roman" w:eastAsia="仿宋_GB2312" w:cs="Times New Roman" w:hint="eastAsia"/>
        </w:rPr>
        <w:t>，公务用车</w:t>
      </w:r>
      <w:r>
        <w:rPr>
          <w:u w:val="none"/>
          <w:sz w:val="32"/>
          <w:shd w:val="clear" w:color="auto" w:fill="FFFFFF"/>
          <w:rFonts w:ascii="Times New Roman" w:hAnsi="Times New Roman" w:eastAsia="仿宋_GB2312" w:cs="Times New Roman"/>
        </w:rPr>
        <w:t>运行费</w:t>
      </w:r>
      <w:r>
        <w:rPr>
          <w:u w:val="none"/>
          <w:sz w:val="32"/>
          <w:lang w:val="en-US" w:eastAsia="zh-CN"/>
          <w:shd w:val="clear" w:color="auto" w:fill="FFFFFF"/>
          <w:rFonts w:ascii="Times New Roman" w:hAnsi="Times New Roman" w:eastAsia="仿宋_GB2312" w:cs="Times New Roman" w:hint="eastAsia"/>
        </w:rPr>
        <w:t>0</w:t>
      </w:r>
      <w:r>
        <w:rPr>
          <w:u w:val="none"/>
          <w:sz w:val="32"/>
          <w:szCs w:val="32"/>
          <w:rFonts w:ascii="仿宋_GB2312" w:hAnsi="黑体" w:eastAsia="仿宋_GB2312" w:hint="eastAsia"/>
        </w:rPr>
        <w:t>万元）</w:t>
      </w:r>
      <w:r>
        <w:rPr>
          <w:u w:val="none"/>
          <w:sz w:val="32"/>
          <w:shd w:val="clear" w:color="auto" w:fill="FFFFFF"/>
          <w:rFonts w:ascii="Times New Roman" w:hAnsi="Times New Roman" w:eastAsia="仿宋_GB2312" w:cs="Times New Roman"/>
        </w:rPr>
        <w:t>，与</w:t>
      </w:r>
      <w:r>
        <w:rPr>
          <w:u w:val="none"/>
          <w:sz w:val="32"/>
          <w:shd w:val="clear" w:color="auto" w:fill="FFFFFF"/>
          <w:rFonts w:ascii="Times New Roman" w:hAnsi="Times New Roman" w:eastAsia="仿宋_GB2312" w:cs="Times New Roman" w:hint="eastAsia"/>
        </w:rPr>
        <w:t>上</w:t>
      </w:r>
      <w:r>
        <w:rPr>
          <w:u w:val="none"/>
          <w:sz w:val="32"/>
          <w:shd w:val="clear" w:color="auto" w:fill="FFFFFF"/>
          <w:rFonts w:ascii="Times New Roman" w:hAnsi="Times New Roman" w:eastAsia="仿宋_GB2312" w:cs="Times New Roman"/>
        </w:rPr>
        <w:t>年预算持平</w:t>
      </w:r>
      <w:r>
        <w:rPr>
          <w:u w:val="none"/>
          <w:sz w:val="32"/>
          <w:shd w:val="clear" w:color="auto" w:fill="FFFFFF"/>
          <w:rFonts w:ascii="Times New Roman" w:hAnsi="Times New Roman" w:eastAsia="仿宋_GB2312" w:cs="Times New Roman" w:hint="eastAsia"/>
        </w:rPr>
        <w:t>；公务车保有量</w:t>
      </w:r>
      <w:r>
        <w:rPr>
          <w:u w:val="none"/>
          <w:sz w:val="32"/>
          <w:lang w:val="en-US" w:eastAsia="zh-CN"/>
          <w:shd w:val="clear" w:color="auto" w:fill="FFFFFF"/>
          <w:rFonts w:ascii="Times New Roman" w:hAnsi="Times New Roman" w:eastAsia="仿宋_GB2312" w:cs="Times New Roman" w:hint="eastAsia"/>
        </w:rPr>
        <w:t>0</w:t>
      </w:r>
      <w:r>
        <w:rPr>
          <w:u w:val="none"/>
          <w:sz w:val="32"/>
          <w:szCs w:val="32"/>
          <w:rFonts w:ascii="仿宋_GB2312" w:hAnsi="黑体" w:eastAsia="仿宋_GB2312" w:cs="仿宋_GB2312" w:hint="eastAsia"/>
        </w:rPr>
        <w:t>辆，计划购置</w:t>
      </w:r>
      <w:r>
        <w:rPr>
          <w:u w:val="none"/>
          <w:sz w:val="32"/>
          <w:lang w:val="en-US" w:eastAsia="zh-CN"/>
          <w:szCs w:val="32"/>
          <w:rFonts w:ascii="仿宋_GB2312" w:hAnsi="黑体" w:eastAsia="仿宋_GB2312" w:cs="仿宋_GB2312" w:hint="eastAsia"/>
        </w:rPr>
        <w:t>0</w:t>
      </w:r>
      <w:r>
        <w:rPr>
          <w:u w:val="none"/>
          <w:sz w:val="32"/>
          <w:szCs w:val="32"/>
          <w:rFonts w:ascii="仿宋_GB2312" w:hAnsi="黑体" w:eastAsia="仿宋_GB2312" w:cs="仿宋_GB2312" w:hint="eastAsia"/>
        </w:rPr>
        <w:t>辆</w:t>
      </w:r>
      <w:r>
        <w:rPr>
          <w:u w:val="none"/>
          <w:sz w:val="32"/>
          <w:shd w:val="clear" w:color="auto" w:fill="FFFFFF"/>
          <w:rFonts w:ascii="Times New Roman" w:hAnsi="Times New Roman" w:eastAsia="仿宋_GB2312" w:cs="Times New Roman" w:hint="eastAsia"/>
        </w:rPr>
        <w:t>。</w:t>
      </w:r>
      <w:r>
        <w:rPr>
          <w:u w:val="none"/>
          <w:sz w:val="32"/>
          <w:szCs w:val="32"/>
          <w:rFonts w:ascii="仿宋_GB2312" w:hAnsi="黑体" w:eastAsia="仿宋_GB2312" w:cs="Times New Roman"/>
        </w:rPr>
        <w:t>公务接待费</w:t>
      </w:r>
      <w:r>
        <w:rPr>
          <w:u w:val="none"/>
          <w:sz w:val="32"/>
          <w:lang w:val="en-US" w:eastAsia="zh-CN"/>
          <w:szCs w:val="32"/>
          <w:rFonts w:ascii="仿宋_GB2312" w:hAnsi="黑体" w:eastAsia="仿宋_GB2312" w:cs="Times New Roman" w:hint="eastAsia"/>
        </w:rPr>
        <w:t>0</w:t>
      </w:r>
      <w:r>
        <w:rPr>
          <w:u w:val="none"/>
          <w:sz w:val="32"/>
          <w:shd w:val="clear" w:color="auto" w:fill="FFFFFF"/>
          <w:rFonts w:ascii="Times New Roman" w:hAnsi="Times New Roman" w:eastAsia="仿宋_GB2312" w:cs="Times New Roman"/>
        </w:rPr>
        <w:t>万元，与</w:t>
      </w:r>
      <w:r>
        <w:rPr>
          <w:u w:val="none"/>
          <w:sz w:val="32"/>
          <w:shd w:val="clear" w:color="auto" w:fill="FFFFFF"/>
          <w:rFonts w:ascii="Times New Roman" w:hAnsi="Times New Roman" w:eastAsia="仿宋_GB2312" w:cs="Times New Roman" w:hint="eastAsia"/>
        </w:rPr>
        <w:t>上</w:t>
      </w:r>
      <w:r>
        <w:rPr>
          <w:u w:val="none"/>
          <w:sz w:val="32"/>
          <w:shd w:val="clear" w:color="auto" w:fill="FFFFFF"/>
          <w:rFonts w:ascii="Times New Roman" w:hAnsi="Times New Roman" w:eastAsia="仿宋_GB2312" w:cs="Times New Roman"/>
        </w:rPr>
        <w:t>年预算持平</w:t>
      </w:r>
      <w:r>
        <w:rPr>
          <w:u w:val="none"/>
          <w:sz w:val="32"/>
          <w:lang w:eastAsia="zh-CN"/>
          <w:shd w:val="clear" w:color="auto" w:fill="FFFFFF"/>
          <w:rFonts w:ascii="Times New Roman" w:hAnsi="Times New Roman" w:eastAsia="仿宋_GB2312" w:cs="Times New Roman" w:hint="eastAsia"/>
        </w:rPr>
        <w:t>，</w:t>
      </w:r>
      <w:r>
        <w:rPr>
          <w:u w:val="none"/>
          <w:sz w:val="32"/>
          <w:shd w:val="clear" w:color="auto" w:fill="FFFFFF"/>
          <w:rFonts w:ascii="Times New Roman" w:hAnsi="Times New Roman" w:eastAsia="仿宋_GB2312" w:cs="Times New Roman" w:hint="eastAsia"/>
        </w:rPr>
        <w:t>计划接待</w:t>
      </w:r>
      <w:r>
        <w:rPr>
          <w:u w:val="none"/>
          <w:sz w:val="32"/>
          <w:lang w:val="en-US" w:eastAsia="zh-CN"/>
          <w:shd w:val="clear" w:color="auto" w:fill="FFFFFF"/>
          <w:rFonts w:ascii="Times New Roman" w:hAnsi="Times New Roman" w:eastAsia="仿宋_GB2312" w:cs="Times New Roman" w:hint="eastAsia"/>
        </w:rPr>
        <w:t>0</w:t>
      </w:r>
      <w:r>
        <w:rPr>
          <w:u w:val="none"/>
          <w:sz w:val="32"/>
          <w:szCs w:val="32"/>
          <w:rFonts w:ascii="仿宋_GB2312" w:hAnsi="黑体" w:eastAsia="仿宋_GB2312" w:cs="仿宋_GB2312" w:hint="eastAsia"/>
        </w:rPr>
        <w:t>批</w:t>
      </w:r>
      <w:r>
        <w:rPr>
          <w:u w:val="none"/>
          <w:sz w:val="32"/>
          <w:lang w:val="en-US" w:eastAsia="zh-CN"/>
          <w:szCs w:val="32"/>
          <w:rFonts w:ascii="仿宋_GB2312" w:hAnsi="黑体" w:eastAsia="仿宋_GB2312" w:cs="仿宋_GB2312" w:hint="eastAsia"/>
        </w:rPr>
        <w:t>0</w:t>
      </w:r>
      <w:r>
        <w:rPr>
          <w:u w:val="none"/>
          <w:sz w:val="32"/>
          <w:szCs w:val="32"/>
          <w:rFonts w:ascii="仿宋_GB2312" w:hAnsi="黑体" w:eastAsia="仿宋_GB2312" w:cs="仿宋_GB2312" w:hint="eastAsia"/>
        </w:rPr>
        <w:t>人</w:t>
      </w:r>
      <w:r>
        <w:rPr>
          <w:color w:val="auto"/>
          <w:sz w:val="32"/>
          <w:lang w:eastAsia="zh-CN"/>
          <w:shd w:val="clear" w:color="auto" w:fill="FFFFFF"/>
          <w:rFonts w:ascii="Times New Roman" w:hAnsi="Times New Roman" w:eastAsia="仿宋_GB2312" w:hint="eastAsia"/>
        </w:rPr>
        <w:t>。</w:t>
      </w:r>
    </w:p>
    <w:p>
      <w:pPr>
        <w:spacing w:line="600" w:lineRule="exact"/>
        <w:ind w:firstLine="640" w:firstLineChars="200"/>
        <w:rPr>
          <w:color w:val="auto"/>
          <w:sz w:val="32"/>
          <w:shd w:val="clear" w:color="auto" w:fill="FFFFFF"/>
          <w:rFonts w:ascii="黑体" w:hAnsi="黑体" w:eastAsia="黑体" w:cs="Times New Roman"/>
        </w:rPr>
      </w:pPr>
      <w:r>
        <w:rPr>
          <w:color w:val="auto"/>
          <w:sz w:val="32"/>
          <w:lang w:eastAsia="zh-CN"/>
          <w:shd w:val="clear" w:color="auto" w:fill="FFFFFF"/>
          <w:rFonts w:ascii="黑体" w:hAnsi="黑体" w:eastAsia="黑体" w:cs="Times New Roman" w:hint="eastAsia"/>
        </w:rPr>
        <w:t>五、关于海南外国语职业学院单位2024年政府性基金预算当</w:t>
      </w:r>
      <w:r>
        <w:rPr>
          <w:color w:val="auto"/>
          <w:sz w:val="32"/>
          <w:shd w:val="clear" w:color="auto" w:fill="FFFFFF"/>
          <w:rFonts w:ascii="黑体" w:hAnsi="黑体" w:eastAsia="黑体" w:cs="Times New Roman" w:hint="eastAsia"/>
        </w:rPr>
        <w:t>年拨款情况说明</w:t>
      </w:r>
    </w:p>
    <w:p>
      <w:pPr>
        <w:jc w:val="left"/>
        <w:ind w:firstLine="640"/>
        <w:rPr>
          <w:u w:val="none"/>
          <w:color w:val="000000" w:themeColor="text1"/>
          <w:sz w:val="32"/>
          <w:szCs w:val="32"/>
          <w:rFonts w:ascii="楷体" w:hAnsi="楷体" w:eastAsia="楷体"/>
        </w:rPr>
      </w:pPr>
      <w:r>
        <w:rPr>
          <w:u w:val="none"/>
          <w:color w:val="000000" w:themeColor="text1"/>
          <w:sz w:val="32"/>
          <w:szCs w:val="32"/>
          <w:rFonts w:ascii="楷体" w:hAnsi="楷体" w:eastAsia="楷体" w:hint="eastAsia"/>
        </w:rPr>
        <w:t>（一）政府性基金预算当年规模变化情况</w:t>
      </w:r>
    </w:p>
    <w:p>
      <w:pPr>
        <w:ind w:firstLine="640" w:firstLineChars="200"/>
        <w:rPr>
          <w:u w:val="none"/>
          <w:color w:val="000000" w:themeColor="text1"/>
          <w:sz w:val="32"/>
          <w:szCs w:val="32"/>
          <w:rFonts w:ascii="仿宋_GB2312" w:hAnsi="黑体" w:eastAsia="仿宋_GB2312"/>
        </w:rPr>
      </w:pPr>
      <w:r>
        <w:rPr>
          <w:color w:val="auto"/>
          <w:sz w:val="32"/>
          <w:shd w:val="clear" w:color="auto" w:fill="FFFFFF"/>
          <w:rFonts w:ascii="Times New Roman" w:hAnsi="Times New Roman" w:eastAsia="仿宋_GB2312" w:hint="eastAsia"/>
        </w:rPr>
        <w:t>海南外国语职业学院</w:t>
      </w:r>
      <w:r>
        <w:rPr>
          <w:color w:val="auto"/>
          <w:sz w:val="32"/>
          <w:lang w:eastAsia="zh-CN"/>
          <w:shd w:val="clear" w:color="auto" w:fill="FFFFFF"/>
          <w:rFonts w:ascii="Times New Roman" w:hAnsi="Times New Roman" w:eastAsia="仿宋_GB2312" w:hint="eastAsia"/>
        </w:rPr>
        <w:t>单位</w:t>
      </w:r>
      <w:r>
        <w:rPr>
          <w:u w:val="none"/>
          <w:color w:val="000000" w:themeColor="text1"/>
          <w:sz w:val="32"/>
          <w:lang w:val="en-US" w:eastAsia="zh-CN"/>
          <w:szCs w:val="32"/>
          <w:rFonts w:ascii="仿宋_GB2312" w:hAnsi="黑体" w:eastAsia="仿宋_GB2312" w:hint="eastAsia"/>
        </w:rPr>
        <w:t>2024</w:t>
      </w:r>
      <w:r>
        <w:rPr>
          <w:u w:val="none"/>
          <w:color w:val="000000" w:themeColor="text1"/>
          <w:sz w:val="32"/>
          <w:szCs w:val="32"/>
          <w:rFonts w:ascii="仿宋_GB2312" w:hAnsi="黑体" w:eastAsia="仿宋_GB2312" w:hint="eastAsia"/>
        </w:rPr>
        <w:t>年政府性基金预算当年拨款</w:t>
      </w:r>
      <w:r>
        <w:rPr>
          <w:u w:val="none"/>
          <w:color w:val="000000" w:themeColor="text1"/>
          <w:sz w:val="32"/>
          <w:lang w:eastAsia="zh-CN"/>
          <w:szCs w:val="32"/>
          <w:rFonts w:ascii="仿宋_GB2312" w:hAnsi="黑体" w:eastAsia="仿宋_GB2312" w:cs="仿宋_GB2312" w:hint="eastAsia"/>
        </w:rPr>
        <w:t>0</w:t>
      </w:r>
      <w:r>
        <w:rPr>
          <w:u w:val="none"/>
          <w:color w:val="000000" w:themeColor="text1"/>
          <w:sz w:val="32"/>
          <w:szCs w:val="32"/>
          <w:rFonts w:ascii="仿宋_GB2312" w:hAnsi="黑体" w:eastAsia="仿宋_GB2312" w:hint="eastAsia"/>
        </w:rPr>
        <w:t>万元，</w:t>
      </w:r>
      <w:r>
        <w:rPr>
          <w:u w:val="none"/>
          <w:color w:val="000000" w:themeColor="text1"/>
          <w:sz w:val="32"/>
          <w:lang w:eastAsia="zh-CN"/>
          <w:szCs w:val="32"/>
          <w:rFonts w:ascii="仿宋_GB2312" w:hAnsi="黑体" w:eastAsia="仿宋_GB2312" w:hint="eastAsia"/>
        </w:rPr>
        <w:t>与上年持平。</w:t>
      </w:r>
    </w:p>
    <w:p>
      <w:pPr>
        <w:jc w:val="left"/>
        <w:ind w:firstLine="640"/>
        <w:rPr>
          <w:u w:val="none"/>
          <w:color w:val="000000" w:themeColor="text1"/>
          <w:sz w:val="32"/>
          <w:szCs w:val="32"/>
          <w:rFonts w:ascii="楷体" w:hAnsi="楷体" w:eastAsia="楷体"/>
        </w:rPr>
      </w:pPr>
      <w:r>
        <w:rPr>
          <w:u w:val="none"/>
          <w:color w:val="000000" w:themeColor="text1"/>
          <w:sz w:val="32"/>
          <w:szCs w:val="32"/>
          <w:rFonts w:ascii="楷体" w:hAnsi="楷体" w:eastAsia="楷体" w:hint="eastAsia"/>
        </w:rPr>
        <w:t>（二）政府性基金预算当年拨款结构情况</w:t>
      </w:r>
    </w:p>
    <w:p>
      <w:pPr>
        <w:keepNext w:val="0"/>
        <w:keepLines w:val="0"/>
        <w:pageBreakBefore w:val="0"/>
        <w:wordWrap w:val="1"/>
        <w:overflowPunct w:val="1"/>
        <w:topLinePunct w:val="0"/>
        <w:kinsoku w:val="1"/>
        <w:autoSpaceDE w:val="1"/>
        <w:autoSpaceDN w:val="1"/>
        <w:bidi w:val="0"/>
        <w:adjustRightInd w:val="1"/>
        <w:snapToGrid w:val="1"/>
        <w:spacing w:line="560" w:lineRule="exact"/>
        <w:ind w:firstLine="640" w:firstLineChars="200"/>
        <w:rPr>
          <w:color w:val="000000" w:themeColor="text1"/>
          <w:sz w:val="32"/>
          <w:szCs w:val="32"/>
          <w:rFonts w:ascii="仿宋_GB2312" w:hAnsi="黑体" w:eastAsia="仿宋_GB2312" w:cs="仿宋_GB2312" w:hint="eastAsia"/>
        </w:rPr>
      </w:pPr>
      <w:r>
        <w:rPr>
          <w:color w:val="auto"/>
          <w:sz w:val="32"/>
          <w:shd w:val="clear" w:color="auto" w:fill="FFFFFF"/>
          <w:rFonts w:ascii="Times New Roman" w:hAnsi="Times New Roman" w:eastAsia="仿宋_GB2312" w:hint="eastAsia"/>
        </w:rPr>
        <w:t>海南外国语职业学院</w:t>
      </w:r>
      <w:r>
        <w:rPr>
          <w:color w:val="auto"/>
          <w:sz w:val="32"/>
          <w:lang w:eastAsia="zh-CN"/>
          <w:shd w:val="clear" w:color="auto" w:fill="FFFFFF"/>
          <w:rFonts w:ascii="Times New Roman" w:hAnsi="Times New Roman" w:eastAsia="仿宋_GB2312" w:hint="eastAsia"/>
        </w:rPr>
        <w:t>单位</w:t>
      </w:r>
      <w:r>
        <w:rPr>
          <w:color w:val="000000" w:themeColor="text1"/>
          <w:sz w:val="32"/>
          <w:szCs w:val="32"/>
          <w:rFonts w:ascii="仿宋_GB2312" w:hAnsi="黑体" w:eastAsia="仿宋_GB2312" w:cs="仿宋_GB2312" w:hint="eastAsia"/>
        </w:rPr>
        <w:t>202</w:t>
      </w:r>
      <w:r>
        <w:rPr>
          <w:color w:val="000000" w:themeColor="text1"/>
          <w:sz w:val="32"/>
          <w:lang w:val="en-US" w:eastAsia="zh-CN"/>
          <w:szCs w:val="32"/>
          <w:rFonts w:ascii="仿宋_GB2312" w:hAnsi="黑体" w:eastAsia="仿宋_GB2312" w:cs="仿宋_GB2312" w:hint="eastAsia"/>
        </w:rPr>
        <w:t>4</w:t>
      </w:r>
      <w:r>
        <w:rPr>
          <w:color w:val="000000" w:themeColor="text1"/>
          <w:sz w:val="32"/>
          <w:szCs w:val="32"/>
          <w:rFonts w:ascii="仿宋_GB2312" w:hAnsi="黑体" w:eastAsia="仿宋_GB2312" w:cs="仿宋_GB2312" w:hint="eastAsia"/>
        </w:rPr>
        <w:t>年无政府性基金预算拨款。</w:t>
      </w:r>
    </w:p>
    <w:p>
      <w:pPr>
        <w:jc w:val="left"/>
        <w:ind w:firstLine="640"/>
        <w:rPr>
          <w:u w:val="none"/>
          <w:color w:val="000000" w:themeColor="text1"/>
          <w:sz w:val="32"/>
          <w:szCs w:val="32"/>
          <w:rFonts w:ascii="楷体" w:hAnsi="楷体" w:eastAsia="楷体"/>
        </w:rPr>
      </w:pPr>
      <w:r>
        <w:rPr>
          <w:u w:val="none"/>
          <w:color w:val="000000" w:themeColor="text1"/>
          <w:sz w:val="32"/>
          <w:szCs w:val="32"/>
          <w:rFonts w:ascii="楷体" w:hAnsi="楷体" w:eastAsia="楷体" w:hint="eastAsia"/>
        </w:rPr>
        <w:t>（三）政府性基金预算当年拨款具体使用情况</w:t>
      </w:r>
    </w:p>
    <w:p>
      <w:pPr>
        <w:keepNext w:val="0"/>
        <w:keepLines w:val="0"/>
        <w:pageBreakBefore w:val="0"/>
        <w:wordWrap w:val="1"/>
        <w:overflowPunct w:val="1"/>
        <w:topLinePunct w:val="0"/>
        <w:kinsoku w:val="1"/>
        <w:autoSpaceDE w:val="1"/>
        <w:autoSpaceDN w:val="1"/>
        <w:bidi w:val="0"/>
        <w:adjustRightInd w:val="1"/>
        <w:snapToGrid w:val="1"/>
        <w:spacing w:line="560" w:lineRule="exact"/>
        <w:ind w:firstLine="640" w:firstLineChars="200"/>
        <w:rPr>
          <w:color w:val="auto"/>
          <w:sz w:val="32"/>
          <w:szCs w:val="32"/>
          <w:rFonts w:ascii="仿宋_GB2312" w:hAnsi="黑体" w:eastAsia="仿宋_GB2312"/>
        </w:rPr>
      </w:pPr>
      <w:r>
        <w:rPr>
          <w:color w:val="auto"/>
          <w:sz w:val="32"/>
          <w:shd w:val="clear" w:color="auto" w:fill="FFFFFF"/>
          <w:rFonts w:ascii="Times New Roman" w:hAnsi="Times New Roman" w:eastAsia="仿宋_GB2312" w:hint="eastAsia"/>
        </w:rPr>
        <w:t>海南外国语职业学院</w:t>
      </w:r>
      <w:r>
        <w:rPr>
          <w:color w:val="auto"/>
          <w:sz w:val="32"/>
          <w:lang w:eastAsia="zh-CN"/>
          <w:shd w:val="clear" w:color="auto" w:fill="FFFFFF"/>
          <w:rFonts w:ascii="Times New Roman" w:hAnsi="Times New Roman" w:eastAsia="仿宋_GB2312" w:hint="eastAsia"/>
        </w:rPr>
        <w:t>单位</w:t>
      </w:r>
      <w:r>
        <w:rPr>
          <w:color w:val="000000" w:themeColor="text1"/>
          <w:sz w:val="32"/>
          <w:szCs w:val="32"/>
          <w:rFonts w:ascii="仿宋_GB2312" w:hAnsi="黑体" w:eastAsia="仿宋_GB2312" w:cs="仿宋_GB2312" w:hint="eastAsia"/>
        </w:rPr>
        <w:t>202</w:t>
      </w:r>
      <w:r>
        <w:rPr>
          <w:color w:val="000000" w:themeColor="text1"/>
          <w:sz w:val="32"/>
          <w:lang w:val="en-US" w:eastAsia="zh-CN"/>
          <w:szCs w:val="32"/>
          <w:rFonts w:ascii="仿宋_GB2312" w:hAnsi="黑体" w:eastAsia="仿宋_GB2312" w:cs="仿宋_GB2312" w:hint="eastAsia"/>
        </w:rPr>
        <w:t>4</w:t>
      </w:r>
      <w:r>
        <w:rPr>
          <w:color w:val="000000" w:themeColor="text1"/>
          <w:sz w:val="32"/>
          <w:szCs w:val="32"/>
          <w:rFonts w:ascii="仿宋_GB2312" w:hAnsi="黑体" w:eastAsia="仿宋_GB2312" w:cs="仿宋_GB2312" w:hint="eastAsia"/>
        </w:rPr>
        <w:t>年无政府性基金预算拨款。</w:t>
      </w:r>
    </w:p>
    <w:p>
      <w:pPr>
        <w:ind w:firstLine="640" w:firstLineChars="200"/>
        <w:rPr>
          <w:color w:val="auto"/>
          <w:sz w:val="32"/>
          <w:shd w:val="clear" w:color="auto" w:fill="FFFFFF"/>
          <w:rFonts w:ascii="黑体" w:hAnsi="黑体" w:eastAsia="黑体" w:cs="Times New Roman"/>
        </w:rPr>
      </w:pPr>
      <w:r>
        <w:rPr>
          <w:color w:val="auto"/>
          <w:sz w:val="32"/>
          <w:shd w:val="clear" w:color="auto" w:fill="FFFFFF"/>
          <w:rFonts w:ascii="黑体" w:hAnsi="黑体" w:eastAsia="黑体" w:cs="Times New Roman" w:hint="eastAsia"/>
        </w:rPr>
        <w:t>六、关于海南外国语职业学院</w:t>
      </w:r>
      <w:r>
        <w:rPr>
          <w:color w:val="auto"/>
          <w:sz w:val="32"/>
          <w:lang w:eastAsia="zh-CN"/>
          <w:shd w:val="clear" w:color="auto" w:fill="FFFFFF"/>
          <w:rFonts w:ascii="黑体" w:hAnsi="黑体" w:eastAsia="黑体" w:cs="Times New Roman" w:hint="eastAsia"/>
        </w:rPr>
        <w:t>单位</w:t>
      </w:r>
      <w:r>
        <w:rPr>
          <w:color w:val="auto"/>
          <w:sz w:val="32"/>
          <w:shd w:val="clear" w:color="auto" w:fill="FFFFFF"/>
          <w:rFonts w:ascii="黑体" w:hAnsi="黑体" w:eastAsia="黑体" w:cs="Times New Roman" w:hint="eastAsia"/>
        </w:rPr>
        <w:t>2024年收支预算情况的总体说明</w:t>
      </w:r>
    </w:p>
    <w:p>
      <w:pPr>
        <w:ind w:firstLine="640" w:firstLineChars="200"/>
        <w:rPr>
          <w:color w:val="auto"/>
          <w:sz w:val="32"/>
          <w:szCs w:val="32"/>
          <w:rFonts w:ascii="仿宋_GB2312" w:hAnsi="黑体" w:eastAsia="仿宋_GB2312"/>
        </w:rPr>
      </w:pPr>
      <w:r>
        <w:rPr>
          <w:color w:val="auto"/>
          <w:sz w:val="32"/>
          <w:szCs w:val="32"/>
          <w:rFonts w:ascii="仿宋_GB2312" w:hAnsi="黑体" w:eastAsia="仿宋_GB2312" w:hint="eastAsia"/>
        </w:rPr>
        <w:t>按照综合预算原则，海南外国语职业学院</w:t>
      </w:r>
      <w:r>
        <w:rPr>
          <w:color w:val="auto"/>
          <w:sz w:val="32"/>
          <w:lang w:eastAsia="zh-CN"/>
          <w:szCs w:val="32"/>
          <w:rFonts w:ascii="仿宋_GB2312" w:hAnsi="黑体" w:eastAsia="仿宋_GB2312" w:hint="eastAsia"/>
        </w:rPr>
        <w:t>单位</w:t>
      </w:r>
      <w:r>
        <w:rPr>
          <w:color w:val="auto"/>
          <w:sz w:val="32"/>
          <w:szCs w:val="32"/>
          <w:rFonts w:ascii="仿宋_GB2312" w:hAnsi="黑体" w:eastAsia="仿宋_GB2312" w:hint="eastAsia"/>
        </w:rPr>
        <w:t>2024年所有收入和支出均纳入部门预算管理。收入包括：一般公共预算拨款收入、财政专户管理资金收入、其他收入；支出包括：教育支出、科学技术支出、社会保障和就业支出、卫生健康支出、住房保障支出。海南外国语职业学院2024年收支总预算18,805.57万元。</w:t>
      </w:r>
    </w:p>
    <w:p>
      <w:pPr>
        <w:ind w:firstLine="640" w:firstLineChars="200"/>
        <w:rPr>
          <w:color w:val="auto"/>
          <w:sz w:val="32"/>
          <w:shd w:val="clear" w:color="auto" w:fill="FFFFFF"/>
          <w:rFonts w:ascii="黑体" w:hAnsi="黑体" w:eastAsia="黑体" w:cs="Times New Roman"/>
        </w:rPr>
      </w:pPr>
      <w:r>
        <w:rPr>
          <w:color w:val="auto"/>
          <w:sz w:val="32"/>
          <w:shd w:val="clear" w:color="auto" w:fill="FFFFFF"/>
          <w:rFonts w:ascii="黑体" w:hAnsi="黑体" w:eastAsia="黑体" w:cs="Times New Roman" w:hint="eastAsia"/>
        </w:rPr>
        <w:t>七、关于海南外国语职业学院单位2024年收入预算情况说明</w:t>
      </w:r>
    </w:p>
    <w:p>
      <w:pPr>
        <w:ind w:firstLine="640" w:firstLineChars="200"/>
        <w:rPr>
          <w:color w:val="auto"/>
          <w:sz w:val="32"/>
          <w:lang w:eastAsia="zh-CN"/>
          <w:szCs w:val="32"/>
          <w:rFonts w:ascii="仿宋_GB2312" w:hAnsi="黑体" w:eastAsia="仿宋_GB2312" w:hint="eastAsia"/>
        </w:rPr>
      </w:pPr>
      <w:r>
        <w:rPr>
          <w:color w:val="auto"/>
          <w:sz w:val="32"/>
          <w:lang w:eastAsia="zh-CN"/>
          <w:szCs w:val="32"/>
          <w:rFonts w:ascii="仿宋_GB2312" w:hAnsi="黑体" w:eastAsia="仿宋_GB2312" w:hint="eastAsia"/>
        </w:rPr>
        <w:t>海南外国语职业学院单位2024年收入预算18,805.57万元，其中：上年结转1,378.71万元，占7.33%；一般公共预算拨款收入13,350.95万元，占70.99%；财政专户管理资金收入3,976.41万元，占21.15%；其他收入99.50万元，占0.53%。比上年预算数增加1,294.37万元，主要是上年结转以及财政拨款等增加。</w:t>
      </w:r>
    </w:p>
    <w:p>
      <w:pPr>
        <w:ind w:firstLine="640" w:firstLineChars="200"/>
        <w:rPr>
          <w:color w:val="auto"/>
          <w:sz w:val="32"/>
          <w:shd w:val="clear" w:color="auto" w:fill="FFFFFF"/>
          <w:rFonts w:ascii="黑体" w:hAnsi="黑体" w:eastAsia="黑体" w:cs="Times New Roman"/>
        </w:rPr>
      </w:pPr>
      <w:r>
        <w:rPr>
          <w:color w:val="auto"/>
          <w:sz w:val="32"/>
          <w:shd w:val="clear" w:color="auto" w:fill="FFFFFF"/>
          <w:rFonts w:ascii="黑体" w:hAnsi="黑体" w:eastAsia="黑体" w:cs="Times New Roman" w:hint="eastAsia"/>
        </w:rPr>
        <w:t>八、关于海南外国语职业学院</w:t>
      </w:r>
      <w:r>
        <w:rPr>
          <w:color w:val="auto"/>
          <w:sz w:val="32"/>
          <w:lang w:eastAsia="zh-CN"/>
          <w:shd w:val="clear" w:color="auto" w:fill="FFFFFF"/>
          <w:rFonts w:ascii="黑体" w:hAnsi="黑体" w:eastAsia="黑体" w:cs="Times New Roman" w:hint="eastAsia"/>
        </w:rPr>
        <w:t>单位</w:t>
      </w:r>
      <w:r>
        <w:rPr>
          <w:color w:val="auto"/>
          <w:sz w:val="32"/>
          <w:shd w:val="clear" w:color="auto" w:fill="FFFFFF"/>
          <w:rFonts w:ascii="黑体" w:hAnsi="黑体" w:eastAsia="黑体" w:cs="Times New Roman" w:hint="eastAsia"/>
        </w:rPr>
        <w:t>2024年支出预算情况说明</w:t>
      </w:r>
    </w:p>
    <w:p>
      <w:pPr>
        <w:ind w:firstLine="640" w:firstLineChars="200"/>
        <w:rPr>
          <w:color w:val="auto"/>
          <w:sz w:val="32"/>
          <w:szCs w:val="32"/>
          <w:rFonts w:ascii="仿宋_GB2312" w:hAnsi="黑体" w:eastAsia="仿宋_GB2312"/>
        </w:rPr>
      </w:pPr>
      <w:r>
        <w:rPr>
          <w:color w:val="auto"/>
          <w:sz w:val="32"/>
          <w:szCs w:val="32"/>
          <w:rFonts w:ascii="仿宋_GB2312" w:hAnsi="黑体" w:eastAsia="仿宋_GB2312" w:hint="eastAsia"/>
        </w:rPr>
        <w:t>海南外国语职业学院</w:t>
      </w:r>
      <w:r>
        <w:rPr>
          <w:color w:val="auto"/>
          <w:sz w:val="32"/>
          <w:lang w:eastAsia="zh-CN"/>
          <w:szCs w:val="32"/>
          <w:rFonts w:ascii="仿宋_GB2312" w:hAnsi="黑体" w:eastAsia="仿宋_GB2312" w:hint="eastAsia"/>
        </w:rPr>
        <w:t>单位</w:t>
      </w:r>
      <w:r>
        <w:rPr>
          <w:color w:val="auto"/>
          <w:sz w:val="32"/>
          <w:szCs w:val="32"/>
          <w:rFonts w:ascii="仿宋_GB2312" w:hAnsi="黑体" w:eastAsia="仿宋_GB2312" w:hint="eastAsia"/>
        </w:rPr>
        <w:t>2024年支出预算18,805.57万元，其中：基本支出10,231.95万元，占54.41%；项目支出8,573.62万元，占45.59%。比上年预算数增加1,294.37万元，主要是基本支出预算减少337.54万元，项目支出预算增加1,631.91万元（上年结转及财政拨款等增加）。</w:t>
      </w:r>
    </w:p>
    <w:p>
      <w:pPr>
        <w:ind w:firstLine="640" w:firstLineChars="200"/>
        <w:rPr>
          <w:color w:val="auto"/>
          <w:sz w:val="32"/>
          <w:szCs w:val="32"/>
          <w:rFonts w:ascii="仿宋_GB2312" w:hAnsi="黑体" w:eastAsia="仿宋_GB2312"/>
        </w:rPr>
      </w:pPr>
      <w:r>
        <w:rPr>
          <w:color w:val="auto"/>
          <w:sz w:val="32"/>
          <w:shd w:val="clear" w:color="auto" w:fill="FFFFFF"/>
          <w:rFonts w:ascii="黑体" w:hAnsi="黑体" w:eastAsia="黑体" w:cs="Times New Roman" w:hint="eastAsia"/>
        </w:rPr>
        <w:t>九、其他重要事项的情况说明</w:t>
      </w:r>
    </w:p>
    <w:p>
      <w:pPr>
        <w:ind w:firstLine="640" w:firstLineChars="200"/>
        <w:rPr>
          <w:u w:val="none"/>
          <w:color w:val="000000" w:themeColor="text1"/>
          <w:sz w:val="32"/>
          <w:szCs w:val="32"/>
          <w:rFonts w:ascii="楷体" w:hAnsi="楷体" w:eastAsia="楷体"/>
        </w:rPr>
      </w:pPr>
      <w:r>
        <w:rPr>
          <w:u w:val="none"/>
          <w:color w:val="000000" w:themeColor="text1"/>
          <w:sz w:val="32"/>
          <w:szCs w:val="32"/>
          <w:rFonts w:ascii="楷体" w:hAnsi="楷体" w:eastAsia="楷体" w:hint="eastAsia"/>
        </w:rPr>
        <w:t>（一）机关运行经费</w:t>
      </w:r>
    </w:p>
    <w:p>
      <w:pPr>
        <w:ind w:firstLine="640" w:firstLineChars="200"/>
        <w:rPr>
          <w:color w:val="auto"/>
          <w:sz w:val="32"/>
          <w:szCs w:val="32"/>
          <w:rFonts w:ascii="楷体" w:hAnsi="楷体" w:eastAsia="楷体" w:hint="eastAsia"/>
        </w:rPr>
      </w:pPr>
      <w:r>
        <w:rPr>
          <w:color w:val="000000" w:themeColor="text1"/>
          <w:sz w:val="32"/>
          <w:lang w:val="en-US" w:eastAsia="zh-CN"/>
          <w:szCs w:val="32"/>
          <w:rFonts w:ascii="仿宋_GB2312" w:hAnsi="黑体" w:eastAsia="仿宋_GB2312" w:cs="仿宋_GB2312" w:hint="eastAsia"/>
        </w:rPr>
        <w:t>无此项经费。</w:t>
      </w:r>
    </w:p>
    <w:p>
      <w:pPr>
        <w:ind w:firstLine="640" w:firstLineChars="200"/>
        <w:rPr>
          <w:color w:val="auto"/>
          <w:sz w:val="32"/>
          <w:szCs w:val="32"/>
          <w:rFonts w:ascii="楷体" w:hAnsi="楷体" w:eastAsia="楷体"/>
        </w:rPr>
      </w:pPr>
      <w:r>
        <w:rPr>
          <w:color w:val="auto"/>
          <w:sz w:val="32"/>
          <w:szCs w:val="32"/>
          <w:rFonts w:ascii="楷体" w:hAnsi="楷体" w:eastAsia="楷体" w:hint="eastAsia"/>
        </w:rPr>
        <w:t>（</w:t>
      </w:r>
      <w:r>
        <w:rPr>
          <w:color w:val="auto"/>
          <w:sz w:val="32"/>
          <w:lang w:eastAsia="zh-CN"/>
          <w:szCs w:val="32"/>
          <w:rFonts w:ascii="楷体" w:hAnsi="楷体" w:eastAsia="楷体" w:hint="eastAsia"/>
        </w:rPr>
        <w:t>二</w:t>
      </w:r>
      <w:r>
        <w:rPr>
          <w:color w:val="auto"/>
          <w:sz w:val="32"/>
          <w:szCs w:val="32"/>
          <w:rFonts w:ascii="楷体" w:hAnsi="楷体" w:eastAsia="楷体" w:hint="eastAsia"/>
        </w:rPr>
        <w:t>）政府采购情况</w:t>
      </w:r>
    </w:p>
    <w:p>
      <w:pPr>
        <w:pStyle w:val="2"/>
        <w:ind w:firstLine="640" w:firstLineChars="200"/>
        <w:rPr>
          <w:color w:val="auto"/>
        </w:rPr>
      </w:pPr>
      <w:r>
        <w:rPr>
          <w:color w:val="auto"/>
          <w:sz w:val="32"/>
          <w:szCs w:val="32"/>
          <w:rFonts w:ascii="仿宋_GB2312" w:hAnsi="黑体" w:eastAsia="仿宋_GB2312" w:hint="eastAsia"/>
        </w:rPr>
        <w:t>2024年海南外国语职业学院</w:t>
      </w:r>
      <w:r>
        <w:rPr>
          <w:color w:val="auto"/>
          <w:sz w:val="32"/>
          <w:lang w:eastAsia="zh-CN"/>
          <w:szCs w:val="32"/>
          <w:rFonts w:ascii="仿宋_GB2312" w:hAnsi="黑体" w:eastAsia="仿宋_GB2312" w:hint="eastAsia"/>
        </w:rPr>
        <w:t>单位</w:t>
      </w:r>
      <w:r>
        <w:rPr>
          <w:color w:val="auto"/>
          <w:sz w:val="32"/>
          <w:szCs w:val="32"/>
          <w:rFonts w:ascii="仿宋_GB2312" w:hAnsi="黑体" w:eastAsia="仿宋_GB2312" w:hint="eastAsia"/>
        </w:rPr>
        <w:t>政府采购预算总额1049万元，其中：政府采购货物预算700万元,政府采购工程预算349万元。</w:t>
      </w:r>
    </w:p>
    <w:p>
      <w:pPr>
        <w:ind w:firstLine="640" w:firstLineChars="200"/>
        <w:rPr>
          <w:color w:val="auto"/>
          <w:sz w:val="32"/>
          <w:lang w:val="en-US" w:eastAsia="zh-CN"/>
          <w:szCs w:val="32"/>
          <w:rFonts w:ascii="楷体" w:hAnsi="楷体" w:eastAsia="楷体" w:hint="eastAsia"/>
        </w:rPr>
      </w:pPr>
      <w:r>
        <w:rPr>
          <w:color w:val="auto"/>
          <w:sz w:val="32"/>
          <w:lang w:val="en-US" w:eastAsia="zh-CN"/>
          <w:szCs w:val="32"/>
          <w:rFonts w:ascii="楷体" w:hAnsi="楷体" w:eastAsia="楷体" w:hint="eastAsia"/>
        </w:rPr>
        <w:t>（三）国有资产占有使用情况,</w:t>
      </w:r>
    </w:p>
    <w:p>
      <w:pPr>
        <w:ind w:firstLine="640" w:firstLineChars="200"/>
        <w:rPr>
          <w:color w:val="auto"/>
          <w:sz w:val="32"/>
          <w:szCs w:val="32"/>
          <w:rFonts w:ascii="仿宋_GB2312" w:hAnsi="黑体" w:eastAsia="仿宋_GB2312" w:cs="仿宋_GB2312"/>
        </w:rPr>
      </w:pPr>
      <w:r>
        <w:rPr>
          <w:color w:val="auto"/>
          <w:sz w:val="32"/>
          <w:szCs w:val="32"/>
          <w:rFonts w:ascii="仿宋_GB2312" w:hAnsi="黑体" w:eastAsia="仿宋_GB2312" w:cs="仿宋_GB2312" w:hint="eastAsia"/>
        </w:rPr>
        <w:t>截至2023年12月31日，海南外国语职业学院</w:t>
      </w:r>
      <w:r>
        <w:rPr>
          <w:color w:val="auto"/>
          <w:sz w:val="32"/>
          <w:lang w:eastAsia="zh-CN"/>
          <w:szCs w:val="32"/>
          <w:rFonts w:ascii="仿宋_GB2312" w:hAnsi="黑体" w:eastAsia="仿宋_GB2312" w:cs="仿宋_GB2312" w:hint="eastAsia"/>
        </w:rPr>
        <w:t>单位</w:t>
      </w:r>
      <w:r>
        <w:rPr>
          <w:color w:val="auto"/>
          <w:sz w:val="32"/>
          <w:szCs w:val="32"/>
          <w:rFonts w:ascii="仿宋_GB2312" w:hAnsi="黑体" w:eastAsia="仿宋_GB2312" w:cs="仿宋_GB2312" w:hint="eastAsia"/>
        </w:rPr>
        <w:t>共有车辆3辆，其中，领导干部用车0辆，机要通信应急用车0辆，一般执法执勤用车0辆，特种专业技术用车0辆，其他用车3辆。单位价值100万元以上设备0台（套）。</w:t>
      </w:r>
    </w:p>
    <w:p>
      <w:pPr>
        <w:ind w:firstLine="640" w:firstLineChars="200"/>
        <w:rPr>
          <w:color w:val="auto"/>
          <w:sz w:val="32"/>
          <w:szCs w:val="32"/>
          <w:rFonts w:ascii="楷体" w:hAnsi="楷体" w:eastAsia="楷体"/>
        </w:rPr>
      </w:pPr>
      <w:r>
        <w:rPr>
          <w:color w:val="auto"/>
          <w:sz w:val="32"/>
          <w:szCs w:val="32"/>
          <w:rFonts w:ascii="楷体" w:hAnsi="楷体" w:eastAsia="楷体" w:hint="eastAsia"/>
        </w:rPr>
        <w:t>（</w:t>
      </w:r>
      <w:r>
        <w:rPr>
          <w:color w:val="auto"/>
          <w:sz w:val="32"/>
          <w:lang w:eastAsia="zh-CN"/>
          <w:szCs w:val="32"/>
          <w:rFonts w:ascii="楷体" w:hAnsi="楷体" w:eastAsia="楷体" w:hint="eastAsia"/>
        </w:rPr>
        <w:t>四</w:t>
      </w:r>
      <w:r>
        <w:rPr>
          <w:color w:val="auto"/>
          <w:sz w:val="32"/>
          <w:szCs w:val="32"/>
          <w:rFonts w:ascii="楷体" w:hAnsi="楷体" w:eastAsia="楷体" w:hint="eastAsia"/>
        </w:rPr>
        <w:t>）绩效目标设置情况</w:t>
      </w:r>
    </w:p>
    <w:p>
      <w:pPr>
        <w:ind w:firstLine="640" w:firstLineChars="200"/>
        <w:rPr>
          <w:color w:val="auto"/>
          <w:sz w:val="32"/>
          <w:lang w:eastAsia="zh-CN"/>
          <w:szCs w:val="32"/>
          <w:rFonts w:ascii="仿宋_GB2312" w:hAnsi="黑体" w:eastAsia="仿宋_GB2312" w:hint="eastAsia"/>
        </w:rPr>
      </w:pPr>
      <w:r>
        <w:rPr>
          <w:color w:val="auto"/>
          <w:sz w:val="32"/>
          <w:lang w:eastAsia="zh-CN"/>
          <w:szCs w:val="32"/>
          <w:rFonts w:ascii="仿宋_GB2312" w:hAnsi="黑体" w:eastAsia="仿宋_GB2312" w:hint="eastAsia"/>
        </w:rPr>
        <w:t>2024年海南外国语职业学院单位3</w:t>
      </w:r>
      <w:r>
        <w:rPr>
          <w:color w:val="auto"/>
          <w:sz w:val="32"/>
          <w:lang w:val="en-US" w:eastAsia="zh-CN"/>
          <w:szCs w:val="32"/>
          <w:rFonts w:ascii="仿宋_GB2312" w:hAnsi="黑体" w:eastAsia="仿宋_GB2312" w:hint="eastAsia"/>
        </w:rPr>
        <w:t>4</w:t>
      </w:r>
      <w:r>
        <w:rPr>
          <w:color w:val="auto"/>
          <w:sz w:val="32"/>
          <w:lang w:eastAsia="zh-CN"/>
          <w:szCs w:val="32"/>
          <w:rFonts w:ascii="仿宋_GB2312" w:hAnsi="黑体" w:eastAsia="仿宋_GB2312" w:hint="eastAsia"/>
        </w:rPr>
        <w:t>个项目实行绩效目标管理，涉及资金额17,426.86万元，其中：一般公共预算收入13,350.95万元，财政专户管理资金收入3,976.41万元，其他收入99.50万元。</w:t>
      </w:r>
    </w:p>
    <w:p>
      <w:pPr>
        <w:pStyle w:val="2"/>
        <w:rPr>
          <w:color w:val="auto"/>
          <w:lang w:val="en-US" w:eastAsia="zh-CN"/>
          <w:rFonts w:hint="default"/>
        </w:rPr>
      </w:pPr>
      <w:r>
        <w:rPr>
          <w:color w:val="auto"/>
          <w:sz w:val="32"/>
          <w:lang w:val="en-US" w:eastAsia="zh-CN"/>
          <w:szCs w:val="32"/>
          <w:rFonts w:ascii="仿宋_GB2312" w:hAnsi="黑体" w:eastAsia="仿宋_GB2312" w:hint="eastAsia"/>
        </w:rPr>
        <w:t xml:space="preserve">     其中，重点项目预算绩效情况如下：</w:t>
      </w:r>
    </w:p>
    <w:p>
      <w:pPr>
        <w:pStyle w:val="2"/>
        <w:numPr>
          <w:ilvl w:val="0"/>
          <w:numId w:val="0"/>
        </w:numPr>
        <w:ind w:firstLine="640" w:firstLineChars="200"/>
        <w:rPr>
          <w:color w:val="auto"/>
          <w:sz w:val="32"/>
          <w:lang w:val="en-US" w:eastAsia="zh-CN"/>
          <w:szCs w:val="32"/>
          <w:rFonts w:ascii="仿宋_GB2312" w:hAnsi="黑体" w:eastAsia="仿宋_GB2312" w:hint="eastAsia"/>
        </w:rPr>
      </w:pPr>
      <w:r>
        <w:rPr>
          <w:color w:val="auto"/>
          <w:sz w:val="32"/>
          <w:lang w:val="en-US" w:eastAsia="zh-CN"/>
          <w:szCs w:val="32"/>
          <w:rFonts w:ascii="仿宋_GB2312" w:hAnsi="黑体" w:eastAsia="仿宋_GB2312" w:hint="eastAsia"/>
        </w:rPr>
        <w:t>1.南苑学生公寓楼项目,预算安排1000万元,主要用于工程款的支付。绩效目标是保障学院的正常办学以及对学生的日常管理工作，解决学生住宿紧张困难问题，改善学院的办学条件，提高学校的教学水平和竞争力。</w:t>
      </w:r>
    </w:p>
    <w:p>
      <w:pPr>
        <w:pStyle w:val="2"/>
        <w:numPr>
          <w:ilvl w:val="0"/>
          <w:numId w:val="0"/>
        </w:numPr>
        <w:ind w:firstLine="640" w:firstLineChars="200"/>
        <w:rPr>
          <w:color w:val="auto"/>
          <w:sz w:val="32"/>
          <w:lang w:eastAsia="zh-CN"/>
          <w:szCs w:val="32"/>
          <w:rFonts w:ascii="仿宋_GB2312" w:hAnsi="黑体" w:eastAsia="仿宋_GB2312" w:hint="eastAsia"/>
        </w:rPr>
      </w:pPr>
      <w:r>
        <w:rPr>
          <w:color w:val="auto"/>
          <w:sz w:val="32"/>
          <w:lang w:eastAsia="zh-CN"/>
          <w:szCs w:val="32"/>
          <w:rFonts w:ascii="仿宋_GB2312" w:hAnsi="黑体" w:eastAsia="仿宋_GB2312" w:hint="eastAsia"/>
        </w:rPr>
        <w:t>2.教育教学日常管理项目，预算安排1,515万元，主要用于日常教育教学、语言文字工作、校企合作及实习就业指导、双高建设及各类教学教育管理支出等，绩效目标是加强及提高学校教育生产力，促进我校教育教学工作的改进。</w:t>
      </w:r>
    </w:p>
    <w:p>
      <w:pPr>
        <w:pStyle w:val="2"/>
        <w:ind w:firstLine="640" w:firstLineChars="200"/>
        <w:rPr>
          <w:color w:val="auto"/>
          <w:sz w:val="32"/>
          <w:lang w:eastAsia="zh-CN"/>
          <w:szCs w:val="32"/>
          <w:rFonts w:ascii="仿宋_GB2312" w:hAnsi="黑体" w:eastAsia="仿宋_GB2312" w:hint="eastAsia"/>
        </w:rPr>
      </w:pPr>
      <w:r>
        <w:rPr>
          <w:color w:val="auto"/>
          <w:sz w:val="32"/>
          <w:lang w:eastAsia="zh-CN"/>
          <w:szCs w:val="32"/>
          <w:rFonts w:ascii="仿宋_GB2312" w:hAnsi="黑体" w:eastAsia="仿宋_GB2312" w:hint="eastAsia"/>
        </w:rPr>
        <w:t>3.设备设施购置及维护维修项目，预算安排1,013.97万元，主要用于设备购置及运行维护、设施维护及改造、图书购置及其他维护维修等，绩效目标是满足学院对教学、办公等方面的需求，购置合格的设备设施及维护设备设施正常运行，保障教学任务的正常开展，提升师生对学校的满意度。</w:t>
      </w:r>
    </w:p>
    <w:p>
      <w:pPr>
        <w:jc w:val="both"/>
        <w:rPr>
          <w:b w:val="1"/>
          <w:color w:val="auto"/>
          <w:sz w:val="32"/>
          <w:szCs w:val="32"/>
          <w:rFonts w:ascii="黑体" w:hAnsi="黑体" w:eastAsia="黑体" w:hint="eastAsia"/>
        </w:rPr>
      </w:pPr>
    </w:p>
    <w:p>
      <w:pPr>
        <w:jc w:val="center"/>
        <w:rPr>
          <w:b w:val="1"/>
          <w:color w:val="auto"/>
          <w:sz w:val="32"/>
          <w:szCs w:val="32"/>
          <w:rFonts w:ascii="黑体" w:hAnsi="黑体" w:eastAsia="黑体"/>
        </w:rPr>
      </w:pPr>
      <w:r>
        <w:rPr>
          <w:b w:val="1"/>
          <w:color w:val="auto"/>
          <w:sz w:val="32"/>
          <w:szCs w:val="32"/>
          <w:rFonts w:ascii="黑体" w:hAnsi="黑体" w:eastAsia="黑体" w:hint="eastAsia"/>
        </w:rPr>
        <w:t>第四部分  名词解释</w:t>
      </w:r>
    </w:p>
    <w:p>
      <w:pPr>
        <w:jc w:val="left"/>
        <w:ind w:firstLine="640" w:firstLineChars="200"/>
        <w:rPr>
          <w:color w:val="auto"/>
          <w:sz w:val="32"/>
          <w:lang w:val="zh-CN"/>
          <w:bCs/>
          <w:kern w:val="0"/>
          <w:szCs w:val="32"/>
          <w:rFonts w:ascii="仿宋_GB2312" w:eastAsia="仿宋_GB2312" w:cs="宋体"/>
        </w:rPr>
      </w:pPr>
    </w:p>
    <w:p>
      <w:pPr>
        <w:jc w:val="left"/>
        <w:ind w:firstLine="640" w:firstLineChars="200"/>
        <w:rPr>
          <w:color w:val="auto"/>
          <w:sz w:val="32"/>
          <w:kern w:val="0"/>
          <w:szCs w:val="30"/>
          <w:rFonts w:ascii="仿宋_GB2312" w:hAnsi="宋体" w:eastAsia="仿宋_GB2312" w:cs="宋体" w:hint="eastAsia"/>
        </w:rPr>
      </w:pPr>
      <w:r>
        <w:rPr>
          <w:color w:val="auto"/>
          <w:sz w:val="32"/>
          <w:kern w:val="0"/>
          <w:szCs w:val="30"/>
          <w:rFonts w:ascii="仿宋_GB2312" w:hAnsi="宋体" w:eastAsia="仿宋_GB2312" w:cs="宋体" w:hint="eastAsia"/>
        </w:rPr>
        <w:t>一、财政拨款收入：指本级财政当年拨付的资金。</w:t>
      </w:r>
    </w:p>
    <w:p>
      <w:pPr>
        <w:jc w:val="left"/>
        <w:ind w:firstLine="640" w:firstLineChars="200"/>
        <w:rPr>
          <w:color w:val="auto"/>
          <w:sz w:val="32"/>
          <w:kern w:val="0"/>
          <w:szCs w:val="30"/>
          <w:rFonts w:ascii="仿宋_GB2312" w:hAnsi="宋体" w:eastAsia="仿宋_GB2312" w:cs="宋体" w:hint="eastAsia"/>
        </w:rPr>
      </w:pPr>
      <w:r>
        <w:rPr>
          <w:color w:val="auto"/>
          <w:sz w:val="32"/>
          <w:kern w:val="0"/>
          <w:szCs w:val="30"/>
          <w:rFonts w:ascii="仿宋_GB2312" w:hAnsi="宋体" w:eastAsia="仿宋_GB2312" w:cs="宋体" w:hint="eastAsia"/>
        </w:rPr>
        <w:t>二、一般公共预算拨款收入：指用于反映税收收入、专项收入、行政事业性收费收入、罚没收入、国有资源（资产）有偿使用收入、政府住房基金收入、捐赠收入等财政收入。</w:t>
      </w:r>
    </w:p>
    <w:p>
      <w:pPr>
        <w:jc w:val="left"/>
        <w:ind w:firstLine="640" w:firstLineChars="200"/>
        <w:rPr>
          <w:color w:val="auto"/>
          <w:sz w:val="32"/>
          <w:kern w:val="0"/>
          <w:szCs w:val="30"/>
          <w:rFonts w:ascii="仿宋_GB2312" w:hAnsi="宋体" w:eastAsia="仿宋_GB2312" w:cs="宋体" w:hint="eastAsia"/>
        </w:rPr>
      </w:pPr>
      <w:r>
        <w:rPr>
          <w:color w:val="auto"/>
          <w:sz w:val="32"/>
          <w:kern w:val="0"/>
          <w:szCs w:val="30"/>
          <w:rFonts w:ascii="仿宋_GB2312" w:hAnsi="宋体" w:eastAsia="仿宋_GB2312" w:cs="宋体" w:hint="eastAsia"/>
        </w:rPr>
        <w:t>三、政府性基金预算拨款收入：指是用于反映政府为支持某项事业发展或特定基础设施建设，依法依规向公民、法人和其他组织征收的以及出让土地、发行彩票等方式取得的具有专门用途的资金</w:t>
      </w:r>
    </w:p>
    <w:p>
      <w:pPr>
        <w:jc w:val="left"/>
        <w:ind w:firstLine="640" w:firstLineChars="200"/>
        <w:rPr>
          <w:color w:val="auto"/>
          <w:sz w:val="32"/>
          <w:kern w:val="0"/>
          <w:szCs w:val="30"/>
          <w:rFonts w:ascii="仿宋_GB2312" w:hAnsi="宋体" w:eastAsia="仿宋_GB2312" w:cs="宋体" w:hint="eastAsia"/>
        </w:rPr>
      </w:pPr>
      <w:r>
        <w:rPr>
          <w:color w:val="auto"/>
          <w:sz w:val="32"/>
          <w:kern w:val="0"/>
          <w:szCs w:val="30"/>
          <w:rFonts w:ascii="仿宋_GB2312" w:hAnsi="宋体" w:eastAsia="仿宋_GB2312" w:cs="宋体" w:hint="eastAsia"/>
        </w:rPr>
        <w:t xml:space="preserve">四、事业收入：指用于反映事业单位开展专业业务活动及辅助活动所取得的收入。 </w:t>
      </w:r>
    </w:p>
    <w:p>
      <w:pPr>
        <w:jc w:val="left"/>
        <w:ind w:firstLine="640" w:firstLineChars="200"/>
        <w:rPr>
          <w:color w:val="auto"/>
          <w:sz w:val="32"/>
          <w:kern w:val="0"/>
          <w:szCs w:val="30"/>
          <w:rFonts w:ascii="仿宋_GB2312" w:hAnsi="宋体" w:eastAsia="仿宋_GB2312" w:cs="宋体" w:hint="eastAsia"/>
        </w:rPr>
      </w:pPr>
      <w:r>
        <w:rPr>
          <w:color w:val="auto"/>
          <w:sz w:val="32"/>
          <w:kern w:val="0"/>
          <w:szCs w:val="30"/>
          <w:rFonts w:ascii="仿宋_GB2312" w:hAnsi="宋体" w:eastAsia="仿宋_GB2312" w:cs="宋体" w:hint="eastAsia"/>
        </w:rPr>
        <w:t>五、事业单位经营收入：指用于反映事业单位在专业活动及辅助活动之外开展非独立核算经营活动取得的收入。</w:t>
      </w:r>
    </w:p>
    <w:p>
      <w:pPr>
        <w:jc w:val="left"/>
        <w:ind w:firstLine="640" w:firstLineChars="200"/>
        <w:rPr>
          <w:color w:val="auto"/>
          <w:sz w:val="32"/>
          <w:kern w:val="0"/>
          <w:szCs w:val="30"/>
          <w:rFonts w:ascii="仿宋_GB2312" w:hAnsi="宋体" w:eastAsia="仿宋_GB2312" w:cs="宋体" w:hint="eastAsia"/>
        </w:rPr>
      </w:pPr>
      <w:r>
        <w:rPr>
          <w:color w:val="auto"/>
          <w:sz w:val="32"/>
          <w:kern w:val="0"/>
          <w:szCs w:val="30"/>
          <w:rFonts w:ascii="仿宋_GB2312" w:hAnsi="宋体" w:eastAsia="仿宋_GB2312" w:cs="宋体" w:hint="eastAsia"/>
        </w:rPr>
        <w:t>六、其他收入：指除上述“财政拨款收入”“事业收入”“经营收入”等以外的收入。</w:t>
      </w:r>
    </w:p>
    <w:p>
      <w:pPr>
        <w:jc w:val="left"/>
        <w:ind w:firstLine="640" w:firstLineChars="200"/>
        <w:rPr>
          <w:color w:val="auto"/>
          <w:sz w:val="32"/>
          <w:kern w:val="0"/>
          <w:szCs w:val="30"/>
          <w:rFonts w:ascii="仿宋_GB2312" w:hAnsi="宋体" w:eastAsia="仿宋_GB2312" w:cs="宋体" w:hint="eastAsia"/>
        </w:rPr>
      </w:pPr>
      <w:r>
        <w:rPr>
          <w:color w:val="auto"/>
          <w:sz w:val="32"/>
          <w:kern w:val="0"/>
          <w:szCs w:val="30"/>
          <w:rFonts w:ascii="仿宋_GB2312" w:hAnsi="宋体" w:eastAsia="仿宋_GB2312" w:cs="宋体" w:hint="eastAsia"/>
        </w:rPr>
        <w:t>七、上年结转：指以前年度尚未完成、结转到本年按有关规定继续使用的资金。</w:t>
      </w:r>
    </w:p>
    <w:p>
      <w:pPr>
        <w:jc w:val="left"/>
        <w:ind w:firstLine="640" w:firstLineChars="200"/>
        <w:rPr>
          <w:color w:val="auto"/>
          <w:sz w:val="32"/>
          <w:kern w:val="0"/>
          <w:szCs w:val="30"/>
          <w:rFonts w:ascii="仿宋_GB2312" w:hAnsi="宋体" w:eastAsia="仿宋_GB2312" w:cs="宋体" w:hint="eastAsia"/>
        </w:rPr>
      </w:pPr>
      <w:r>
        <w:rPr>
          <w:color w:val="auto"/>
          <w:sz w:val="32"/>
          <w:kern w:val="0"/>
          <w:szCs w:val="30"/>
          <w:rFonts w:ascii="仿宋_GB2312" w:hAnsi="宋体" w:eastAsia="仿宋_GB2312" w:cs="宋体" w:hint="eastAsia"/>
        </w:rPr>
        <w:t>八、基本支出：指行政事业单位用于为保障其机构正常运转、完成日常工作任务而发生的人员支出和公用支出。</w:t>
      </w:r>
    </w:p>
    <w:p>
      <w:pPr>
        <w:jc w:val="left"/>
        <w:ind w:firstLine="640" w:firstLineChars="200"/>
        <w:rPr>
          <w:color w:val="auto"/>
          <w:sz w:val="32"/>
          <w:kern w:val="0"/>
          <w:szCs w:val="30"/>
          <w:rFonts w:ascii="仿宋_GB2312" w:hAnsi="宋体" w:eastAsia="仿宋_GB2312" w:cs="宋体" w:hint="eastAsia"/>
        </w:rPr>
      </w:pPr>
      <w:r>
        <w:rPr>
          <w:color w:val="auto"/>
          <w:sz w:val="32"/>
          <w:kern w:val="0"/>
          <w:szCs w:val="30"/>
          <w:rFonts w:ascii="仿宋_GB2312" w:hAnsi="宋体" w:eastAsia="仿宋_GB2312" w:cs="宋体" w:hint="eastAsia"/>
        </w:rPr>
        <w:t>九、工资福利支出：反映单位开支的在职职工和编制外长期聘用人员的各类劳动报酬，以及为上述人员缴纳的各项社会保险费等。</w:t>
      </w:r>
    </w:p>
    <w:p>
      <w:pPr>
        <w:jc w:val="left"/>
        <w:ind w:firstLine="640" w:firstLineChars="200"/>
        <w:rPr>
          <w:color w:val="auto"/>
          <w:sz w:val="32"/>
          <w:kern w:val="0"/>
          <w:szCs w:val="30"/>
          <w:rFonts w:ascii="仿宋_GB2312" w:hAnsi="宋体" w:eastAsia="仿宋_GB2312" w:cs="宋体" w:hint="eastAsia"/>
        </w:rPr>
      </w:pPr>
      <w:r>
        <w:rPr>
          <w:color w:val="auto"/>
          <w:sz w:val="32"/>
          <w:kern w:val="0"/>
          <w:szCs w:val="30"/>
          <w:rFonts w:ascii="仿宋_GB2312" w:hAnsi="宋体" w:eastAsia="仿宋_GB2312" w:cs="宋体" w:hint="eastAsia"/>
        </w:rPr>
        <w:t>十、对个人和家庭的补助支出：反映政府用于对个人和家庭的补助支出，包括离休费、退休费、退职（役）费、抚恤金、生活补助、救济费、医疗费补助、助学金、独生子女奖励金、其他等。</w:t>
      </w:r>
    </w:p>
    <w:p>
      <w:pPr>
        <w:jc w:val="left"/>
        <w:ind w:firstLine="640" w:firstLineChars="200"/>
        <w:rPr>
          <w:color w:val="auto"/>
          <w:sz w:val="32"/>
          <w:kern w:val="0"/>
          <w:szCs w:val="30"/>
          <w:rFonts w:ascii="仿宋_GB2312" w:hAnsi="宋体" w:eastAsia="仿宋_GB2312" w:cs="宋体" w:hint="eastAsia"/>
        </w:rPr>
      </w:pPr>
      <w:r>
        <w:rPr>
          <w:color w:val="auto"/>
          <w:sz w:val="32"/>
          <w:kern w:val="0"/>
          <w:szCs w:val="30"/>
          <w:rFonts w:ascii="仿宋_GB2312" w:hAnsi="宋体" w:eastAsia="仿宋_GB2312" w:cs="宋体" w:hint="eastAsia"/>
        </w:rPr>
        <w:t>十一、商品和服务支出：反映单位购买商品和服务的支出，包括办公费、水费、电费、邮电费、培训费、公务用车运行维护费、差旅费、因公出国（境）费用、公务接待费、工会经费、会议费、福利费、物业管理费、维修（护）费、其他等。</w:t>
      </w:r>
    </w:p>
    <w:p>
      <w:pPr>
        <w:jc w:val="left"/>
        <w:ind w:firstLine="640" w:firstLineChars="200"/>
        <w:rPr>
          <w:color w:val="auto"/>
          <w:sz w:val="32"/>
          <w:kern w:val="0"/>
          <w:szCs w:val="30"/>
          <w:rFonts w:ascii="仿宋_GB2312" w:hAnsi="宋体" w:eastAsia="仿宋_GB2312" w:cs="宋体" w:hint="eastAsia"/>
        </w:rPr>
      </w:pPr>
      <w:r>
        <w:rPr>
          <w:color w:val="auto"/>
          <w:sz w:val="32"/>
          <w:kern w:val="0"/>
          <w:szCs w:val="30"/>
          <w:rFonts w:ascii="仿宋_GB2312" w:hAnsi="宋体" w:eastAsia="仿宋_GB2312" w:cs="宋体" w:hint="eastAsia"/>
        </w:rPr>
        <w:t>十二、项目支出：指各部门、各单位为完成其特定的工作任务和事业发展目标所发生的支出。</w:t>
      </w:r>
    </w:p>
    <w:p>
      <w:pPr>
        <w:jc w:val="left"/>
        <w:ind w:firstLine="640" w:firstLineChars="200"/>
        <w:rPr>
          <w:color w:val="auto"/>
          <w:sz w:val="32"/>
          <w:kern w:val="0"/>
          <w:szCs w:val="30"/>
          <w:rFonts w:ascii="仿宋_GB2312" w:hAnsi="宋体" w:eastAsia="仿宋_GB2312" w:cs="宋体" w:hint="eastAsia"/>
        </w:rPr>
      </w:pPr>
      <w:r>
        <w:rPr>
          <w:color w:val="auto"/>
          <w:sz w:val="32"/>
          <w:kern w:val="0"/>
          <w:szCs w:val="30"/>
          <w:rFonts w:ascii="仿宋_GB2312" w:hAnsi="宋体" w:eastAsia="仿宋_GB2312" w:cs="宋体" w:hint="eastAsia"/>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jc w:val="left"/>
        <w:ind w:firstLine="640" w:firstLineChars="200"/>
        <w:rPr>
          <w:color w:val="auto"/>
          <w:sz w:val="32"/>
          <w:rFonts w:ascii="仿宋_GB2312" w:hAnsi="宋体" w:eastAsia="仿宋_GB2312" w:cs="宋体" w:hint="eastAsia"/>
        </w:rPr>
      </w:pPr>
      <w:r>
        <w:rPr>
          <w:color w:val="auto"/>
          <w:sz w:val="32"/>
          <w:rFonts w:ascii="仿宋_GB2312" w:hAnsi="宋体" w:eastAsia="仿宋_GB2312" w:cs="宋体" w:hint="eastAsia"/>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jc w:val="left"/>
        <w:ind w:firstLine="640" w:firstLineChars="200"/>
        <w:rPr>
          <w:color w:val="auto"/>
          <w:sz w:val="32"/>
          <w:kern w:val="0"/>
          <w:szCs w:val="30"/>
          <w:rFonts w:ascii="仿宋_GB2312" w:hAnsi="宋体" w:eastAsia="仿宋_GB2312" w:cs="宋体"/>
        </w:rPr>
      </w:pPr>
    </w:p>
    <w:sectPr>
      <w:docGrid w:type="lines" w:linePitch="312" w:charSpace="0"/>
      <w:pgSz w:w="11906" w:h="16838"/>
      <w:pgMar w:top="1440" w:right="1701" w:bottom="1440" w:left="1757" w:header="851" w:footer="992" w:gutter="0"/>
      <w:cols w:space="0" w:num="1"/>
      <w:rtlGutter w:val="0"/>
    </w:sectPr>
  </w:body>
</w:document>
</file>

<file path=word/fontTable.xml><?xml version="1.0" encoding="utf-8"?>
<w:fonts xmlns:w="http://schemas.openxmlformats.org/wordprocessingml/2006/main" xmlns:w14="http://schemas.microsoft.com/office/word/2010/wordml" xmlns:r="http://schemas.openxmlformats.org/officeDocument/2006/relationships" xmlns:mc="http://schemas.openxmlformats.org/markup-compatibility/2006"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w14="http://schemas.microsoft.com/office/word/2010/wordml" xmlns:wpsCustomData="http://www.wps.cn/officeDocument/2013/wpsCustomData" xmlns:w10="urn:schemas-microsoft-com:office:word" xmlns:r="http://schemas.openxmlformats.org/officeDocument/2006/relationships" xmlns:sl="http://schemas.openxmlformats.org/schemaLibrary/2006/main" xmlns:v="urn:schemas-microsoft-com:vml" xmlns:m="http://schemas.openxmlformats.org/officeDocument/2006/math" xmlns:w="http://schemas.openxmlformats.org/wordprocessingml/2006/main" xmlns:o="urn:schemas-microsoft-com:office:office" xmlns:mc="http://schemas.openxmlformats.org/markup-compatibility/2006" mc:Ignorable="w14">
  <w:bordersDoNotSurroundHeader/>
  <w:bordersDoNotSurroundFooter/>
  <w:defaultTabStop w:val="420"/>
  <w:drawingGridVerticalSpacing w:val="156"/>
  <w:drawingGridHorizontalSpacing w:val="0"/>
  <w:displayHorizontalDrawingGridEvery w:val="1"/>
  <w:displayVerticalDrawingGridEvery w:val="1"/>
  <w:characterSpacingControl w:val="compressPunctuation"/>
  <w:zoom w:percent="129"/>
  <w:compat>
    <w:spaceForUL/>
    <w:balanceSingleByteDoubleByteWidth/>
    <w:doNotLeaveBackslashAlone/>
    <w:ulTrailSpace/>
    <w:doNotExpandShiftReturn/>
    <w:adjustLineHeightInTable/>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9444F"/>
    <w:rsid w:val="00080E42"/>
    <w:rsid w:val="00120559"/>
    <w:rsid w:val="00256E3C"/>
    <w:rsid w:val="00292BAB"/>
    <w:rsid w:val="0034314C"/>
    <w:rsid w:val="00377344"/>
    <w:rsid w:val="003C7179"/>
    <w:rsid w:val="003F4347"/>
    <w:rsid w:val="00462F45"/>
    <w:rsid w:val="005142C0"/>
    <w:rsid w:val="00553564"/>
    <w:rsid w:val="005A2556"/>
    <w:rsid w:val="005E3AE0"/>
    <w:rsid w:val="005E7E5B"/>
    <w:rsid w:val="00636F42"/>
    <w:rsid w:val="00664AF3"/>
    <w:rsid w:val="00825DE0"/>
    <w:rsid w:val="0086551B"/>
    <w:rsid w:val="00890AB6"/>
    <w:rsid w:val="008E6307"/>
    <w:rsid w:val="00975179"/>
    <w:rsid w:val="009E3489"/>
    <w:rsid w:val="00A32003"/>
    <w:rsid w:val="00A935F3"/>
    <w:rsid w:val="00A9444F"/>
    <w:rsid w:val="00AE54B2"/>
    <w:rsid w:val="00C36B5B"/>
    <w:rsid w:val="00C37B9E"/>
    <w:rsid w:val="00C4147A"/>
    <w:rsid w:val="00CB1C3B"/>
    <w:rsid w:val="00D20B2C"/>
    <w:rsid w:val="00D26966"/>
    <w:rsid w:val="00E01305"/>
    <w:rsid w:val="00E16C76"/>
    <w:rsid w:val="00E718D0"/>
    <w:rsid w:val="00EC4654"/>
    <w:rsid w:val="00EF2079"/>
    <w:rsid w:val="00F57165"/>
    <w:rsid w:val="012074D9"/>
    <w:rsid w:val="017E162C"/>
    <w:rsid w:val="0199223F"/>
    <w:rsid w:val="01C7342C"/>
    <w:rsid w:val="01CC5EE4"/>
    <w:rsid w:val="01F422CD"/>
    <w:rsid w:val="02455035"/>
    <w:rsid w:val="027043F1"/>
    <w:rsid w:val="02974FCD"/>
    <w:rsid w:val="03086AA8"/>
    <w:rsid w:val="031A1965"/>
    <w:rsid w:val="040E5A73"/>
    <w:rsid w:val="04155F9E"/>
    <w:rsid w:val="048263FC"/>
    <w:rsid w:val="048B1131"/>
    <w:rsid w:val="04BC3509"/>
    <w:rsid w:val="04F80D9E"/>
    <w:rsid w:val="05504F96"/>
    <w:rsid w:val="05CA5B9D"/>
    <w:rsid w:val="05EB0C77"/>
    <w:rsid w:val="0667085C"/>
    <w:rsid w:val="06691A82"/>
    <w:rsid w:val="06D73093"/>
    <w:rsid w:val="06E048FE"/>
    <w:rsid w:val="06F262F0"/>
    <w:rsid w:val="07315422"/>
    <w:rsid w:val="07614372"/>
    <w:rsid w:val="07711FDE"/>
    <w:rsid w:val="08303BDA"/>
    <w:rsid w:val="084C49C4"/>
    <w:rsid w:val="08626C5A"/>
    <w:rsid w:val="086D5562"/>
    <w:rsid w:val="08BF797F"/>
    <w:rsid w:val="08C94101"/>
    <w:rsid w:val="08D21E73"/>
    <w:rsid w:val="08DD4532"/>
    <w:rsid w:val="090220E2"/>
    <w:rsid w:val="09212671"/>
    <w:rsid w:val="09885D9B"/>
    <w:rsid w:val="09C142D8"/>
    <w:rsid w:val="09C20C18"/>
    <w:rsid w:val="09F04747"/>
    <w:rsid w:val="09FE6F17"/>
    <w:rsid w:val="0A195F86"/>
    <w:rsid w:val="0A98441F"/>
    <w:rsid w:val="0AA46F51"/>
    <w:rsid w:val="0AC741B5"/>
    <w:rsid w:val="0AC755A0"/>
    <w:rsid w:val="0ACC2747"/>
    <w:rsid w:val="0B5D427D"/>
    <w:rsid w:val="0B680A2B"/>
    <w:rsid w:val="0B955EB4"/>
    <w:rsid w:val="0C241891"/>
    <w:rsid w:val="0C50008C"/>
    <w:rsid w:val="0CBD2B44"/>
    <w:rsid w:val="0CFA42FD"/>
    <w:rsid w:val="0D5151C7"/>
    <w:rsid w:val="0DEA264B"/>
    <w:rsid w:val="0DEF4F5B"/>
    <w:rsid w:val="0E4900D2"/>
    <w:rsid w:val="0E63649B"/>
    <w:rsid w:val="0F077988"/>
    <w:rsid w:val="0F1872FC"/>
    <w:rsid w:val="0F4E1E08"/>
    <w:rsid w:val="0F696B20"/>
    <w:rsid w:val="105F309A"/>
    <w:rsid w:val="10797237"/>
    <w:rsid w:val="10B45787"/>
    <w:rsid w:val="10E471D2"/>
    <w:rsid w:val="11650C32"/>
    <w:rsid w:val="116A6B7F"/>
    <w:rsid w:val="119B5D90"/>
    <w:rsid w:val="11A8337D"/>
    <w:rsid w:val="11AE6719"/>
    <w:rsid w:val="121C2179"/>
    <w:rsid w:val="128C0D40"/>
    <w:rsid w:val="12C47099"/>
    <w:rsid w:val="12EF3EDA"/>
    <w:rsid w:val="13253FFE"/>
    <w:rsid w:val="132F4CCB"/>
    <w:rsid w:val="133A2F95"/>
    <w:rsid w:val="136805E8"/>
    <w:rsid w:val="139861F7"/>
    <w:rsid w:val="13B46297"/>
    <w:rsid w:val="13CD1D93"/>
    <w:rsid w:val="14086471"/>
    <w:rsid w:val="1461648A"/>
    <w:rsid w:val="151E03AD"/>
    <w:rsid w:val="153703DC"/>
    <w:rsid w:val="157A03B8"/>
    <w:rsid w:val="15A879BF"/>
    <w:rsid w:val="15EC64DD"/>
    <w:rsid w:val="16291D25"/>
    <w:rsid w:val="16AA6F10"/>
    <w:rsid w:val="171A41B8"/>
    <w:rsid w:val="17A74689"/>
    <w:rsid w:val="17B240D6"/>
    <w:rsid w:val="180D46C7"/>
    <w:rsid w:val="18404DDE"/>
    <w:rsid w:val="18616503"/>
    <w:rsid w:val="1921046B"/>
    <w:rsid w:val="19EB3021"/>
    <w:rsid w:val="1A220B7E"/>
    <w:rsid w:val="1B7F0679"/>
    <w:rsid w:val="1BCF3768"/>
    <w:rsid w:val="1C96498E"/>
    <w:rsid w:val="1CEC31BF"/>
    <w:rsid w:val="1CED5BBE"/>
    <w:rsid w:val="1D9A3B0C"/>
    <w:rsid w:val="1DD12460"/>
    <w:rsid w:val="1DE91C7A"/>
    <w:rsid w:val="1E0A6E60"/>
    <w:rsid w:val="1E5121CC"/>
    <w:rsid w:val="1EA4564A"/>
    <w:rsid w:val="1F424382"/>
    <w:rsid w:val="1F5E5F75"/>
    <w:rsid w:val="1F90663F"/>
    <w:rsid w:val="1FB841C2"/>
    <w:rsid w:val="1FD71884"/>
    <w:rsid w:val="204C25E5"/>
    <w:rsid w:val="20511721"/>
    <w:rsid w:val="20565B85"/>
    <w:rsid w:val="20677BF2"/>
    <w:rsid w:val="20BB7EE0"/>
    <w:rsid w:val="20CE0A88"/>
    <w:rsid w:val="20E63CC3"/>
    <w:rsid w:val="20EA55E7"/>
    <w:rsid w:val="211B1C44"/>
    <w:rsid w:val="21562C7C"/>
    <w:rsid w:val="217A3604"/>
    <w:rsid w:val="21C66054"/>
    <w:rsid w:val="21E85FCA"/>
    <w:rsid w:val="21FE58F7"/>
    <w:rsid w:val="21FE69F4"/>
    <w:rsid w:val="228859E6"/>
    <w:rsid w:val="22BA356B"/>
    <w:rsid w:val="22C6743F"/>
    <w:rsid w:val="234B235B"/>
    <w:rsid w:val="236C5BC2"/>
    <w:rsid w:val="23864127"/>
    <w:rsid w:val="24066EFA"/>
    <w:rsid w:val="24127774"/>
    <w:rsid w:val="24316936"/>
    <w:rsid w:val="24722896"/>
    <w:rsid w:val="24AB27CA"/>
    <w:rsid w:val="24E54A43"/>
    <w:rsid w:val="24E600A2"/>
    <w:rsid w:val="253C4188"/>
    <w:rsid w:val="25E92392"/>
    <w:rsid w:val="26496758"/>
    <w:rsid w:val="26882B2F"/>
    <w:rsid w:val="2697382D"/>
    <w:rsid w:val="26FA222D"/>
    <w:rsid w:val="27935A06"/>
    <w:rsid w:val="28153D91"/>
    <w:rsid w:val="283F3825"/>
    <w:rsid w:val="28985A0C"/>
    <w:rsid w:val="28ED3E40"/>
    <w:rsid w:val="28F9286B"/>
    <w:rsid w:val="29017971"/>
    <w:rsid w:val="2928363B"/>
    <w:rsid w:val="29A177D3"/>
    <w:rsid w:val="29A95B24"/>
    <w:rsid w:val="29CE7041"/>
    <w:rsid w:val="29E563D9"/>
    <w:rsid w:val="29F41A8B"/>
    <w:rsid w:val="2A406E85"/>
    <w:rsid w:val="2A9A007E"/>
    <w:rsid w:val="2AAF1D7B"/>
    <w:rsid w:val="2AAF1E21"/>
    <w:rsid w:val="2B0379D1"/>
    <w:rsid w:val="2B2D50D1"/>
    <w:rsid w:val="2B6222C4"/>
    <w:rsid w:val="2B873B8C"/>
    <w:rsid w:val="2BAD6B6B"/>
    <w:rsid w:val="2BEE6B78"/>
    <w:rsid w:val="2C6B1CD2"/>
    <w:rsid w:val="2C7D0233"/>
    <w:rsid w:val="2D6C3F53"/>
    <w:rsid w:val="2D90441A"/>
    <w:rsid w:val="2DD76007"/>
    <w:rsid w:val="2DF126AA"/>
    <w:rsid w:val="2DF91A7B"/>
    <w:rsid w:val="2E2779A0"/>
    <w:rsid w:val="2E3353C8"/>
    <w:rsid w:val="2E602D4C"/>
    <w:rsid w:val="2E6171F6"/>
    <w:rsid w:val="2E6F6E65"/>
    <w:rsid w:val="2ED20EC1"/>
    <w:rsid w:val="2F041F69"/>
    <w:rsid w:val="2F0C409A"/>
    <w:rsid w:val="2F191EB9"/>
    <w:rsid w:val="2F8F4DEA"/>
    <w:rsid w:val="2F9B7A6D"/>
    <w:rsid w:val="2FA774C5"/>
    <w:rsid w:val="30112B90"/>
    <w:rsid w:val="30150284"/>
    <w:rsid w:val="301C2624"/>
    <w:rsid w:val="309C09D2"/>
    <w:rsid w:val="30C11449"/>
    <w:rsid w:val="311741D6"/>
    <w:rsid w:val="31EA5447"/>
    <w:rsid w:val="31F9469B"/>
    <w:rsid w:val="31FA02F1"/>
    <w:rsid w:val="31FA2C68"/>
    <w:rsid w:val="32662BD3"/>
    <w:rsid w:val="327B225B"/>
    <w:rsid w:val="32891DE2"/>
    <w:rsid w:val="328E40A2"/>
    <w:rsid w:val="328E7FEE"/>
    <w:rsid w:val="32F66DE7"/>
    <w:rsid w:val="33272E8D"/>
    <w:rsid w:val="335D7E9A"/>
    <w:rsid w:val="33EC7B9C"/>
    <w:rsid w:val="341D4D65"/>
    <w:rsid w:val="344331E3"/>
    <w:rsid w:val="345132ED"/>
    <w:rsid w:val="34957203"/>
    <w:rsid w:val="34FF788A"/>
    <w:rsid w:val="358B5084"/>
    <w:rsid w:val="36034D29"/>
    <w:rsid w:val="36772279"/>
    <w:rsid w:val="36916993"/>
    <w:rsid w:val="36FE1803"/>
    <w:rsid w:val="376E665E"/>
    <w:rsid w:val="37D3571B"/>
    <w:rsid w:val="37F60A63"/>
    <w:rsid w:val="383C09C6"/>
    <w:rsid w:val="384F5A47"/>
    <w:rsid w:val="388C5876"/>
    <w:rsid w:val="38BF076C"/>
    <w:rsid w:val="38E46545"/>
    <w:rsid w:val="392909B1"/>
    <w:rsid w:val="394A0EC1"/>
    <w:rsid w:val="39AA34C7"/>
    <w:rsid w:val="39F41558"/>
    <w:rsid w:val="3A3000B7"/>
    <w:rsid w:val="3A306BC6"/>
    <w:rsid w:val="3A536684"/>
    <w:rsid w:val="3A5B2EF2"/>
    <w:rsid w:val="3A713C70"/>
    <w:rsid w:val="3A8E47C2"/>
    <w:rsid w:val="3AC5399B"/>
    <w:rsid w:val="3BF13876"/>
    <w:rsid w:val="3C305FB8"/>
    <w:rsid w:val="3C3B6FA3"/>
    <w:rsid w:val="3CC15874"/>
    <w:rsid w:val="3CC21C1B"/>
    <w:rsid w:val="3CEB2A8A"/>
    <w:rsid w:val="3D0F2205"/>
    <w:rsid w:val="3D257C7B"/>
    <w:rsid w:val="3DBA6741"/>
    <w:rsid w:val="3DD05E38"/>
    <w:rsid w:val="3DE6344C"/>
    <w:rsid w:val="3E6227FC"/>
    <w:rsid w:val="3E682515"/>
    <w:rsid w:val="3E7E3AE6"/>
    <w:rsid w:val="3E9841ED"/>
    <w:rsid w:val="3EA52E4A"/>
    <w:rsid w:val="3F37188F"/>
    <w:rsid w:val="3F8E7367"/>
    <w:rsid w:val="40085141"/>
    <w:rsid w:val="404814E5"/>
    <w:rsid w:val="40836D55"/>
    <w:rsid w:val="40A71D1A"/>
    <w:rsid w:val="40B04863"/>
    <w:rsid w:val="40BA4AF5"/>
    <w:rsid w:val="40D66930"/>
    <w:rsid w:val="410E1E90"/>
    <w:rsid w:val="413B129E"/>
    <w:rsid w:val="415E2124"/>
    <w:rsid w:val="41727207"/>
    <w:rsid w:val="41AC3B7A"/>
    <w:rsid w:val="41DD4469"/>
    <w:rsid w:val="42475476"/>
    <w:rsid w:val="42D114DB"/>
    <w:rsid w:val="43137E00"/>
    <w:rsid w:val="434A6854"/>
    <w:rsid w:val="43C07AB9"/>
    <w:rsid w:val="43E8166A"/>
    <w:rsid w:val="43F7744E"/>
    <w:rsid w:val="442973B6"/>
    <w:rsid w:val="447C1A32"/>
    <w:rsid w:val="44E921AC"/>
    <w:rsid w:val="452B429C"/>
    <w:rsid w:val="453F7CD8"/>
    <w:rsid w:val="45537DEC"/>
    <w:rsid w:val="4588228F"/>
    <w:rsid w:val="45A3002C"/>
    <w:rsid w:val="4609679E"/>
    <w:rsid w:val="46756CAB"/>
    <w:rsid w:val="47531FBE"/>
    <w:rsid w:val="4757766C"/>
    <w:rsid w:val="47B66317"/>
    <w:rsid w:val="48A979B2"/>
    <w:rsid w:val="48B325DE"/>
    <w:rsid w:val="48B77474"/>
    <w:rsid w:val="49B142F6"/>
    <w:rsid w:val="49E362DA"/>
    <w:rsid w:val="49EA2030"/>
    <w:rsid w:val="4AC72D75"/>
    <w:rsid w:val="4AEA76F0"/>
    <w:rsid w:val="4AEF35CA"/>
    <w:rsid w:val="4B5C0AE6"/>
    <w:rsid w:val="4B8F3F68"/>
    <w:rsid w:val="4BE61108"/>
    <w:rsid w:val="4BFF5297"/>
    <w:rsid w:val="4C580A5D"/>
    <w:rsid w:val="4C940652"/>
    <w:rsid w:val="4CFB5E0F"/>
    <w:rsid w:val="4D024E28"/>
    <w:rsid w:val="4DC1754C"/>
    <w:rsid w:val="4DC96FD3"/>
    <w:rsid w:val="4DF25957"/>
    <w:rsid w:val="4DFC7EAF"/>
    <w:rsid w:val="4E3A4EEC"/>
    <w:rsid w:val="4ECD3CCE"/>
    <w:rsid w:val="4F5F1BB6"/>
    <w:rsid w:val="502E6B39"/>
    <w:rsid w:val="50D436CD"/>
    <w:rsid w:val="5130713E"/>
    <w:rsid w:val="51343C08"/>
    <w:rsid w:val="517040EB"/>
    <w:rsid w:val="51EA1367"/>
    <w:rsid w:val="522F3DD2"/>
    <w:rsid w:val="523C0240"/>
    <w:rsid w:val="52741030"/>
    <w:rsid w:val="53285BE5"/>
    <w:rsid w:val="534F5B49"/>
    <w:rsid w:val="535501D8"/>
    <w:rsid w:val="539A143D"/>
    <w:rsid w:val="53D625BF"/>
    <w:rsid w:val="5429409D"/>
    <w:rsid w:val="544C2FB9"/>
    <w:rsid w:val="54703A7A"/>
    <w:rsid w:val="54E87D52"/>
    <w:rsid w:val="5504477A"/>
    <w:rsid w:val="55656AB1"/>
    <w:rsid w:val="55AE0E5B"/>
    <w:rsid w:val="56353EC9"/>
    <w:rsid w:val="56457B8B"/>
    <w:rsid w:val="568E48E0"/>
    <w:rsid w:val="56A179B6"/>
    <w:rsid w:val="56CB1112"/>
    <w:rsid w:val="56DF1F96"/>
    <w:rsid w:val="57471D65"/>
    <w:rsid w:val="57C570C0"/>
    <w:rsid w:val="57EA070B"/>
    <w:rsid w:val="57ED7F83"/>
    <w:rsid w:val="580B253D"/>
    <w:rsid w:val="586A4837"/>
    <w:rsid w:val="58C3686E"/>
    <w:rsid w:val="59AD307A"/>
    <w:rsid w:val="59D53785"/>
    <w:rsid w:val="5A0942AB"/>
    <w:rsid w:val="5A544645"/>
    <w:rsid w:val="5A7B6CD4"/>
    <w:rsid w:val="5B292D04"/>
    <w:rsid w:val="5BDD3D67"/>
    <w:rsid w:val="5C1A497B"/>
    <w:rsid w:val="5C1A7CAF"/>
    <w:rsid w:val="5C1B42CB"/>
    <w:rsid w:val="5C417480"/>
    <w:rsid w:val="5C447CC6"/>
    <w:rsid w:val="5C6739B4"/>
    <w:rsid w:val="5C990540"/>
    <w:rsid w:val="5DE74DAC"/>
    <w:rsid w:val="5DF6404C"/>
    <w:rsid w:val="5E186702"/>
    <w:rsid w:val="5EEC1F4F"/>
    <w:rsid w:val="5F0111EF"/>
    <w:rsid w:val="5F4255F2"/>
    <w:rsid w:val="5F994BC0"/>
    <w:rsid w:val="5FA17311"/>
    <w:rsid w:val="5FD15B68"/>
    <w:rsid w:val="606812DE"/>
    <w:rsid w:val="60AC1F89"/>
    <w:rsid w:val="619C214D"/>
    <w:rsid w:val="61F222F1"/>
    <w:rsid w:val="61FC380A"/>
    <w:rsid w:val="629B3826"/>
    <w:rsid w:val="62F11D40"/>
    <w:rsid w:val="631C4CAC"/>
    <w:rsid w:val="636A0ADA"/>
    <w:rsid w:val="637D721E"/>
    <w:rsid w:val="639F1A81"/>
    <w:rsid w:val="63E15A98"/>
    <w:rsid w:val="63F41FD1"/>
    <w:rsid w:val="64540385"/>
    <w:rsid w:val="64CF20F6"/>
    <w:rsid w:val="659D5B51"/>
    <w:rsid w:val="660769B0"/>
    <w:rsid w:val="66331F75"/>
    <w:rsid w:val="665C3E5E"/>
    <w:rsid w:val="66C50FA1"/>
    <w:rsid w:val="6716568F"/>
    <w:rsid w:val="672C7CD4"/>
    <w:rsid w:val="68071BA7"/>
    <w:rsid w:val="686647C3"/>
    <w:rsid w:val="68861AA7"/>
    <w:rsid w:val="68AA0B9A"/>
    <w:rsid w:val="68BD3051"/>
    <w:rsid w:val="68C61A62"/>
    <w:rsid w:val="68E604E0"/>
    <w:rsid w:val="69234788"/>
    <w:rsid w:val="695706BC"/>
    <w:rsid w:val="69D459FA"/>
    <w:rsid w:val="69D530CB"/>
    <w:rsid w:val="69DF4C20"/>
    <w:rsid w:val="6A3A3016"/>
    <w:rsid w:val="6ABA55F7"/>
    <w:rsid w:val="6B0E1E52"/>
    <w:rsid w:val="6B101FFA"/>
    <w:rsid w:val="6B225BFF"/>
    <w:rsid w:val="6B3B04E6"/>
    <w:rsid w:val="6B7B3EA2"/>
    <w:rsid w:val="6BC404DB"/>
    <w:rsid w:val="6C217899"/>
    <w:rsid w:val="6C383234"/>
    <w:rsid w:val="6D1E75A7"/>
    <w:rsid w:val="6D2C1960"/>
    <w:rsid w:val="6DAD4F9F"/>
    <w:rsid w:val="6E620096"/>
    <w:rsid w:val="6EC66318"/>
    <w:rsid w:val="6F351203"/>
    <w:rsid w:val="6F5F670E"/>
    <w:rsid w:val="6F7F39CE"/>
    <w:rsid w:val="700E5917"/>
    <w:rsid w:val="70A71B14"/>
    <w:rsid w:val="70D07988"/>
    <w:rsid w:val="70D34082"/>
    <w:rsid w:val="7103096B"/>
    <w:rsid w:val="710A5289"/>
    <w:rsid w:val="71335C6F"/>
    <w:rsid w:val="71EA6C47"/>
    <w:rsid w:val="724A3704"/>
    <w:rsid w:val="72A06FE1"/>
    <w:rsid w:val="72BA03CC"/>
    <w:rsid w:val="73090A51"/>
    <w:rsid w:val="731C6E4F"/>
    <w:rsid w:val="739C4F82"/>
    <w:rsid w:val="73A63630"/>
    <w:rsid w:val="73A65C88"/>
    <w:rsid w:val="7480798C"/>
    <w:rsid w:val="75337F89"/>
    <w:rsid w:val="755C5220"/>
    <w:rsid w:val="75807D75"/>
    <w:rsid w:val="75A07EBA"/>
    <w:rsid w:val="75E34125"/>
    <w:rsid w:val="75EB7322"/>
    <w:rsid w:val="760F40BA"/>
    <w:rsid w:val="762B2E63"/>
    <w:rsid w:val="76A33F8C"/>
    <w:rsid w:val="771D1DEC"/>
    <w:rsid w:val="777466F8"/>
    <w:rsid w:val="77997B9A"/>
    <w:rsid w:val="77BC7969"/>
    <w:rsid w:val="77DE2925"/>
    <w:rsid w:val="786208E0"/>
    <w:rsid w:val="790258E1"/>
    <w:rsid w:val="79145560"/>
    <w:rsid w:val="795374CB"/>
    <w:rsid w:val="797C27AB"/>
    <w:rsid w:val="79CE38C9"/>
    <w:rsid w:val="7A932B25"/>
    <w:rsid w:val="7ABD69E8"/>
    <w:rsid w:val="7AE220D3"/>
    <w:rsid w:val="7AE446F6"/>
    <w:rsid w:val="7B377AE0"/>
    <w:rsid w:val="7B713CC0"/>
    <w:rsid w:val="7C18217D"/>
    <w:rsid w:val="7C3E7E36"/>
    <w:rsid w:val="7CAA7EEB"/>
    <w:rsid w:val="7CDB07A5"/>
    <w:rsid w:val="7D7527FA"/>
    <w:rsid w:val="7D911329"/>
    <w:rsid w:val="7DA956A4"/>
    <w:rsid w:val="7DBA6FC8"/>
    <w:rsid w:val="7E3077B5"/>
    <w:rsid w:val="7E7D540F"/>
    <w:rsid w:val="7E990101"/>
    <w:rsid w:val="7EEF71C5"/>
    <w:rsid w:val="7EEF74C8"/>
    <w:rsid w:val="7F0D26DB"/>
    <w:rsid w:val="7F117E41"/>
    <w:rsid w:val="7FA56256"/>
    <w:rsid w:val="7FF8654D"/>
  </w:rsids>
  <m:mathPr>
    <m:mathFont val="Cambria Math"/>
    <m:brkBin val="before"/>
    <m:brkBinSub val="--"/>
    <m:smallFrac val="1"/>
    <m:dispDef/>
    <m:lMargin val="0"/>
    <m:rMargin val="0"/>
    <m:defJc val="centerGroup"/>
    <m:wrapIndent val="1440"/>
    <m:intLim val="subSup"/>
    <m:naryLim val="undOvr"/>
  </m:mathPr>
  <w:themeFontLang w:eastAsia="zh-CN" w:val="en-US"/>
  <w:clrSchemeMapping w:bg1="lt1" w:t1="dark1" w:bg2="lt2" w:t2="dark2" w:accent1="accent1" w:accent2="accent2" w:accent3="accent3" w:accent4="accent4" w:accent5="accent5" w:accent6="accent6" w:hyperlink="hyperlink" w:followedHyperlink="followedHyperlink" tx1="dk1" tx2="dk2"/>
  <w:decimalSymbol/>
  <w:listSeparator/>
</w:settings>
</file>

<file path=word/styles.xml><?xml version="1.0" encoding="utf-8"?>
<w:styles xmlns:wpsCustomData="http://www.wps.cn/officeDocument/2013/wpsCustomData" xmlns:w10="urn:schemas-microsoft-com:office:word" xmlns:w14="http://schemas.microsoft.com/office/word/2010/wordml" xmlns:r="http://schemas.openxmlformats.org/officeDocument/2006/relationships" xmlns:sl="http://schemas.openxmlformats.org/schemaLibrary/2006/main" xmlns:v="urn:schemas-microsoft-com:vml" xmlns:m="http://schemas.openxmlformats.org/officeDocument/2006/math" xmlns:w="http://schemas.openxmlformats.org/wordprocessingml/2006/main" xmlns:o="urn:schemas-microsoft-com:office:office" xmlns:mc="http://schemas.openxmlformats.org/markup-compatibility/2006" mc:Ignorable="w14">
  <w:docDefaults>
    <w:rPrDefault>
      <w:rPr>
        <w:rFonts w:ascii="Times New Roman" w:hAnsi="Times New Roman" w:eastAsia="宋体" w:cs="Times New Roman"/>
      </w:rPr>
    </w:rPrDefault>
    <w:pPrDefault/>
  </w:docDefaults>
  <w:latentStyles w:defLockedState="0" w:defSemiHidden="1" w:defUnhideWhenUsed="1" w:defQFormat="0" w:defUIPriority="99" w:count="260">
    <w:lsdException w:name="Balloon Text"/>
    <w:lsdException w:name="Block Text"/>
    <w:lsdException w:name="Body Text"/>
    <w:lsdException w:name="Body Text 2"/>
    <w:lsdException w:name="Body Text 3"/>
    <w:lsdException w:name="Body Text First Indent"/>
    <w:lsdException w:name="Body Text First Indent 2"/>
    <w:lsdException w:name="Body Text Indent"/>
    <w:lsdException w:name="Body Text Indent 2"/>
    <w:lsdException w:name="Body Text Indent 3"/>
    <w:lsdException w:name="Closing"/>
    <w:lsdException w:name="Colorful Grid" w:semiHidden="0" w:unhideWhenUsed="0"/>
    <w:lsdException w:name="Colorful Grid Accent 1" w:semiHidden="0" w:unhideWhenUsed="0"/>
    <w:lsdException w:name="Colorful Grid Accent 2" w:semiHidden="0" w:unhideWhenUsed="0"/>
    <w:lsdException w:name="Colorful Grid Accent 3" w:semiHidden="0" w:unhideWhenUsed="0"/>
    <w:lsdException w:name="Colorful Grid Accent 4" w:semiHidden="0" w:unhideWhenUsed="0"/>
    <w:lsdException w:name="Colorful Grid Accent 5" w:semiHidden="0" w:unhideWhenUsed="0"/>
    <w:lsdException w:name="Colorful Grid Accent 6" w:semiHidden="0" w:unhideWhenUsed="0"/>
    <w:lsdException w:name="Colorful List" w:semiHidden="0" w:unhideWhenUsed="0"/>
    <w:lsdException w:name="Colorful List Accent 1" w:semiHidden="0" w:unhideWhenUsed="0"/>
    <w:lsdException w:name="Colorful List Accent 2" w:semiHidden="0" w:unhideWhenUsed="0"/>
    <w:lsdException w:name="Colorful List Accent 3" w:semiHidden="0" w:unhideWhenUsed="0"/>
    <w:lsdException w:name="Colorful List Accent 4" w:semiHidden="0" w:unhideWhenUsed="0"/>
    <w:lsdException w:name="Colorful List Accent 5" w:semiHidden="0" w:unhideWhenUsed="0"/>
    <w:lsdException w:name="Colorful List Accent 6" w:semiHidden="0" w:unhideWhenUsed="0"/>
    <w:lsdException w:name="Colorful Shading" w:semiHidden="0" w:unhideWhenUsed="0"/>
    <w:lsdException w:name="Colorful Shading Accent 1" w:semiHidden="0" w:unhideWhenUsed="0"/>
    <w:lsdException w:name="Colorful Shading Accent 2" w:semiHidden="0" w:unhideWhenUsed="0"/>
    <w:lsdException w:name="Colorful Shading Accent 3" w:semiHidden="0" w:unhideWhenUsed="0"/>
    <w:lsdException w:name="Colorful Shading Accent 4" w:semiHidden="0" w:unhideWhenUsed="0"/>
    <w:lsdException w:name="Colorful Shading Accent 5" w:semiHidden="0" w:unhideWhenUsed="0"/>
    <w:lsdException w:name="Colorful Shading Accent 6" w:semiHidden="0" w:unhideWhenUsed="0"/>
    <w:lsdException w:name="Dark List" w:semiHidden="0" w:unhideWhenUsed="0"/>
    <w:lsdException w:name="Dark List Accent 1" w:semiHidden="0" w:unhideWhenUsed="0"/>
    <w:lsdException w:name="Dark List Accent 2" w:semiHidden="0" w:unhideWhenUsed="0"/>
    <w:lsdException w:name="Dark List Accent 3" w:semiHidden="0" w:unhideWhenUsed="0"/>
    <w:lsdException w:name="Dark List Accent 4" w:semiHidden="0" w:unhideWhenUsed="0"/>
    <w:lsdException w:name="Dark List Accent 5" w:semiHidden="0" w:unhideWhenUsed="0"/>
    <w:lsdException w:name="Dark List Accent 6" w:semiHidden="0" w:unhideWhenUsed="0"/>
    <w:lsdException w:name="Date"/>
    <w:lsdException w:name="Default Paragraph Font"/>
    <w:lsdException w:name="Document Map"/>
    <w:lsdException w:name="E-mail Signature"/>
    <w:lsdException w:name="Emphasis" w:semiHidden="0" w:unhideWhenUsed="0"/>
    <w:lsdException w:name="FollowedHyperlink"/>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Hyperlink"/>
    <w:lsdException w:name="Light Grid" w:semiHidden="0" w:unhideWhenUsed="0"/>
    <w:lsdException w:name="Light Grid Accent 1" w:semiHidden="0" w:unhideWhenUsed="0"/>
    <w:lsdException w:name="Light Grid Accent 2" w:semiHidden="0" w:unhideWhenUsed="0"/>
    <w:lsdException w:name="Light Grid Accent 3" w:semiHidden="0" w:unhideWhenUsed="0"/>
    <w:lsdException w:name="Light Grid Accent 4" w:semiHidden="0" w:unhideWhenUsed="0"/>
    <w:lsdException w:name="Light Grid Accent 5" w:semiHidden="0" w:unhideWhenUsed="0"/>
    <w:lsdException w:name="Light Grid Accent 6" w:semiHidden="0" w:unhideWhenUsed="0"/>
    <w:lsdException w:name="Light List" w:semiHidden="0" w:unhideWhenUsed="0"/>
    <w:lsdException w:name="Light List Accent 1" w:semiHidden="0" w:unhideWhenUsed="0"/>
    <w:lsdException w:name="Light List Accent 2" w:semiHidden="0" w:unhideWhenUsed="0"/>
    <w:lsdException w:name="Light List Accent 3" w:semiHidden="0" w:unhideWhenUsed="0"/>
    <w:lsdException w:name="Light List Accent 4" w:semiHidden="0" w:unhideWhenUsed="0"/>
    <w:lsdException w:name="Light List Accent 5" w:semiHidden="0" w:unhideWhenUsed="0"/>
    <w:lsdException w:name="Light List Accent 6" w:semiHidden="0" w:unhideWhenUsed="0"/>
    <w:lsdException w:name="Light Shading" w:semiHidden="0" w:unhideWhenUsed="0"/>
    <w:lsdException w:name="Light Shading Accent 1" w:semiHidden="0" w:unhideWhenUsed="0"/>
    <w:lsdException w:name="Light Shading Accent 2" w:semiHidden="0" w:unhideWhenUsed="0"/>
    <w:lsdException w:name="Light Shading Accent 3" w:semiHidden="0" w:unhideWhenUsed="0"/>
    <w:lsdException w:name="Light Shading Accent 4" w:semiHidden="0" w:unhideWhenUsed="0"/>
    <w:lsdException w:name="Light Shading Accent 5" w:semiHidden="0" w:unhideWhenUsed="0"/>
    <w:lsdException w:name="Light Shading Accent 6" w:semiHidden="0" w:unhideWhenUsed="0"/>
    <w:lsdException w:name="List"/>
    <w:lsdException w:name="List 2"/>
    <w:lsdException w:name="List 3"/>
    <w:lsdException w:name="List 4"/>
    <w:lsdException w:name="List 5"/>
    <w:lsdException w:name="List Bullet"/>
    <w:lsdException w:name="List Bullet 2"/>
    <w:lsdException w:name="List Bullet 3"/>
    <w:lsdException w:name="List Bullet 4"/>
    <w:lsdException w:name="List Bullet 5"/>
    <w:lsdException w:name="List Continue"/>
    <w:lsdException w:name="List Continue 2"/>
    <w:lsdException w:name="List Continue 3"/>
    <w:lsdException w:name="List Continue 4"/>
    <w:lsdException w:name="List Continue 5"/>
    <w:lsdException w:name="List Number"/>
    <w:lsdException w:name="List Number 2"/>
    <w:lsdException w:name="List Number 3"/>
    <w:lsdException w:name="List Number 4"/>
    <w:lsdException w:name="List Number 5"/>
    <w:lsdException w:name="Medium Grid 1" w:semiHidden="0" w:unhideWhenUsed="0"/>
    <w:lsdException w:name="Medium Grid 1 Accent 1" w:semiHidden="0" w:unhideWhenUsed="0"/>
    <w:lsdException w:name="Medium Grid 1 Accent 2" w:semiHidden="0" w:unhideWhenUsed="0"/>
    <w:lsdException w:name="Medium Grid 1 Accent 3" w:semiHidden="0" w:unhideWhenUsed="0"/>
    <w:lsdException w:name="Medium Grid 1 Accent 4" w:semiHidden="0" w:unhideWhenUsed="0"/>
    <w:lsdException w:name="Medium Grid 1 Accent 5" w:semiHidden="0" w:unhideWhenUsed="0"/>
    <w:lsdException w:name="Medium Grid 1 Accent 6" w:semiHidden="0" w:unhideWhenUsed="0"/>
    <w:lsdException w:name="Medium Grid 2" w:semiHidden="0" w:unhideWhenUsed="0"/>
    <w:lsdException w:name="Medium Grid 2 Accent 1" w:semiHidden="0" w:unhideWhenUsed="0"/>
    <w:lsdException w:name="Medium Grid 2 Accent 2" w:semiHidden="0" w:unhideWhenUsed="0"/>
    <w:lsdException w:name="Medium Grid 2 Accent 3" w:semiHidden="0" w:unhideWhenUsed="0"/>
    <w:lsdException w:name="Medium Grid 2 Accent 4" w:semiHidden="0" w:unhideWhenUsed="0"/>
    <w:lsdException w:name="Medium Grid 2 Accent 5" w:semiHidden="0" w:unhideWhenUsed="0"/>
    <w:lsdException w:name="Medium Grid 2 Accent 6" w:semiHidden="0" w:unhideWhenUsed="0"/>
    <w:lsdException w:name="Medium Grid 3" w:semiHidden="0" w:unhideWhenUsed="0"/>
    <w:lsdException w:name="Medium Grid 3 Accent 1" w:semiHidden="0" w:unhideWhenUsed="0"/>
    <w:lsdException w:name="Medium Grid 3 Accent 2" w:semiHidden="0" w:unhideWhenUsed="0"/>
    <w:lsdException w:name="Medium Grid 3 Accent 3" w:semiHidden="0" w:unhideWhenUsed="0"/>
    <w:lsdException w:name="Medium Grid 3 Accent 4" w:semiHidden="0" w:unhideWhenUsed="0"/>
    <w:lsdException w:name="Medium Grid 3 Accent 5" w:semiHidden="0" w:unhideWhenUsed="0"/>
    <w:lsdException w:name="Medium Grid 3 Accent 6" w:semiHidden="0" w:unhideWhenUsed="0"/>
    <w:lsdException w:name="Medium List 1" w:semiHidden="0" w:unhideWhenUsed="0"/>
    <w:lsdException w:name="Medium List 1 Accent 1" w:semiHidden="0" w:unhideWhenUsed="0"/>
    <w:lsdException w:name="Medium List 1 Accent 2" w:semiHidden="0" w:unhideWhenUsed="0"/>
    <w:lsdException w:name="Medium List 1 Accent 3" w:semiHidden="0" w:unhideWhenUsed="0"/>
    <w:lsdException w:name="Medium List 1 Accent 4" w:semiHidden="0" w:unhideWhenUsed="0"/>
    <w:lsdException w:name="Medium List 1 Accent 5" w:semiHidden="0" w:unhideWhenUsed="0"/>
    <w:lsdException w:name="Medium List 1 Accent 6" w:semiHidden="0" w:unhideWhenUsed="0"/>
    <w:lsdException w:name="Medium List 2" w:semiHidden="0" w:unhideWhenUsed="0"/>
    <w:lsdException w:name="Medium List 2 Accent 1" w:semiHidden="0" w:unhideWhenUsed="0"/>
    <w:lsdException w:name="Medium List 2 Accent 2" w:semiHidden="0" w:unhideWhenUsed="0"/>
    <w:lsdException w:name="Medium List 2 Accent 3" w:semiHidden="0" w:unhideWhenUsed="0"/>
    <w:lsdException w:name="Medium List 2 Accent 4" w:semiHidden="0" w:unhideWhenUsed="0"/>
    <w:lsdException w:name="Medium List 2 Accent 5" w:semiHidden="0" w:unhideWhenUsed="0"/>
    <w:lsdException w:name="Medium List 2 Accent 6" w:semiHidden="0" w:unhideWhenUsed="0"/>
    <w:lsdException w:name="Medium Shading 1" w:semiHidden="0" w:unhideWhenUsed="0"/>
    <w:lsdException w:name="Medium Shading 1 Accent 1" w:semiHidden="0" w:unhideWhenUsed="0"/>
    <w:lsdException w:name="Medium Shading 1 Accent 2" w:semiHidden="0" w:unhideWhenUsed="0"/>
    <w:lsdException w:name="Medium Shading 1 Accent 3" w:semiHidden="0" w:unhideWhenUsed="0"/>
    <w:lsdException w:name="Medium Shading 1 Accent 4" w:semiHidden="0" w:unhideWhenUsed="0"/>
    <w:lsdException w:name="Medium Shading 1 Accent 5" w:semiHidden="0" w:unhideWhenUsed="0"/>
    <w:lsdException w:name="Medium Shading 1 Accent 6" w:semiHidden="0" w:unhideWhenUsed="0"/>
    <w:lsdException w:name="Medium Shading 2" w:semiHidden="0" w:unhideWhenUsed="0"/>
    <w:lsdException w:name="Medium Shading 2 Accent 1" w:semiHidden="0" w:unhideWhenUsed="0"/>
    <w:lsdException w:name="Medium Shading 2 Accent 2" w:semiHidden="0" w:unhideWhenUsed="0"/>
    <w:lsdException w:name="Medium Shading 2 Accent 3" w:semiHidden="0" w:unhideWhenUsed="0"/>
    <w:lsdException w:name="Medium Shading 2 Accent 4" w:semiHidden="0" w:unhideWhenUsed="0"/>
    <w:lsdException w:name="Medium Shading 2 Accent 5" w:semiHidden="0" w:unhideWhenUsed="0"/>
    <w:lsdException w:name="Medium Shading 2 Accent 6" w:semiHidden="0" w:unhideWhenUsed="0"/>
    <w:lsdException w:name="Message Header"/>
    <w:lsdException w:name="Normal" w:semiHidden="0" w:unhideWhenUsed="0"/>
    <w:lsdException w:name="Normal (Web)"/>
    <w:lsdException w:name="Normal Indent"/>
    <w:lsdException w:name="Normal Table"/>
    <w:lsdException w:name="Note Heading"/>
    <w:lsdException w:name="Plain Text" w:semiHidden="0" w:unhideWhenUsed="0"/>
    <w:lsdException w:name="Salutation"/>
    <w:lsdException w:name="Signature"/>
    <w:lsdException w:name="Strong" w:semiHidden="0" w:unhideWhenUsed="0"/>
    <w:lsdException w:name="Subtitle" w:semiHidden="0" w:unhideWhenUsed="0"/>
    <w:lsdException w:name="Table 3D effects 1"/>
    <w:lsdException w:name="Table 3D effects 2"/>
    <w:lsdException w:name="Table 3D effects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Contemporary"/>
    <w:lsdException w:name="Table Elegant"/>
    <w:lsdException w:name="Table Grid"/>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Professional"/>
    <w:lsdException w:name="Table Simple 1"/>
    <w:lsdException w:name="Table Simple 2"/>
    <w:lsdException w:name="Table Simple 3"/>
    <w:lsdException w:name="Table Subtle 1"/>
    <w:lsdException w:name="Table Subtle 2"/>
    <w:lsdException w:name="Table Theme"/>
    <w:lsdException w:name="Table Web 1"/>
    <w:lsdException w:name="Table Web 2"/>
    <w:lsdException w:name="Table Web 3"/>
    <w:lsdException w:name="Title" w:semiHidden="0" w:unhideWhenUsed="0"/>
    <w:lsdException w:name="annotation reference"/>
    <w:lsdException w:name="annotation subject"/>
    <w:lsdException w:name="annotation text"/>
    <w:lsdException w:name="caption"/>
    <w:lsdException w:name="endnote reference"/>
    <w:lsdException w:name="endnote text"/>
    <w:lsdException w:name="envelope address"/>
    <w:lsdException w:name="envelope return"/>
    <w:lsdException w:name="footer"/>
    <w:lsdException w:name="footnote reference"/>
    <w:lsdException w:name="footnote text"/>
    <w:lsdException w:name="header"/>
    <w:lsdException w:name="heading 1" w:semiHidden="0" w:unhideWhenUsed="0"/>
    <w:lsdException w:name="heading 2"/>
    <w:lsdException w:name="heading 3"/>
    <w:lsdException w:name="heading 4"/>
    <w:lsdException w:name="heading 5"/>
    <w:lsdException w:name="heading 6"/>
    <w:lsdException w:name="heading 7"/>
    <w:lsdException w:name="heading 8"/>
    <w:lsdException w:name="heading 9"/>
    <w:lsdException w:name="index 1"/>
    <w:lsdException w:name="index 2"/>
    <w:lsdException w:name="index 3"/>
    <w:lsdException w:name="index 4"/>
    <w:lsdException w:name="index 5"/>
    <w:lsdException w:name="index 6"/>
    <w:lsdException w:name="index 7"/>
    <w:lsdException w:name="index 8"/>
    <w:lsdException w:name="index 9"/>
    <w:lsdException w:name="index heading"/>
    <w:lsdException w:name="line number"/>
    <w:lsdException w:name="macro"/>
    <w:lsdException w:name="page number"/>
    <w:lsdException w:name="table of authorities"/>
    <w:lsdException w:name="table of figures"/>
    <w:lsdException w:name="toa heading"/>
    <w:lsdException w:name="toc 1"/>
    <w:lsdException w:name="toc 2"/>
    <w:lsdException w:name="toc 3"/>
    <w:lsdException w:name="toc 4"/>
    <w:lsdException w:name="toc 5"/>
    <w:lsdException w:name="toc 6"/>
    <w:lsdException w:name="toc 7"/>
    <w:lsdException w:name="toc 8"/>
    <w:lsdException w:name="toc 9"/>
  </w:latentStyles>
  <w:style w:type="paragraph" w:styleId="1" w:default="1">
    <w:name w:val="Normal"/>
    <w:uiPriority w:val="0"/>
    <w:qFormat/>
    <w:pPr>
      <w:widowControl w:val="0"/>
      <w:jc w:val="both"/>
      <w:widowControl w:val="0"/>
    </w:pPr>
    <w:rPr>
      <w:sz w:val="21"/>
      <w:lang w:val="en-US" w:eastAsia="zh-CN" w:bidi="ar-SA"/>
      <w:kern w:val="2"/>
      <w:szCs w:val="22"/>
      <w:rFonts w:ascii="Calibri" w:hAnsi="Calibri" w:eastAsia="宋体" w:cs="黑体"/>
    </w:rPr>
  </w:style>
  <w:style w:type="character" w:styleId="6" w:default="1">
    <w:name w:val="Default Paragraph Font"/>
    <w:uiPriority w:val="1"/>
    <w:semiHidden/>
    <w:unhideWhenUsed/>
    <w:qFormat/>
  </w:style>
  <w:style w:type="table" w:styleId="5" w:default="1">
    <w:name w:val="Normal Table"/>
    <w:uiPriority w:val="99"/>
    <w:semiHidden/>
    <w:unhideWhenUsed/>
    <w:qFormat/>
    <w:tblPr>
      <w:tblCellMar>
        <w:top w:type="dxa" w:w="0.000000"/>
        <w:bottom w:type="dxa" w:w="0.000000"/>
        <w:left w:type="dxa" w:w="108.000000"/>
        <w:right w:type="dxa" w:w="108.000000"/>
      </w:tblCellMar>
    </w:tblPr>
  </w:style>
  <w:style w:type="paragraph" w:styleId="2">
    <w:name w:val="Plain Text"/>
    <w:basedOn w:val="1"/>
    <w:uiPriority w:val="99"/>
    <w:qFormat/>
    <w:rPr>
      <w:rFonts w:hAnsi="Courier New" w:cs="Courier New"/>
    </w:rPr>
  </w:style>
  <w:style w:type="paragraph" w:styleId="3">
    <w:name w:val="footer"/>
    <w:basedOn w:val="1"/>
    <w:link w:val="10"/>
    <w:uiPriority w:val="99"/>
    <w:semiHidden/>
    <w:unhideWhenUsed/>
    <w:qFormat/>
    <w:pPr>
      <w:snapToGrid w:val="0"/>
      <w:jc w:val="left"/>
      <w:tabs>
        <w:tab w:val="center" w:pos="4153"/>
        <w:tab w:val="right" w:pos="8306"/>
      </w:tabs>
    </w:pPr>
    <w:rPr>
      <w:sz w:val="18"/>
      <w:szCs w:val="18"/>
    </w:rPr>
  </w:style>
  <w:style w:type="paragraph" w:styleId="4">
    <w:name w:val="header"/>
    <w:basedOn w:val="1"/>
    <w:link w:val="9"/>
    <w:uiPriority w:val="99"/>
    <w:semiHidden/>
    <w:unhideWhenUsed/>
    <w:qFormat/>
    <w:pPr>
      <w:snapToGrid w:val="0"/>
      <w:jc w:val="center"/>
      <w:pBdr>
        <w:bottom w:val="single" w:color="auto" w:sz="6" w:space="1"/>
      </w:pBdr>
      <w:tabs>
        <w:tab w:val="center" w:pos="4153"/>
        <w:tab w:val="right" w:pos="8306"/>
      </w:tabs>
    </w:pPr>
    <w:rPr>
      <w:sz w:val="18"/>
      <w:szCs w:val="18"/>
    </w:rPr>
  </w:style>
  <w:style w:type="paragraph" w:styleId="7" w:customStyle="1">
    <w:name w:val="列出段落1"/>
    <w:basedOn w:val="1"/>
    <w:uiPriority w:val="34"/>
    <w:qFormat/>
    <w:pPr>
      <w:ind w:firstLine="420" w:firstLineChars="200"/>
    </w:pPr>
  </w:style>
  <w:style w:type="paragraph" w:styleId="8" w:customStyle="1">
    <w:name w:val="正文1 Char Char Char"/>
    <w:basedOn w:val="1"/>
    <w:uiPriority w:val="0"/>
    <w:qFormat/>
    <w:pPr>
      <w:widowControl w:val="1"/>
      <w:jc w:val="left"/>
      <w:widowControl/>
      <w:spacing w:line="360" w:lineRule="auto"/>
      <w:ind w:firstLine="200" w:firstLineChars="200"/>
    </w:pPr>
    <w:rPr>
      <w:sz w:val="24"/>
      <w:kern w:val="0"/>
      <w:szCs w:val="24"/>
      <w:rFonts w:ascii="宋体" w:hAnsi="宋体" w:cs="宋体"/>
    </w:rPr>
  </w:style>
  <w:style w:type="character" w:styleId="9" w:customStyle="1">
    <w:name w:val="页眉 Char"/>
    <w:basedOn w:val="6"/>
    <w:link w:val="4"/>
    <w:uiPriority w:val="99"/>
    <w:semiHidden/>
    <w:qFormat/>
    <w:rPr>
      <w:sz w:val="18"/>
      <w:szCs w:val="18"/>
    </w:rPr>
  </w:style>
  <w:style w:type="character" w:styleId="10" w:customStyle="1">
    <w:name w:val="页脚 Char"/>
    <w:basedOn w:val="6"/>
    <w:link w:val="3"/>
    <w:uiPriority w:val="99"/>
    <w:semiHidden/>
    <w:qFormat/>
    <w:rPr>
      <w:sz w:val="18"/>
      <w:szCs w:val="18"/>
    </w:rPr>
  </w:style>
  <w:style w:type="paragraph" w:styleId="11" w:customStyle="1">
    <w:name w:val="列出段落11"/>
    <w:basedOn w:val="1"/>
    <w:uiPriority w:val="34"/>
    <w:qFormat/>
    <w:pPr>
      <w:ind w:firstLine="420" w:firstLineChars="200"/>
    </w:pPr>
  </w:style>
  <w:style w:type="paragraph" w:styleId="12" w:customStyle="1">
    <w:name w:val="List Paragraph"/>
    <w:basedOn w:val="1"/>
    <w:uiPriority w:val="34"/>
    <w:qFormat/>
    <w:pPr>
      <w:ind w:firstLine="420" w:firstLineChars="200"/>
    </w:pPr>
  </w:style>
</w:styles>
</file>

<file path=word/_rels/document.xml.rels><?xml version="1.0" encoding="UTF-8" standalone="yes"?><Relationships xmlns="http://schemas.openxmlformats.org/package/2006/relationships"><Relationship Id="rId2" Type="http://schemas.openxmlformats.org/officeDocument/2006/relationships/fontTable" Target="fontTable.xml" /><Relationship Id="rId3" Type="http://schemas.openxmlformats.org/officeDocument/2006/relationships/theme" Target="theme/theme1.xml" /><Relationship Id="rId1" Type="http://schemas.openxmlformats.org/officeDocument/2006/relationships/settings" Target="settings.xml" /><Relationship Id="rId0"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
        <a:ea typeface=""/>
        <a:cs typeface=""/>
        <a:font script="Viet" typeface="Times New Roman"/>
        <a:font script="Geor" typeface="Sylfaen"/>
        <a:font script="Sinh" typeface="Iskoola Pota"/>
        <a:font script="Laoo" typeface="DokChampa"/>
        <a:font script="Orya" typeface="Kalinga"/>
        <a:font script="Mong" typeface="Mongolian Baiti"/>
        <a:font script="Mlym" typeface="Kartika"/>
        <a:font script="Hang" typeface="맑은 고딕"/>
        <a:font script="Telu" typeface="Gautami"/>
        <a:font script="Deva" typeface="Mangal"/>
        <a:font script="Tibt" typeface="Microsoft Himalaya"/>
        <a:font script="Cans" typeface="Euphemia"/>
        <a:font script="Khmr" typeface="MoolBoran"/>
        <a:font script="Syrc" typeface="Estrangelo Edessa"/>
        <a:font script="Thai" typeface="Tahoma"/>
        <a:font script="Gujr" typeface="Shruti"/>
        <a:font script="Uigh" typeface="Microsoft Uighur"/>
        <a:font script="Beng" typeface="Vrinda"/>
        <a:font script="Jpan" typeface="ＭＳ Ｐゴシック"/>
        <a:font script="Thaa" typeface="MV Boli"/>
        <a:font script="Cher" typeface="Plantagenet Cherokee"/>
        <a:font script="Hebr" typeface="Times New Roman"/>
        <a:font script="Yiii" typeface="Microsoft Yi Baiti"/>
        <a:font script="Guru" typeface="Raavi"/>
        <a:font script="Hans" typeface="宋体"/>
        <a:font script="Ethi" typeface="Nyala"/>
        <a:font script="Taml" typeface="Latha"/>
        <a:font script="Knda" typeface="Tunga"/>
        <a:font script="Arab" typeface="Times New Roman"/>
        <a:font script="Hant" typeface="新細明體"/>
      </a:majorFont>
      <a:minorFont>
        <a:latin typeface="Calibri" panose=""/>
        <a:ea typeface=""/>
        <a:cs typeface=""/>
        <a:font script="Viet" typeface="Arial"/>
        <a:font script="Geor" typeface="Sylfaen"/>
        <a:font script="Sinh" typeface="Iskoola Pota"/>
        <a:font script="Laoo" typeface="DokChampa"/>
        <a:font script="Orya" typeface="Kalinga"/>
        <a:font script="Mong" typeface="Mongolian Baiti"/>
        <a:font script="Mlym" typeface="Kartika"/>
        <a:font script="Hang" typeface="맑은 고딕"/>
        <a:font script="Telu" typeface="Gautami"/>
        <a:font script="Deva" typeface="Mangal"/>
        <a:font script="Tibt" typeface="Microsoft Himalaya"/>
        <a:font script="Cans" typeface="Euphemia"/>
        <a:font script="Khmr" typeface="DaunPenh"/>
        <a:font script="Syrc" typeface="Estrangelo Edessa"/>
        <a:font script="Thai" typeface="Tahoma"/>
        <a:font script="Gujr" typeface="Shruti"/>
        <a:font script="Uigh" typeface="Microsoft Uighur"/>
        <a:font script="Beng" typeface="Vrinda"/>
        <a:font script="Jpan" typeface="ＭＳ Ｐゴシック"/>
        <a:font script="Thaa" typeface="MV Boli"/>
        <a:font script="Cher" typeface="Plantagenet Cherokee"/>
        <a:font script="Hebr" typeface="Arial"/>
        <a:font script="Yiii" typeface="Microsoft Yi Baiti"/>
        <a:font script="Guru" typeface="Raavi"/>
        <a:font script="Hans" typeface="宋体"/>
        <a:font script="Ethi" typeface="Nyala"/>
        <a:font script="Taml" typeface="Latha"/>
        <a:font script="Knda" typeface="Tunga"/>
        <a:font script="Arab" typeface="Arial"/>
        <a:font script="Hant" typeface="新細明體"/>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docProps/app.xml><?xml version="1.0" encoding="utf-8"?>
<Properties xmlns:vt="http://schemas.openxmlformats.org/officeDocument/2006/docPropsVTypes" xmlns="http://schemas.openxmlformats.org/officeDocument/2006/extended-properties">
  <Template>Normal</Template>
  <TotalTime>0</TotalTime>
  <Pages>15</Pages>
  <Words>5636</Words>
  <Characters>6221</Characters>
  <Application>WPS Office_12.1.0.16250_F1E327BC-269C-435d-A152-05C5408002CA</Application>
  <DocSecurity>0</DocSecurity>
  <Lines>5</Lines>
  <Paragraphs>10</Paragraphs>
  <ScaleCrop>false</ScaleCrop>
  <Company/>
  <LinksUpToDate>false</LinksUpToDate>
  <CharactersWithSpaces>6243</CharactersWithSpaces>
  <SharedDoc>false</SharedDoc>
  <HyperlinksChanged>false</HyperlinksChanged>
</Properties>
</file>

<file path=docProps/core.xml><?xml version="1.0" encoding="utf-8"?>
<cp:coreProperties xmlns:xsi="http://www.w3.org/2001/XMLSchema-instance" xmlns:dcmitype="http://purl.org/dc/dcmitype/" xmlns:dc="http://purl.org/dc/elements/1.1/" xmlns:dcterms="http://purl.org/dc/terms/" xmlns:cp="http://schemas.openxmlformats.org/package/2006/metadata/core-properties">
  <dc:title>××年××部门（单位）预算</dc:title>
  <dc:subject/>
  <dc:creator>null,null,总收发</dc:creator>
  <cp:keywords/>
  <dc:description/>
  <cp:lastModifiedBy>南天✦</cp:lastModifiedBy>
  <cp:revision>6</cp:revision>
  <dcterms:created xsi:type="dcterms:W3CDTF">2017-02-03T07:31:00Z</dcterms:created>
  <dcterms:modified xsi:type="dcterms:W3CDTF">2024-02-22T10:15:39Z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2052-12.1.0.16250</vt:lpwstr>
  </property>
  <property fmtid="{D5CDD505-2E9C-101B-9397-08002B2CF9AE}" pid="3" name="ICV">
    <vt:lpwstr>9EFE4470BD0640E48EA16B613CB5C758_13</vt:lpwstr>
  </property>
</Properties>
</file>

<file path=tbak/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242424"/>
          <w:sz w:val="84"/>
          <w:szCs w:val="84"/>
          <w:u w:val="single"/>
        </w:rPr>
      </w:pPr>
    </w:p>
    <w:p>
      <w:pPr>
        <w:rPr>
          <w:color w:val="242424"/>
          <w:sz w:val="84"/>
          <w:szCs w:val="84"/>
          <w:u w:val="single"/>
        </w:rPr>
      </w:pPr>
    </w:p>
    <w:p>
      <w:pPr>
        <w:rPr>
          <w:color w:val="242424"/>
          <w:sz w:val="84"/>
          <w:szCs w:val="84"/>
          <w:u w:val="single"/>
        </w:rPr>
      </w:pPr>
    </w:p>
    <w:p>
      <w:pPr>
        <w:jc w:val="both"/>
        <w:rPr>
          <w:rFonts w:hint="eastAsia"/>
          <w:color w:val="242424"/>
          <w:sz w:val="52"/>
          <w:szCs w:val="52"/>
        </w:rPr>
      </w:pPr>
    </w:p>
    <w:p>
      <w:pPr>
        <w:jc w:val="center"/>
        <w:rPr>
          <w:rFonts w:hint="eastAsia"/>
          <w:color w:val="242424"/>
          <w:sz w:val="52"/>
          <w:szCs w:val="52"/>
        </w:rPr>
      </w:pPr>
    </w:p>
    <w:p>
      <w:pPr>
        <w:jc w:val="both"/>
        <w:rPr>
          <w:rFonts w:hint="eastAsia" w:eastAsia="宋体"/>
          <w:color w:val="auto"/>
          <w:sz w:val="52"/>
          <w:szCs w:val="52"/>
          <w:lang w:val="en-US" w:eastAsia="zh-CN"/>
        </w:rPr>
      </w:pPr>
      <w:r>
        <w:rPr>
          <w:rFonts w:hint="eastAsia"/>
          <w:color w:val="auto"/>
          <w:sz w:val="52"/>
          <w:szCs w:val="52"/>
          <w:lang w:val="en-US" w:eastAsia="zh-CN"/>
        </w:rPr>
        <w:t>2024年海南外国语职业学院单位预算</w:t>
      </w:r>
    </w:p>
    <w:p>
      <w:pPr>
        <w:ind w:firstLine="520" w:firstLineChars="100"/>
        <w:jc w:val="center"/>
        <w:rPr>
          <w:color w:val="auto"/>
          <w:sz w:val="52"/>
          <w:szCs w:val="52"/>
        </w:rPr>
      </w:pPr>
    </w:p>
    <w:p>
      <w:pPr>
        <w:ind w:firstLine="1680"/>
        <w:jc w:val="center"/>
        <w:rPr>
          <w:color w:val="auto"/>
          <w:sz w:val="84"/>
          <w:szCs w:val="84"/>
        </w:rPr>
      </w:pPr>
    </w:p>
    <w:p>
      <w:pPr>
        <w:ind w:firstLine="1680"/>
        <w:jc w:val="center"/>
        <w:rPr>
          <w:color w:val="auto"/>
          <w:sz w:val="84"/>
          <w:szCs w:val="84"/>
        </w:rPr>
      </w:pPr>
    </w:p>
    <w:p>
      <w:pPr>
        <w:ind w:firstLine="1680"/>
        <w:jc w:val="center"/>
        <w:rPr>
          <w:color w:val="auto"/>
          <w:sz w:val="84"/>
          <w:szCs w:val="84"/>
        </w:rPr>
      </w:pPr>
    </w:p>
    <w:p>
      <w:pPr>
        <w:ind w:firstLine="1680"/>
        <w:jc w:val="center"/>
        <w:rPr>
          <w:color w:val="auto"/>
          <w:sz w:val="84"/>
          <w:szCs w:val="84"/>
        </w:rPr>
      </w:pPr>
    </w:p>
    <w:p>
      <w:pPr>
        <w:ind w:firstLine="1680"/>
        <w:jc w:val="center"/>
        <w:rPr>
          <w:color w:val="auto"/>
          <w:sz w:val="84"/>
          <w:szCs w:val="84"/>
        </w:rPr>
      </w:pPr>
    </w:p>
    <w:p>
      <w:pPr>
        <w:jc w:val="center"/>
        <w:rPr>
          <w:rFonts w:ascii="黑体" w:hAnsi="黑体" w:eastAsia="黑体"/>
          <w:color w:val="auto"/>
          <w:sz w:val="52"/>
          <w:szCs w:val="52"/>
        </w:rPr>
      </w:pPr>
      <w:r>
        <w:rPr>
          <w:rFonts w:hint="eastAsia" w:ascii="黑体" w:hAnsi="黑体" w:eastAsia="黑体"/>
          <w:color w:val="auto"/>
          <w:sz w:val="52"/>
          <w:szCs w:val="52"/>
        </w:rPr>
        <w:t>目录</w:t>
      </w:r>
    </w:p>
    <w:p>
      <w:pPr>
        <w:pStyle w:val="7"/>
        <w:numPr>
          <w:ilvl w:val="0"/>
          <w:numId w:val="0"/>
        </w:numPr>
        <w:ind w:leftChars="0"/>
        <w:jc w:val="left"/>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第一部分  海南外国语职业学院单位概况</w:t>
      </w:r>
    </w:p>
    <w:p>
      <w:pPr>
        <w:pStyle w:val="12"/>
        <w:ind w:left="0" w:leftChars="0" w:firstLine="0" w:firstLineChars="0"/>
        <w:jc w:val="left"/>
        <w:rPr>
          <w:rFonts w:ascii="黑体" w:hAnsi="黑体" w:eastAsia="黑体"/>
          <w:sz w:val="32"/>
          <w:szCs w:val="32"/>
          <w:u w:val="none"/>
        </w:rPr>
      </w:pPr>
      <w:bookmarkStart w:id="0" w:name="_GoBack"/>
      <w:bookmarkEnd w:id="0"/>
      <w:r>
        <w:rPr>
          <w:rFonts w:hint="eastAsia" w:ascii="黑体" w:hAnsi="黑体" w:eastAsia="黑体"/>
          <w:sz w:val="32"/>
          <w:szCs w:val="32"/>
          <w:u w:val="none"/>
        </w:rPr>
        <w:t>一、主要职能</w:t>
      </w:r>
    </w:p>
    <w:p>
      <w:pPr>
        <w:pStyle w:val="11"/>
        <w:numPr>
          <w:ilvl w:val="0"/>
          <w:numId w:val="0"/>
        </w:numPr>
        <w:ind w:leftChars="0"/>
        <w:rPr>
          <w:rFonts w:hint="eastAsia" w:ascii="仿宋_GB2312" w:hAnsi="仿宋_GB2312" w:eastAsia="仿宋_GB2312" w:cs="仿宋_GB2312"/>
          <w:color w:val="auto"/>
          <w:sz w:val="32"/>
          <w:szCs w:val="32"/>
        </w:rPr>
      </w:pPr>
      <w:r>
        <w:rPr>
          <w:rFonts w:hint="eastAsia" w:ascii="黑体" w:hAnsi="黑体" w:eastAsia="黑体"/>
          <w:sz w:val="32"/>
          <w:szCs w:val="32"/>
          <w:u w:val="none"/>
          <w:lang w:eastAsia="zh-CN"/>
        </w:rPr>
        <w:t>二、</w:t>
      </w:r>
      <w:r>
        <w:rPr>
          <w:rFonts w:hint="eastAsia" w:ascii="黑体" w:hAnsi="黑体" w:eastAsia="黑体"/>
          <w:sz w:val="32"/>
          <w:szCs w:val="32"/>
          <w:u w:val="none"/>
        </w:rPr>
        <w:t>部门预算单位构成（单位公开没有这部分内容）</w:t>
      </w:r>
    </w:p>
    <w:p>
      <w:pPr>
        <w:pStyle w:val="7"/>
        <w:numPr>
          <w:ilvl w:val="0"/>
          <w:numId w:val="0"/>
        </w:numPr>
        <w:ind w:leftChars="0"/>
        <w:rPr>
          <w:rFonts w:ascii="黑体" w:hAnsi="黑体" w:eastAsia="黑体"/>
          <w:color w:val="auto"/>
          <w:sz w:val="32"/>
          <w:szCs w:val="32"/>
        </w:rPr>
      </w:pPr>
      <w:r>
        <w:rPr>
          <w:rFonts w:hint="eastAsia" w:ascii="黑体" w:hAnsi="黑体" w:eastAsia="黑体"/>
          <w:color w:val="auto"/>
          <w:sz w:val="32"/>
          <w:szCs w:val="32"/>
        </w:rPr>
        <w:t>第二部分  海南外国语职业学院</w:t>
      </w:r>
      <w:r>
        <w:rPr>
          <w:rFonts w:hint="eastAsia" w:ascii="黑体" w:hAnsi="黑体" w:eastAsia="黑体"/>
          <w:color w:val="auto"/>
          <w:sz w:val="32"/>
          <w:szCs w:val="32"/>
          <w:lang w:eastAsia="zh-CN"/>
        </w:rPr>
        <w:t>单位</w:t>
      </w:r>
      <w:r>
        <w:rPr>
          <w:rFonts w:hint="eastAsia" w:ascii="黑体" w:hAnsi="黑体" w:eastAsia="黑体"/>
          <w:color w:val="auto"/>
          <w:sz w:val="32"/>
          <w:szCs w:val="32"/>
        </w:rPr>
        <w:t>2024年单位预算表</w:t>
      </w:r>
    </w:p>
    <w:p>
      <w:pPr>
        <w:pStyle w:val="11"/>
        <w:numPr>
          <w:ilvl w:val="0"/>
          <w:numId w:val="0"/>
        </w:numPr>
        <w:ind w:left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一、财政拨款收支总表</w:t>
      </w:r>
    </w:p>
    <w:p>
      <w:pPr>
        <w:pStyle w:val="11"/>
        <w:numPr>
          <w:ilvl w:val="0"/>
          <w:numId w:val="0"/>
        </w:numPr>
        <w:ind w:left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二、一般公共预算支出表</w:t>
      </w:r>
    </w:p>
    <w:p>
      <w:pPr>
        <w:pStyle w:val="11"/>
        <w:numPr>
          <w:ilvl w:val="0"/>
          <w:numId w:val="0"/>
        </w:numPr>
        <w:ind w:left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三、一般公共预算基本支出表</w:t>
      </w:r>
    </w:p>
    <w:p>
      <w:pPr>
        <w:pStyle w:val="11"/>
        <w:numPr>
          <w:ilvl w:val="0"/>
          <w:numId w:val="0"/>
        </w:numPr>
        <w:ind w:left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四、一般公共预算“三公”经费支出表</w:t>
      </w:r>
    </w:p>
    <w:p>
      <w:pPr>
        <w:pStyle w:val="11"/>
        <w:numPr>
          <w:ilvl w:val="0"/>
          <w:numId w:val="0"/>
        </w:numPr>
        <w:ind w:left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五、政府性基金预算支出表。</w:t>
      </w:r>
    </w:p>
    <w:p>
      <w:pPr>
        <w:pStyle w:val="11"/>
        <w:numPr>
          <w:ilvl w:val="0"/>
          <w:numId w:val="0"/>
        </w:numPr>
        <w:ind w:left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六、政府性基金预算“三公”经费支出表</w:t>
      </w:r>
    </w:p>
    <w:p>
      <w:pPr>
        <w:pStyle w:val="11"/>
        <w:numPr>
          <w:ilvl w:val="0"/>
          <w:numId w:val="0"/>
        </w:numPr>
        <w:ind w:leftChars="0"/>
        <w:jc w:val="left"/>
        <w:rPr>
          <w:rFonts w:ascii="黑体" w:hAnsi="黑体" w:eastAsia="黑体"/>
          <w:color w:val="auto"/>
          <w:sz w:val="32"/>
          <w:szCs w:val="32"/>
        </w:rPr>
      </w:pPr>
      <w:r>
        <w:rPr>
          <w:rFonts w:hint="eastAsia" w:ascii="仿宋_GB2312" w:hAnsi="仿宋_GB2312" w:eastAsia="仿宋_GB2312" w:cs="仿宋_GB2312"/>
          <w:color w:val="auto"/>
          <w:sz w:val="32"/>
          <w:szCs w:val="32"/>
        </w:rPr>
        <w:t>七、部门（单位）收支总表</w:t>
      </w:r>
    </w:p>
    <w:p>
      <w:pPr>
        <w:pStyle w:val="11"/>
        <w:numPr>
          <w:ilvl w:val="0"/>
          <w:numId w:val="0"/>
        </w:numPr>
        <w:ind w:leftChars="0"/>
        <w:jc w:val="left"/>
        <w:rPr>
          <w:rFonts w:ascii="黑体" w:hAnsi="黑体" w:eastAsia="黑体"/>
          <w:color w:val="auto"/>
          <w:sz w:val="32"/>
          <w:szCs w:val="32"/>
        </w:rPr>
      </w:pPr>
      <w:r>
        <w:rPr>
          <w:rFonts w:hint="eastAsia" w:ascii="仿宋_GB2312" w:hAnsi="仿宋_GB2312" w:eastAsia="仿宋_GB2312" w:cs="仿宋_GB2312"/>
          <w:color w:val="auto"/>
          <w:sz w:val="32"/>
          <w:szCs w:val="32"/>
        </w:rPr>
        <w:t>八、部门（单位）收入总表</w:t>
      </w:r>
    </w:p>
    <w:p>
      <w:pPr>
        <w:pStyle w:val="11"/>
        <w:numPr>
          <w:ilvl w:val="0"/>
          <w:numId w:val="0"/>
        </w:numPr>
        <w:ind w:leftChars="0"/>
        <w:jc w:val="left"/>
        <w:rPr>
          <w:rFonts w:ascii="黑体" w:hAnsi="黑体" w:eastAsia="黑体"/>
          <w:color w:val="auto"/>
          <w:sz w:val="32"/>
          <w:szCs w:val="32"/>
        </w:rPr>
      </w:pPr>
      <w:r>
        <w:rPr>
          <w:rFonts w:hint="eastAsia" w:ascii="仿宋_GB2312" w:hAnsi="仿宋_GB2312" w:eastAsia="仿宋_GB2312" w:cs="仿宋_GB2312"/>
          <w:color w:val="auto"/>
          <w:sz w:val="32"/>
          <w:szCs w:val="32"/>
        </w:rPr>
        <w:t>九、部门（单位）支出总表</w:t>
      </w:r>
    </w:p>
    <w:p>
      <w:pPr>
        <w:pStyle w:val="11"/>
        <w:numPr>
          <w:ilvl w:val="0"/>
          <w:numId w:val="0"/>
        </w:numPr>
        <w:ind w:leftChars="0"/>
        <w:jc w:val="left"/>
        <w:rPr>
          <w:rFonts w:ascii="黑体" w:hAnsi="黑体" w:eastAsia="黑体"/>
          <w:color w:val="auto"/>
          <w:sz w:val="32"/>
          <w:szCs w:val="32"/>
        </w:rPr>
      </w:pPr>
      <w:r>
        <w:rPr>
          <w:rFonts w:hint="eastAsia" w:ascii="仿宋_GB2312" w:hAnsi="仿宋_GB2312" w:eastAsia="仿宋_GB2312" w:cs="仿宋_GB2312"/>
          <w:color w:val="auto"/>
          <w:sz w:val="32"/>
          <w:szCs w:val="32"/>
        </w:rPr>
        <w:t>十、项目支出绩效信息表</w:t>
      </w:r>
    </w:p>
    <w:p>
      <w:pPr>
        <w:pStyle w:val="7"/>
        <w:numPr>
          <w:ilvl w:val="0"/>
          <w:numId w:val="0"/>
        </w:numPr>
        <w:ind w:leftChars="0"/>
        <w:jc w:val="left"/>
        <w:rPr>
          <w:rFonts w:hint="eastAsia" w:ascii="黑体" w:hAnsi="黑体" w:eastAsia="黑体"/>
          <w:color w:val="auto"/>
          <w:sz w:val="32"/>
          <w:szCs w:val="32"/>
        </w:rPr>
      </w:pPr>
      <w:r>
        <w:rPr>
          <w:rFonts w:hint="eastAsia" w:ascii="黑体" w:hAnsi="黑体" w:eastAsia="黑体"/>
          <w:color w:val="auto"/>
          <w:sz w:val="32"/>
          <w:szCs w:val="32"/>
        </w:rPr>
        <w:t>第三部分  海南外国语职业学院</w:t>
      </w:r>
      <w:r>
        <w:rPr>
          <w:rFonts w:hint="eastAsia" w:ascii="黑体" w:hAnsi="黑体" w:eastAsia="黑体"/>
          <w:color w:val="auto"/>
          <w:sz w:val="32"/>
          <w:szCs w:val="32"/>
          <w:lang w:eastAsia="zh-CN"/>
        </w:rPr>
        <w:t>单位</w:t>
      </w:r>
      <w:r>
        <w:rPr>
          <w:rFonts w:hint="eastAsia" w:ascii="黑体" w:hAnsi="黑体" w:eastAsia="黑体"/>
          <w:color w:val="auto"/>
          <w:sz w:val="32"/>
          <w:szCs w:val="32"/>
        </w:rPr>
        <w:t>2024年单位预算情况说明</w:t>
      </w:r>
    </w:p>
    <w:p>
      <w:pPr>
        <w:pStyle w:val="7"/>
        <w:numPr>
          <w:ilvl w:val="0"/>
          <w:numId w:val="0"/>
        </w:numPr>
        <w:ind w:leftChars="0"/>
        <w:jc w:val="left"/>
        <w:rPr>
          <w:rFonts w:ascii="仿宋_GB2312" w:hAnsi="仿宋_GB2312" w:eastAsia="仿宋_GB2312" w:cs="仿宋_GB2312"/>
          <w:color w:val="auto"/>
          <w:sz w:val="32"/>
          <w:szCs w:val="32"/>
        </w:rPr>
      </w:pPr>
      <w:r>
        <w:rPr>
          <w:rFonts w:hint="eastAsia" w:ascii="黑体" w:hAnsi="黑体" w:eastAsia="黑体"/>
          <w:color w:val="auto"/>
          <w:sz w:val="32"/>
          <w:szCs w:val="32"/>
        </w:rPr>
        <w:t>第四部分  名词解释</w:t>
      </w:r>
    </w:p>
    <w:p>
      <w:pPr>
        <w:pStyle w:val="7"/>
        <w:ind w:left="1320" w:firstLine="0" w:firstLineChars="0"/>
        <w:jc w:val="left"/>
        <w:rPr>
          <w:rFonts w:ascii="黑体" w:hAnsi="黑体" w:eastAsia="黑体"/>
          <w:color w:val="auto"/>
          <w:sz w:val="32"/>
          <w:szCs w:val="32"/>
        </w:rPr>
      </w:pPr>
    </w:p>
    <w:p>
      <w:pPr>
        <w:jc w:val="left"/>
        <w:rPr>
          <w:rFonts w:ascii="黑体" w:hAnsi="黑体" w:eastAsia="黑体"/>
          <w:color w:val="auto"/>
          <w:sz w:val="32"/>
          <w:szCs w:val="32"/>
        </w:rPr>
      </w:pPr>
    </w:p>
    <w:p>
      <w:pPr>
        <w:jc w:val="left"/>
        <w:rPr>
          <w:rFonts w:ascii="黑体" w:hAnsi="黑体" w:eastAsia="黑体"/>
          <w:color w:val="auto"/>
          <w:sz w:val="32"/>
          <w:szCs w:val="32"/>
        </w:rPr>
      </w:pPr>
    </w:p>
    <w:p>
      <w:pPr>
        <w:pStyle w:val="7"/>
        <w:numPr>
          <w:ilvl w:val="0"/>
          <w:numId w:val="0"/>
        </w:numPr>
        <w:ind w:leftChars="0"/>
        <w:jc w:val="center"/>
        <w:rPr>
          <w:rFonts w:hint="eastAsia" w:ascii="黑体" w:hAnsi="黑体" w:eastAsia="黑体"/>
          <w:color w:val="auto"/>
          <w:sz w:val="32"/>
          <w:szCs w:val="32"/>
          <w:lang w:eastAsia="zh-CN"/>
        </w:rPr>
      </w:pPr>
    </w:p>
    <w:p>
      <w:pPr>
        <w:pStyle w:val="7"/>
        <w:numPr>
          <w:ilvl w:val="0"/>
          <w:numId w:val="0"/>
        </w:numPr>
        <w:ind w:leftChars="0"/>
        <w:jc w:val="center"/>
        <w:rPr>
          <w:rFonts w:hint="eastAsia" w:ascii="黑体" w:hAnsi="黑体" w:eastAsia="黑体"/>
          <w:color w:val="auto"/>
          <w:sz w:val="32"/>
          <w:szCs w:val="32"/>
          <w:lang w:eastAsia="zh-CN"/>
        </w:rPr>
      </w:pPr>
    </w:p>
    <w:p>
      <w:pPr>
        <w:pStyle w:val="7"/>
        <w:numPr>
          <w:ilvl w:val="0"/>
          <w:numId w:val="0"/>
        </w:numPr>
        <w:ind w:leftChars="0"/>
        <w:jc w:val="center"/>
        <w:rPr>
          <w:rFonts w:ascii="仿宋_GB2312" w:hAnsi="仿宋_GB2312" w:eastAsia="仿宋_GB2312" w:cs="仿宋_GB2312"/>
          <w:color w:val="auto"/>
          <w:sz w:val="32"/>
          <w:szCs w:val="32"/>
        </w:rPr>
      </w:pPr>
      <w:r>
        <w:rPr>
          <w:rFonts w:hint="eastAsia" w:ascii="黑体" w:hAnsi="黑体" w:eastAsia="黑体"/>
          <w:color w:val="auto"/>
          <w:sz w:val="32"/>
          <w:szCs w:val="32"/>
        </w:rPr>
        <w:t>第一部分  海南外国语职业学院</w:t>
      </w:r>
      <w:r>
        <w:rPr>
          <w:rFonts w:hint="eastAsia" w:ascii="黑体" w:hAnsi="黑体" w:eastAsia="黑体"/>
          <w:color w:val="auto"/>
          <w:sz w:val="32"/>
          <w:szCs w:val="32"/>
          <w:lang w:eastAsia="zh-CN"/>
        </w:rPr>
        <w:t>单位</w:t>
      </w:r>
      <w:r>
        <w:rPr>
          <w:rFonts w:hint="eastAsia" w:ascii="黑体" w:hAnsi="黑体" w:eastAsia="黑体"/>
          <w:color w:val="auto"/>
          <w:sz w:val="32"/>
          <w:szCs w:val="32"/>
        </w:rPr>
        <w:t>概况</w:t>
      </w:r>
    </w:p>
    <w:p>
      <w:pPr>
        <w:jc w:val="left"/>
        <w:rPr>
          <w:rFonts w:ascii="仿宋_GB2312" w:hAnsi="仿宋_GB2312" w:eastAsia="仿宋_GB2312" w:cs="仿宋_GB2312"/>
          <w:color w:val="auto"/>
          <w:sz w:val="32"/>
          <w:szCs w:val="32"/>
        </w:rPr>
      </w:pPr>
    </w:p>
    <w:p>
      <w:pPr>
        <w:spacing w:line="600" w:lineRule="exact"/>
        <w:ind w:firstLine="640" w:firstLineChars="200"/>
        <w:jc w:val="left"/>
        <w:rPr>
          <w:rFonts w:ascii="宋体" w:hAnsi="宋体" w:cs="宋体"/>
          <w:color w:val="auto"/>
          <w:kern w:val="0"/>
          <w:sz w:val="30"/>
          <w:szCs w:val="30"/>
        </w:rPr>
      </w:pPr>
      <w:r>
        <w:rPr>
          <w:rFonts w:hint="eastAsia" w:ascii="仿宋_GB2312" w:hAnsi="黑体" w:eastAsia="仿宋_GB2312"/>
          <w:color w:val="auto"/>
          <w:sz w:val="32"/>
          <w:szCs w:val="32"/>
          <w:lang w:val="en-US" w:eastAsia="zh-CN"/>
        </w:rPr>
        <w:t>海南外国语职业学院是经海南省政府批准教育部备案的公办全日制外语类高等职业院校，也是海南省外语语种最多、外语专业最齐的高校。学校始终坚持以质量求发展，全力提高人才培养质量，为海南自贸港建设服务。</w:t>
      </w:r>
    </w:p>
    <w:p>
      <w:pPr>
        <w:spacing w:line="600" w:lineRule="exact"/>
        <w:ind w:firstLine="640" w:firstLineChars="200"/>
        <w:jc w:val="left"/>
        <w:rPr>
          <w:rFonts w:ascii="黑体" w:hAnsi="黑体" w:eastAsia="黑体" w:cs="仿宋_GB2312"/>
          <w:color w:val="auto"/>
          <w:sz w:val="32"/>
          <w:szCs w:val="32"/>
        </w:rPr>
      </w:pPr>
      <w:r>
        <w:rPr>
          <w:rFonts w:hint="eastAsia" w:ascii="黑体" w:hAnsi="黑体" w:eastAsia="黑体" w:cs="仿宋_GB2312"/>
          <w:color w:val="auto"/>
          <w:sz w:val="32"/>
          <w:szCs w:val="32"/>
        </w:rPr>
        <w:t>一、主要职能</w:t>
      </w:r>
    </w:p>
    <w:p>
      <w:pPr>
        <w:numPr>
          <w:ilvl w:val="0"/>
          <w:numId w:val="0"/>
        </w:numPr>
        <w:spacing w:line="60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（一）按照《中华人民共和国高等教育法》《中华人民共和国职业教育法》等法律法规规定开展高等教育工作。</w:t>
      </w:r>
    </w:p>
    <w:p>
      <w:pPr>
        <w:numPr>
          <w:ilvl w:val="0"/>
          <w:numId w:val="0"/>
        </w:numPr>
        <w:spacing w:line="60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（二）承担各类外语人才和我省小学外语师资的培养、培训工作。</w:t>
      </w:r>
    </w:p>
    <w:p>
      <w:pPr>
        <w:pStyle w:val="2"/>
        <w:ind w:firstLine="640" w:firstLineChars="200"/>
        <w:rPr>
          <w:rFonts w:hint="eastAsia"/>
          <w:color w:val="auto"/>
        </w:rPr>
      </w:pPr>
      <w:r>
        <w:rPr>
          <w:rFonts w:hint="eastAsia" w:ascii="仿宋_GB2312" w:hAnsi="黑体" w:eastAsia="仿宋_GB2312"/>
          <w:color w:val="auto"/>
          <w:sz w:val="32"/>
          <w:szCs w:val="32"/>
          <w:lang w:eastAsia="zh-CN"/>
        </w:rPr>
        <w:t>（三）承担科学研究及研究成果推广工作。</w:t>
      </w:r>
    </w:p>
    <w:p>
      <w:pPr>
        <w:spacing w:line="600" w:lineRule="exact"/>
        <w:ind w:firstLine="640" w:firstLineChars="200"/>
        <w:jc w:val="left"/>
        <w:rPr>
          <w:rFonts w:hint="eastAsia" w:ascii="仿宋_GB2312" w:hAnsi="黑体" w:eastAsia="仿宋_GB2312"/>
          <w:color w:val="auto"/>
          <w:sz w:val="32"/>
          <w:szCs w:val="32"/>
          <w:lang w:val="en-US" w:eastAsia="zh-CN"/>
        </w:rPr>
      </w:pPr>
      <w:r>
        <w:rPr>
          <w:rFonts w:hint="eastAsia" w:ascii="仿宋_GB2312" w:hAnsi="黑体" w:eastAsia="仿宋_GB2312"/>
          <w:color w:val="auto"/>
          <w:sz w:val="32"/>
          <w:szCs w:val="32"/>
          <w:lang w:val="en-US" w:eastAsia="zh-CN"/>
        </w:rPr>
        <w:t>（四）为国家和地方发展提供应用型外语人才储备和服务型人才保障。</w:t>
      </w:r>
    </w:p>
    <w:p>
      <w:pPr>
        <w:spacing w:line="600" w:lineRule="exact"/>
        <w:ind w:firstLine="640" w:firstLineChars="200"/>
        <w:jc w:val="left"/>
        <w:rPr>
          <w:rFonts w:hint="eastAsia" w:ascii="仿宋_GB2312" w:hAnsi="黑体" w:eastAsia="仿宋_GB2312"/>
          <w:color w:val="auto"/>
          <w:sz w:val="32"/>
          <w:szCs w:val="32"/>
        </w:rPr>
      </w:pPr>
      <w:r>
        <w:rPr>
          <w:rFonts w:hint="eastAsia" w:ascii="仿宋_GB2312" w:hAnsi="黑体" w:eastAsia="仿宋_GB2312"/>
          <w:color w:val="auto"/>
          <w:sz w:val="32"/>
          <w:szCs w:val="32"/>
        </w:rPr>
        <w:t>（五）为学生提供形式多样的学习和交流机会，搭建广阔的出国留学平台。</w:t>
      </w:r>
    </w:p>
    <w:p>
      <w:pPr>
        <w:pStyle w:val="2"/>
        <w:ind w:firstLine="640" w:firstLineChars="200"/>
        <w:rPr>
          <w:rFonts w:hint="eastAsia"/>
          <w:color w:val="auto"/>
        </w:rPr>
      </w:pPr>
      <w:r>
        <w:rPr>
          <w:rFonts w:hint="eastAsia" w:ascii="仿宋_GB2312" w:hAnsi="黑体" w:eastAsia="仿宋_GB2312"/>
          <w:color w:val="auto"/>
          <w:sz w:val="32"/>
          <w:szCs w:val="32"/>
        </w:rPr>
        <w:t>（六）深化与省内学校校际协同合作，构建“中高职本科”以及“专本一体化”人才培养体系。</w:t>
      </w:r>
    </w:p>
    <w:p>
      <w:pPr>
        <w:spacing w:line="600" w:lineRule="exact"/>
        <w:ind w:firstLine="640" w:firstLineChars="200"/>
        <w:jc w:val="left"/>
        <w:rPr>
          <w:rFonts w:hint="eastAsia" w:ascii="仿宋_GB2312" w:hAnsi="黑体" w:eastAsia="仿宋_GB2312"/>
          <w:color w:val="auto"/>
          <w:sz w:val="32"/>
          <w:szCs w:val="32"/>
        </w:rPr>
      </w:pPr>
      <w:r>
        <w:rPr>
          <w:rFonts w:hint="eastAsia" w:ascii="仿宋_GB2312" w:hAnsi="黑体" w:eastAsia="仿宋_GB2312"/>
          <w:color w:val="auto"/>
          <w:sz w:val="32"/>
          <w:szCs w:val="32"/>
        </w:rPr>
        <w:t>（七）通过与国内知名高校合作办学，提升办学综合实力。</w:t>
      </w:r>
    </w:p>
    <w:p>
      <w:pPr>
        <w:pStyle w:val="2"/>
        <w:ind w:firstLine="640" w:firstLineChars="200"/>
        <w:rPr>
          <w:rFonts w:hint="eastAsia" w:ascii="仿宋_GB2312" w:hAnsi="黑体" w:eastAsia="仿宋_GB2312" w:cs="黑体"/>
          <w:color w:val="auto"/>
          <w:kern w:val="2"/>
          <w:sz w:val="32"/>
          <w:szCs w:val="32"/>
          <w:lang w:val="en-US" w:eastAsia="zh-CN" w:bidi="ar-SA"/>
        </w:rPr>
      </w:pPr>
      <w:r>
        <w:rPr>
          <w:rFonts w:hint="eastAsia" w:ascii="仿宋_GB2312" w:hAnsi="黑体" w:eastAsia="仿宋_GB2312" w:cs="黑体"/>
          <w:color w:val="auto"/>
          <w:kern w:val="2"/>
          <w:sz w:val="32"/>
          <w:szCs w:val="32"/>
          <w:lang w:val="en-US" w:eastAsia="zh-CN" w:bidi="ar-SA"/>
        </w:rPr>
        <w:t>（八）通过与国内外高端企业深度合作，实行订单式联合培养高素质技能型人才，确保学生高质量就业。</w:t>
      </w:r>
    </w:p>
    <w:p>
      <w:pPr>
        <w:numPr>
          <w:ilvl w:val="0"/>
          <w:numId w:val="0"/>
        </w:numPr>
        <w:spacing w:line="60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（九）承办上级主管部门交办的其他工作。</w:t>
      </w:r>
    </w:p>
    <w:p>
      <w:pPr>
        <w:numPr>
          <w:ilvl w:val="0"/>
          <w:numId w:val="0"/>
        </w:numPr>
        <w:spacing w:line="600" w:lineRule="exact"/>
        <w:ind w:firstLine="640" w:firstLineChars="200"/>
        <w:jc w:val="left"/>
        <w:rPr>
          <w:rFonts w:hint="eastAsia" w:ascii="仿宋_GB2312" w:eastAsia="仿宋_GB2312"/>
          <w:color w:val="auto"/>
          <w:sz w:val="32"/>
          <w:szCs w:val="32"/>
          <w:lang w:eastAsia="zh-CN"/>
        </w:rPr>
      </w:pPr>
      <w:r>
        <w:rPr>
          <w:rFonts w:hint="eastAsia" w:ascii="仿宋_GB2312" w:eastAsia="仿宋_GB2312"/>
          <w:color w:val="auto"/>
          <w:sz w:val="32"/>
          <w:szCs w:val="32"/>
        </w:rPr>
        <w:t>机构设置</w:t>
      </w:r>
      <w:r>
        <w:rPr>
          <w:rFonts w:hint="eastAsia" w:ascii="仿宋_GB2312" w:eastAsia="仿宋_GB2312"/>
          <w:color w:val="auto"/>
          <w:sz w:val="32"/>
          <w:szCs w:val="32"/>
          <w:lang w:eastAsia="zh-CN"/>
        </w:rPr>
        <w:t>情况：</w:t>
      </w:r>
    </w:p>
    <w:p>
      <w:pPr>
        <w:keepNext w:val="0"/>
        <w:keepLines w:val="0"/>
        <w:pageBreakBefore w:val="0"/>
        <w:widowControl w:val="0"/>
        <w:kinsoku/>
        <w:wordWrap/>
        <w:overflowPunct/>
        <w:topLinePunct w:val="0"/>
        <w:autoSpaceDE/>
        <w:autoSpaceDN/>
        <w:bidi w:val="0"/>
        <w:spacing w:line="600" w:lineRule="exact"/>
        <w:ind w:firstLine="640" w:firstLineChars="200"/>
        <w:jc w:val="both"/>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一）内设党政管理机构10个：党政办公室(发展规划处、审计处、校友办公室)、纪检监察处、组织人事处(教师工作部、教师发展中心)、宣传统战部（港澳台办公室）、教务处、学生工作处(学生工作部、人民武装部)、招生就业处、国际合作与交流处(汉语国际推广中心)、财务处、后勤处。</w:t>
      </w:r>
    </w:p>
    <w:p>
      <w:pPr>
        <w:keepNext w:val="0"/>
        <w:keepLines w:val="0"/>
        <w:pageBreakBefore w:val="0"/>
        <w:widowControl w:val="0"/>
        <w:kinsoku/>
        <w:wordWrap/>
        <w:overflowPunct/>
        <w:topLinePunct w:val="0"/>
        <w:autoSpaceDE/>
        <w:autoSpaceDN/>
        <w:bidi w:val="0"/>
        <w:spacing w:line="600" w:lineRule="exact"/>
        <w:ind w:firstLine="640" w:firstLineChars="200"/>
        <w:jc w:val="both"/>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（二）内设群团组织3个：工会、团委、妇联。</w:t>
      </w:r>
    </w:p>
    <w:p>
      <w:pPr>
        <w:spacing w:line="600" w:lineRule="exact"/>
        <w:ind w:firstLine="640" w:firstLineChars="200"/>
        <w:jc w:val="left"/>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（三）内设教辅机构5个：产学研发展中心（期刊编辑部）、网络信息中心、继续教育与职业培训中心、图书馆、招投标与采购服务中心。</w:t>
      </w:r>
    </w:p>
    <w:p>
      <w:pPr>
        <w:spacing w:line="60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（四）内设教学机构9个：马克思主义学院、英语学院、国际商务学院、东方语言学院、西方语言学院、国际旅游学院、人文艺术学院、体育学院、国际智能学院。</w:t>
      </w:r>
    </w:p>
    <w:p>
      <w:pPr>
        <w:spacing w:line="600" w:lineRule="exact"/>
        <w:ind w:firstLine="640" w:firstLineChars="200"/>
        <w:jc w:val="left"/>
        <w:rPr>
          <w:rFonts w:hint="eastAsia" w:ascii="黑体" w:hAnsi="黑体" w:eastAsia="黑体"/>
          <w:sz w:val="32"/>
          <w:szCs w:val="32"/>
          <w:u w:val="none"/>
        </w:rPr>
      </w:pPr>
      <w:r>
        <w:rPr>
          <w:rFonts w:hint="eastAsia" w:ascii="黑体" w:hAnsi="黑体" w:eastAsia="黑体"/>
          <w:sz w:val="32"/>
          <w:szCs w:val="32"/>
          <w:u w:val="none"/>
          <w:lang w:eastAsia="zh-CN"/>
        </w:rPr>
        <w:t>二、</w:t>
      </w:r>
      <w:r>
        <w:rPr>
          <w:rFonts w:hint="eastAsia" w:ascii="黑体" w:hAnsi="黑体" w:eastAsia="黑体"/>
          <w:sz w:val="32"/>
          <w:szCs w:val="32"/>
          <w:u w:val="none"/>
        </w:rPr>
        <w:t>部门预算单位构成（单位公开没有这部分内容）</w:t>
      </w:r>
    </w:p>
    <w:p>
      <w:pPr>
        <w:spacing w:line="600" w:lineRule="exact"/>
        <w:ind w:firstLine="640" w:firstLineChars="200"/>
        <w:jc w:val="left"/>
        <w:rPr>
          <w:rFonts w:hint="eastAsia" w:ascii="黑体" w:hAnsi="黑体" w:eastAsia="黑体"/>
          <w:color w:val="auto"/>
          <w:sz w:val="32"/>
          <w:szCs w:val="32"/>
        </w:rPr>
      </w:pPr>
      <w:r>
        <w:rPr>
          <w:rFonts w:hint="eastAsia" w:ascii="仿宋_GB2312" w:eastAsia="仿宋_GB2312"/>
          <w:color w:val="auto"/>
          <w:sz w:val="32"/>
          <w:szCs w:val="32"/>
          <w:lang w:eastAsia="zh-CN"/>
        </w:rPr>
        <w:t>无此类情况。</w:t>
      </w:r>
    </w:p>
    <w:p>
      <w:pPr>
        <w:ind w:firstLine="640" w:firstLineChars="200"/>
        <w:jc w:val="both"/>
        <w:rPr>
          <w:rFonts w:hint="eastAsia" w:ascii="黑体" w:hAnsi="黑体" w:eastAsia="黑体"/>
          <w:color w:val="auto"/>
          <w:sz w:val="32"/>
          <w:szCs w:val="32"/>
        </w:rPr>
      </w:pPr>
    </w:p>
    <w:p>
      <w:pPr>
        <w:jc w:val="both"/>
        <w:rPr>
          <w:rFonts w:ascii="黑体" w:hAnsi="黑体" w:eastAsia="黑体"/>
          <w:color w:val="auto"/>
          <w:sz w:val="32"/>
          <w:szCs w:val="32"/>
        </w:rPr>
      </w:pPr>
      <w:r>
        <w:rPr>
          <w:rFonts w:hint="eastAsia" w:ascii="黑体" w:hAnsi="黑体" w:eastAsia="黑体"/>
          <w:color w:val="auto"/>
          <w:sz w:val="32"/>
          <w:szCs w:val="32"/>
        </w:rPr>
        <w:t>第二部分  海南外国语职业学院</w:t>
      </w:r>
      <w:r>
        <w:rPr>
          <w:rFonts w:hint="eastAsia" w:ascii="黑体" w:hAnsi="黑体" w:eastAsia="黑体"/>
          <w:color w:val="auto"/>
          <w:sz w:val="32"/>
          <w:szCs w:val="32"/>
          <w:lang w:eastAsia="zh-CN"/>
        </w:rPr>
        <w:t>单位</w:t>
      </w:r>
      <w:r>
        <w:rPr>
          <w:rFonts w:hint="eastAsia" w:ascii="黑体" w:hAnsi="黑体" w:eastAsia="黑体"/>
          <w:color w:val="auto"/>
          <w:sz w:val="32"/>
          <w:szCs w:val="32"/>
        </w:rPr>
        <w:t>2024年单位预算表</w:t>
      </w:r>
    </w:p>
    <w:p>
      <w:pPr>
        <w:ind w:left="800"/>
        <w:jc w:val="both"/>
        <w:rPr>
          <w:rFonts w:hint="eastAsia" w:ascii="仿宋_GB2312" w:hAnsi="黑体" w:eastAsia="仿宋_GB2312"/>
          <w:b/>
          <w:color w:val="auto"/>
          <w:sz w:val="32"/>
          <w:szCs w:val="32"/>
        </w:rPr>
      </w:pPr>
    </w:p>
    <w:p>
      <w:pPr>
        <w:ind w:left="800"/>
        <w:jc w:val="both"/>
        <w:rPr>
          <w:rFonts w:ascii="仿宋_GB2312" w:hAnsi="黑体" w:eastAsia="仿宋_GB2312"/>
          <w:b/>
          <w:color w:val="auto"/>
          <w:sz w:val="32"/>
          <w:szCs w:val="32"/>
        </w:rPr>
      </w:pPr>
      <w:r>
        <w:rPr>
          <w:rFonts w:hint="eastAsia" w:ascii="仿宋_GB2312" w:hAnsi="黑体" w:eastAsia="仿宋_GB2312"/>
          <w:b/>
          <w:color w:val="auto"/>
          <w:sz w:val="32"/>
          <w:szCs w:val="32"/>
        </w:rPr>
        <w:t>（此部分内容即为单位预算公开表，详见表格）</w:t>
      </w:r>
    </w:p>
    <w:p>
      <w:pPr>
        <w:rPr>
          <w:rFonts w:ascii="黑体" w:hAnsi="黑体" w:eastAsia="黑体"/>
          <w:color w:val="auto"/>
          <w:sz w:val="32"/>
          <w:szCs w:val="32"/>
        </w:rPr>
      </w:pPr>
    </w:p>
    <w:p>
      <w:pPr>
        <w:rPr>
          <w:rFonts w:ascii="黑体" w:hAnsi="黑体" w:eastAsia="黑体"/>
          <w:color w:val="auto"/>
          <w:sz w:val="32"/>
          <w:szCs w:val="32"/>
        </w:rPr>
      </w:pPr>
    </w:p>
    <w:p>
      <w:pPr>
        <w:rPr>
          <w:rFonts w:ascii="黑体" w:hAnsi="黑体" w:eastAsia="黑体"/>
          <w:color w:val="auto"/>
          <w:sz w:val="32"/>
          <w:szCs w:val="32"/>
        </w:rPr>
      </w:pPr>
    </w:p>
    <w:p>
      <w:pPr>
        <w:ind w:firstLine="320" w:firstLineChars="100"/>
        <w:rPr>
          <w:rFonts w:ascii="黑体" w:hAnsi="黑体" w:eastAsia="黑体"/>
          <w:color w:val="auto"/>
          <w:sz w:val="32"/>
          <w:szCs w:val="32"/>
        </w:rPr>
      </w:pPr>
      <w:r>
        <w:rPr>
          <w:rFonts w:hint="eastAsia" w:ascii="黑体" w:hAnsi="黑体" w:eastAsia="黑体"/>
          <w:color w:val="auto"/>
          <w:sz w:val="32"/>
          <w:szCs w:val="32"/>
        </w:rPr>
        <w:t>第三部分  海南外国语职业学院</w:t>
      </w:r>
      <w:r>
        <w:rPr>
          <w:rFonts w:hint="eastAsia" w:ascii="黑体" w:hAnsi="黑体" w:eastAsia="黑体"/>
          <w:color w:val="auto"/>
          <w:sz w:val="32"/>
          <w:szCs w:val="32"/>
          <w:lang w:eastAsia="zh-CN"/>
        </w:rPr>
        <w:t>单位</w:t>
      </w:r>
      <w:r>
        <w:rPr>
          <w:rFonts w:hint="eastAsia" w:ascii="黑体" w:hAnsi="黑体" w:eastAsia="黑体"/>
          <w:color w:val="auto"/>
          <w:sz w:val="32"/>
          <w:szCs w:val="32"/>
        </w:rPr>
        <w:t>2024年单位预算情况说明</w:t>
      </w:r>
    </w:p>
    <w:p>
      <w:pPr>
        <w:jc w:val="center"/>
        <w:rPr>
          <w:rFonts w:ascii="黑体" w:hAnsi="黑体" w:eastAsia="黑体"/>
          <w:color w:val="auto"/>
          <w:sz w:val="32"/>
          <w:szCs w:val="32"/>
        </w:rPr>
      </w:pPr>
    </w:p>
    <w:p>
      <w:pPr>
        <w:ind w:firstLine="640" w:firstLineChars="200"/>
        <w:jc w:val="left"/>
        <w:rPr>
          <w:rFonts w:ascii="黑体" w:hAnsi="黑体" w:eastAsia="黑体"/>
          <w:color w:val="auto"/>
          <w:sz w:val="32"/>
          <w:szCs w:val="32"/>
        </w:rPr>
      </w:pPr>
      <w:r>
        <w:rPr>
          <w:rFonts w:hint="eastAsia" w:ascii="黑体" w:hAnsi="黑体" w:eastAsia="黑体"/>
          <w:color w:val="auto"/>
          <w:sz w:val="32"/>
          <w:szCs w:val="32"/>
        </w:rPr>
        <w:t>一、关于海南外国语职业学院</w:t>
      </w:r>
      <w:r>
        <w:rPr>
          <w:rFonts w:hint="eastAsia" w:ascii="黑体" w:hAnsi="黑体" w:eastAsia="黑体"/>
          <w:color w:val="auto"/>
          <w:sz w:val="32"/>
          <w:szCs w:val="32"/>
          <w:lang w:eastAsia="zh-CN"/>
        </w:rPr>
        <w:t>单位</w:t>
      </w:r>
      <w:r>
        <w:rPr>
          <w:rFonts w:hint="eastAsia" w:ascii="黑体" w:hAnsi="黑体" w:eastAsia="黑体"/>
          <w:color w:val="auto"/>
          <w:sz w:val="32"/>
          <w:szCs w:val="32"/>
        </w:rPr>
        <w:t>2024年财政拨款收支预算情况的总体说明</w:t>
      </w:r>
    </w:p>
    <w:p>
      <w:pPr>
        <w:ind w:firstLine="640" w:firstLineChars="200"/>
        <w:jc w:val="left"/>
        <w:rPr>
          <w:rFonts w:ascii="仿宋_GB2312" w:hAnsi="黑体" w:eastAsia="仿宋_GB2312"/>
          <w:color w:val="auto"/>
          <w:sz w:val="32"/>
          <w:szCs w:val="32"/>
        </w:rPr>
      </w:pPr>
      <w:r>
        <w:rPr>
          <w:rFonts w:hint="eastAsia" w:ascii="仿宋_GB2312" w:hAnsi="黑体" w:eastAsia="仿宋_GB2312"/>
          <w:color w:val="auto"/>
          <w:sz w:val="32"/>
          <w:szCs w:val="32"/>
          <w:lang w:eastAsia="zh-CN"/>
        </w:rPr>
        <w:t>海南外国语职业学院单位2024年财政拨款收支总预算14,729.66万元，</w:t>
      </w:r>
      <w:r>
        <w:rPr>
          <w:rFonts w:hint="eastAsia" w:ascii="仿宋_GB2312" w:hAnsi="黑体" w:eastAsia="仿宋_GB2312"/>
          <w:color w:val="auto"/>
          <w:sz w:val="32"/>
          <w:szCs w:val="32"/>
          <w:u w:val="none"/>
        </w:rPr>
        <w:t>比上年预算数</w:t>
      </w:r>
      <w:r>
        <w:rPr>
          <w:rFonts w:hint="eastAsia" w:ascii="仿宋_GB2312" w:hAnsi="黑体" w:eastAsia="仿宋_GB2312"/>
          <w:color w:val="auto"/>
          <w:sz w:val="32"/>
          <w:szCs w:val="32"/>
          <w:u w:val="none"/>
          <w:lang w:eastAsia="zh-CN"/>
        </w:rPr>
        <w:t>增加</w:t>
      </w:r>
      <w:r>
        <w:rPr>
          <w:rFonts w:hint="eastAsia" w:ascii="仿宋_GB2312" w:hAnsi="黑体" w:eastAsia="仿宋_GB2312" w:cs="仿宋_GB2312"/>
          <w:color w:val="auto"/>
          <w:sz w:val="32"/>
          <w:szCs w:val="32"/>
          <w:u w:val="none"/>
          <w:lang w:val="en-US" w:eastAsia="zh-CN"/>
        </w:rPr>
        <w:t>2,124.44</w:t>
      </w:r>
      <w:r>
        <w:rPr>
          <w:rFonts w:hint="eastAsia" w:ascii="仿宋_GB2312" w:hAnsi="黑体" w:eastAsia="仿宋_GB2312"/>
          <w:color w:val="auto"/>
          <w:sz w:val="32"/>
          <w:szCs w:val="32"/>
          <w:u w:val="none"/>
        </w:rPr>
        <w:t>万元，主要</w:t>
      </w:r>
      <w:r>
        <w:rPr>
          <w:rFonts w:hint="eastAsia" w:ascii="仿宋_GB2312" w:hAnsi="黑体" w:eastAsia="仿宋_GB2312"/>
          <w:color w:val="auto"/>
          <w:sz w:val="32"/>
          <w:szCs w:val="32"/>
          <w:u w:val="none"/>
          <w:lang w:eastAsia="zh-CN"/>
        </w:rPr>
        <w:t>是上年结余增加</w:t>
      </w:r>
      <w:r>
        <w:rPr>
          <w:rFonts w:hint="eastAsia" w:ascii="仿宋_GB2312" w:hAnsi="黑体" w:eastAsia="仿宋_GB2312"/>
          <w:color w:val="auto"/>
          <w:sz w:val="32"/>
          <w:szCs w:val="32"/>
          <w:u w:val="none"/>
          <w:lang w:val="en-US" w:eastAsia="zh-CN"/>
        </w:rPr>
        <w:t>457.10万元</w:t>
      </w:r>
      <w:r>
        <w:rPr>
          <w:rFonts w:hint="eastAsia" w:ascii="仿宋_GB2312" w:hAnsi="黑体" w:eastAsia="仿宋_GB2312"/>
          <w:color w:val="auto"/>
          <w:sz w:val="32"/>
          <w:u w:val="none"/>
          <w:lang w:eastAsia="zh-CN"/>
        </w:rPr>
        <w:t>及财政投入增加</w:t>
      </w:r>
      <w:r>
        <w:rPr>
          <w:rFonts w:hint="eastAsia" w:ascii="仿宋_GB2312" w:hAnsi="黑体" w:eastAsia="仿宋_GB2312"/>
          <w:color w:val="auto"/>
          <w:sz w:val="32"/>
          <w:u w:val="none"/>
          <w:lang w:val="en-US" w:eastAsia="zh-CN"/>
        </w:rPr>
        <w:t>1,664.34万</w:t>
      </w:r>
      <w:r>
        <w:rPr>
          <w:rFonts w:hint="eastAsia" w:ascii="仿宋_GB2312" w:hAnsi="黑体" w:eastAsia="仿宋_GB2312"/>
          <w:color w:val="auto"/>
          <w:sz w:val="32"/>
          <w:szCs w:val="32"/>
          <w:u w:val="none"/>
          <w:lang w:val="en-US" w:eastAsia="zh-CN"/>
        </w:rPr>
        <w:t>元</w:t>
      </w:r>
      <w:r>
        <w:rPr>
          <w:rFonts w:hint="eastAsia" w:ascii="仿宋_GB2312" w:hAnsi="黑体" w:eastAsia="仿宋_GB2312"/>
          <w:color w:val="auto"/>
          <w:sz w:val="32"/>
          <w:szCs w:val="32"/>
          <w:u w:val="none"/>
          <w:lang w:eastAsia="zh-CN"/>
        </w:rPr>
        <w:t>的原因</w:t>
      </w:r>
      <w:r>
        <w:rPr>
          <w:rFonts w:hint="eastAsia" w:ascii="仿宋_GB2312" w:hAnsi="黑体" w:eastAsia="仿宋_GB2312"/>
          <w:color w:val="auto"/>
          <w:sz w:val="32"/>
          <w:szCs w:val="32"/>
          <w:u w:val="none"/>
        </w:rPr>
        <w:t>。</w:t>
      </w:r>
      <w:r>
        <w:rPr>
          <w:rFonts w:hint="eastAsia" w:ascii="仿宋_GB2312" w:hAnsi="黑体" w:eastAsia="仿宋_GB2312"/>
          <w:color w:val="auto"/>
          <w:sz w:val="32"/>
          <w:szCs w:val="32"/>
        </w:rPr>
        <w:t>其中，收入总计14,729.66万元，包括一般公共预算本年收入13,350.95万元，上年结转1,378.71万元；支出总计14,729.66万元，包括教育支出13,643.64万元；科学技术支出18.01万元；社会保障和就业支出577.74万元；卫生健康支出181.70万元；住房保障支出308.57万元。</w:t>
      </w:r>
    </w:p>
    <w:p>
      <w:pPr>
        <w:ind w:firstLine="640"/>
        <w:jc w:val="left"/>
        <w:rPr>
          <w:rFonts w:ascii="黑体" w:hAnsi="黑体" w:eastAsia="黑体"/>
          <w:color w:val="auto"/>
          <w:sz w:val="32"/>
          <w:szCs w:val="32"/>
        </w:rPr>
      </w:pPr>
      <w:r>
        <w:rPr>
          <w:rFonts w:hint="eastAsia" w:ascii="黑体" w:hAnsi="黑体" w:eastAsia="黑体"/>
          <w:color w:val="auto"/>
          <w:sz w:val="32"/>
          <w:szCs w:val="32"/>
        </w:rPr>
        <w:t>二、关于海南外国语职业学院</w:t>
      </w:r>
      <w:r>
        <w:rPr>
          <w:rFonts w:hint="eastAsia" w:ascii="黑体" w:hAnsi="黑体" w:eastAsia="黑体"/>
          <w:color w:val="auto"/>
          <w:sz w:val="32"/>
          <w:szCs w:val="32"/>
          <w:lang w:eastAsia="zh-CN"/>
        </w:rPr>
        <w:t>单位</w:t>
      </w:r>
      <w:r>
        <w:rPr>
          <w:rFonts w:hint="eastAsia" w:ascii="黑体" w:hAnsi="黑体" w:eastAsia="黑体"/>
          <w:color w:val="auto"/>
          <w:sz w:val="32"/>
          <w:szCs w:val="32"/>
        </w:rPr>
        <w:t>2024年一般公共预算当年拨款情况说明</w:t>
      </w:r>
    </w:p>
    <w:p>
      <w:pPr>
        <w:ind w:firstLine="640"/>
        <w:jc w:val="left"/>
        <w:rPr>
          <w:rFonts w:ascii="楷体" w:hAnsi="楷体" w:eastAsia="楷体"/>
          <w:color w:val="auto"/>
          <w:sz w:val="32"/>
          <w:szCs w:val="32"/>
        </w:rPr>
      </w:pPr>
      <w:r>
        <w:rPr>
          <w:rFonts w:hint="eastAsia" w:ascii="楷体" w:hAnsi="楷体" w:eastAsia="楷体"/>
          <w:color w:val="auto"/>
          <w:sz w:val="32"/>
          <w:szCs w:val="32"/>
        </w:rPr>
        <w:t>（一）一般公共预算当年规模变化情况</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lang w:eastAsia="zh-CN"/>
        </w:rPr>
        <w:t>海南外国语职业学院单位2024年一般公共预算当年拨款14,729.66万元，比上年预算数增加</w:t>
      </w:r>
      <w:r>
        <w:rPr>
          <w:rFonts w:hint="eastAsia" w:ascii="仿宋_GB2312" w:hAnsi="黑体" w:eastAsia="仿宋_GB2312" w:cs="仿宋_GB2312"/>
          <w:color w:val="auto"/>
          <w:sz w:val="32"/>
          <w:szCs w:val="32"/>
          <w:u w:val="none"/>
          <w:lang w:val="en-US" w:eastAsia="zh-CN"/>
        </w:rPr>
        <w:t>2,124.44</w:t>
      </w:r>
      <w:r>
        <w:rPr>
          <w:rFonts w:hint="eastAsia" w:ascii="仿宋_GB2312" w:hAnsi="黑体" w:eastAsia="仿宋_GB2312"/>
          <w:color w:val="auto"/>
          <w:sz w:val="32"/>
          <w:szCs w:val="32"/>
        </w:rPr>
        <w:t>万元，主要是基本支出增加489.54万元（人员经费增加470.92万元，公用经费增加18.62万元），项目支出增加1,631.90万元。</w:t>
      </w:r>
    </w:p>
    <w:p>
      <w:pPr>
        <w:ind w:firstLine="640"/>
        <w:jc w:val="left"/>
        <w:rPr>
          <w:rFonts w:ascii="楷体" w:hAnsi="楷体" w:eastAsia="楷体"/>
          <w:color w:val="auto"/>
          <w:sz w:val="32"/>
          <w:szCs w:val="32"/>
        </w:rPr>
      </w:pPr>
      <w:r>
        <w:rPr>
          <w:rFonts w:hint="eastAsia" w:ascii="楷体" w:hAnsi="楷体" w:eastAsia="楷体"/>
          <w:color w:val="auto"/>
          <w:sz w:val="32"/>
          <w:szCs w:val="32"/>
        </w:rPr>
        <w:t>（二）一般公共预算当年拨款结构情况</w:t>
      </w:r>
    </w:p>
    <w:p>
      <w:pPr>
        <w:ind w:firstLine="640" w:firstLineChars="200"/>
        <w:jc w:val="left"/>
        <w:rPr>
          <w:rFonts w:ascii="仿宋_GB2312" w:hAnsi="黑体" w:eastAsia="仿宋_GB2312"/>
          <w:color w:val="auto"/>
          <w:sz w:val="32"/>
          <w:szCs w:val="32"/>
        </w:rPr>
      </w:pPr>
      <w:r>
        <w:rPr>
          <w:rFonts w:hint="eastAsia" w:ascii="仿宋_GB2312" w:hAnsi="黑体" w:eastAsia="仿宋_GB2312"/>
          <w:color w:val="auto"/>
          <w:sz w:val="32"/>
          <w:szCs w:val="32"/>
        </w:rPr>
        <w:t>教育支出13,643.6</w:t>
      </w:r>
      <w:r>
        <w:rPr>
          <w:rFonts w:hint="eastAsia" w:ascii="仿宋_GB2312" w:hAnsi="黑体" w:eastAsia="仿宋_GB2312"/>
          <w:color w:val="auto"/>
          <w:sz w:val="32"/>
          <w:szCs w:val="32"/>
          <w:lang w:val="en-US" w:eastAsia="zh-CN"/>
        </w:rPr>
        <w:t>4</w:t>
      </w:r>
      <w:r>
        <w:rPr>
          <w:rFonts w:hint="eastAsia" w:ascii="仿宋_GB2312" w:hAnsi="黑体" w:eastAsia="仿宋_GB2312"/>
          <w:color w:val="auto"/>
          <w:sz w:val="32"/>
          <w:szCs w:val="32"/>
        </w:rPr>
        <w:t>万元，占92.63%；科学技术支出18.01万元，占0.12%；社会保障和就业支出577.74万元，占3.92%；卫生健康支出181.70万元，占1.23%；住房保障支出308.57万元，占2.1%。</w:t>
      </w:r>
    </w:p>
    <w:p>
      <w:pPr>
        <w:ind w:firstLine="640"/>
        <w:jc w:val="left"/>
        <w:rPr>
          <w:rFonts w:ascii="楷体" w:hAnsi="楷体" w:eastAsia="楷体"/>
          <w:color w:val="auto"/>
          <w:sz w:val="32"/>
          <w:szCs w:val="32"/>
        </w:rPr>
      </w:pPr>
      <w:r>
        <w:rPr>
          <w:rFonts w:hint="eastAsia" w:ascii="楷体" w:hAnsi="楷体" w:eastAsia="楷体"/>
          <w:color w:val="auto"/>
          <w:sz w:val="32"/>
          <w:szCs w:val="32"/>
        </w:rPr>
        <w:t>（三）一般公共预算当年拨款具体使用情况</w:t>
      </w:r>
    </w:p>
    <w:p>
      <w:pPr>
        <w:ind w:firstLine="640" w:firstLineChars="200"/>
        <w:rPr>
          <w:rFonts w:hint="eastAsia" w:ascii="仿宋_GB2312" w:hAnsi="黑体" w:eastAsia="仿宋_GB2312" w:cs="仿宋_GB2312"/>
          <w:color w:val="auto"/>
          <w:sz w:val="32"/>
          <w:szCs w:val="32"/>
          <w:lang w:val="en-US" w:eastAsia="zh-CN"/>
        </w:rPr>
      </w:pPr>
      <w:r>
        <w:rPr>
          <w:rFonts w:hint="eastAsia" w:ascii="仿宋_GB2312" w:hAnsi="黑体" w:eastAsia="仿宋_GB2312" w:cs="仿宋_GB2312"/>
          <w:color w:val="auto"/>
          <w:sz w:val="32"/>
          <w:szCs w:val="32"/>
          <w:lang w:val="en-US" w:eastAsia="zh-CN"/>
        </w:rPr>
        <w:t>1.教育支出（类）职业教育（款）中等职业教育（项）2024年预算数为213.06万元，比上年预算数增加25.62万元，主要是2024年学生资助补助中职免学费资金及助学金增加。</w:t>
      </w:r>
    </w:p>
    <w:p>
      <w:pPr>
        <w:ind w:firstLine="640" w:firstLineChars="200"/>
        <w:rPr>
          <w:rFonts w:hint="eastAsia" w:ascii="仿宋_GB2312" w:hAnsi="黑体" w:eastAsia="仿宋_GB2312" w:cs="仿宋_GB2312"/>
          <w:color w:val="auto"/>
          <w:sz w:val="32"/>
          <w:szCs w:val="32"/>
          <w:lang w:val="en-US" w:eastAsia="zh-CN"/>
        </w:rPr>
      </w:pPr>
      <w:r>
        <w:rPr>
          <w:rFonts w:hint="eastAsia" w:ascii="仿宋_GB2312" w:hAnsi="黑体" w:eastAsia="仿宋_GB2312" w:cs="仿宋_GB2312"/>
          <w:color w:val="auto"/>
          <w:sz w:val="32"/>
          <w:szCs w:val="32"/>
          <w:lang w:val="en-US" w:eastAsia="zh-CN"/>
        </w:rPr>
        <w:t>2.教育支出（类）职业教育（款）高职职业教育（项）2024年预算数为13,423.08万元，比上年预算数增加1,982.49万元，主要是基本支出增加381.58万元，项目支出增加1,600.91万元。</w:t>
      </w:r>
    </w:p>
    <w:p>
      <w:pPr>
        <w:ind w:firstLine="640" w:firstLineChars="200"/>
        <w:rPr>
          <w:rFonts w:hint="default" w:ascii="仿宋_GB2312" w:hAnsi="黑体" w:eastAsia="仿宋_GB2312" w:cs="仿宋_GB2312"/>
          <w:color w:val="auto"/>
          <w:sz w:val="32"/>
          <w:szCs w:val="32"/>
          <w:lang w:val="en-US" w:eastAsia="zh-CN"/>
        </w:rPr>
      </w:pPr>
      <w:r>
        <w:rPr>
          <w:rFonts w:hint="eastAsia" w:ascii="仿宋_GB2312" w:hAnsi="黑体" w:eastAsia="仿宋_GB2312" w:cs="仿宋_GB2312"/>
          <w:color w:val="auto"/>
          <w:sz w:val="32"/>
          <w:szCs w:val="32"/>
          <w:lang w:val="en-US" w:eastAsia="zh-CN"/>
        </w:rPr>
        <w:t>3.教育支出（类）留学教育（款）来华留学教育（项）2024年预算数为7.5万元，比上年预算数增加7.5万元，主要是项目支出增加7.5万元。</w:t>
      </w:r>
    </w:p>
    <w:p>
      <w:pPr>
        <w:ind w:firstLine="640" w:firstLineChars="200"/>
        <w:rPr>
          <w:rFonts w:hint="eastAsia" w:ascii="仿宋_GB2312" w:hAnsi="黑体" w:eastAsia="仿宋_GB2312" w:cs="仿宋_GB2312"/>
          <w:color w:val="auto"/>
          <w:sz w:val="32"/>
          <w:szCs w:val="32"/>
          <w:lang w:eastAsia="zh-CN"/>
        </w:rPr>
      </w:pPr>
      <w:r>
        <w:rPr>
          <w:rFonts w:hint="eastAsia" w:ascii="仿宋_GB2312" w:hAnsi="黑体" w:eastAsia="仿宋_GB2312" w:cs="仿宋_GB2312"/>
          <w:color w:val="auto"/>
          <w:sz w:val="32"/>
          <w:szCs w:val="32"/>
          <w:lang w:val="en-US" w:eastAsia="zh-CN"/>
        </w:rPr>
        <w:t>4</w:t>
      </w:r>
      <w:r>
        <w:rPr>
          <w:rFonts w:hint="eastAsia" w:ascii="仿宋_GB2312" w:hAnsi="黑体" w:eastAsia="仿宋_GB2312" w:cs="仿宋_GB2312"/>
          <w:color w:val="auto"/>
          <w:sz w:val="32"/>
          <w:szCs w:val="32"/>
          <w:lang w:eastAsia="zh-CN"/>
        </w:rPr>
        <w:t>.科学技术支出（类）社会科学（款）社会科学研究（项）2024年预算数为18.01万元，比上年预算数减少2.12万元，主要是2024年科学研究项目支出预算减少。</w:t>
      </w:r>
    </w:p>
    <w:p>
      <w:pPr>
        <w:ind w:firstLine="640" w:firstLineChars="200"/>
        <w:rPr>
          <w:rFonts w:ascii="仿宋_GB2312" w:hAnsi="黑体" w:eastAsia="仿宋_GB2312" w:cs="仿宋_GB2312"/>
          <w:color w:val="auto"/>
          <w:sz w:val="32"/>
          <w:szCs w:val="32"/>
        </w:rPr>
      </w:pPr>
      <w:r>
        <w:rPr>
          <w:rFonts w:hint="eastAsia" w:ascii="仿宋_GB2312" w:hAnsi="黑体" w:eastAsia="仿宋_GB2312" w:cs="仿宋_GB2312"/>
          <w:color w:val="auto"/>
          <w:sz w:val="32"/>
          <w:szCs w:val="32"/>
          <w:lang w:val="en-US" w:eastAsia="zh-CN"/>
        </w:rPr>
        <w:t>5</w:t>
      </w:r>
      <w:r>
        <w:rPr>
          <w:rFonts w:hint="eastAsia" w:ascii="仿宋_GB2312" w:hAnsi="黑体" w:eastAsia="仿宋_GB2312" w:cs="仿宋_GB2312"/>
          <w:color w:val="auto"/>
          <w:sz w:val="32"/>
          <w:szCs w:val="32"/>
        </w:rPr>
        <w:t>.社会保障和就业支出（类）行政事业单位养老支出（款）机关事业单位基本养老保险缴费支出（项）2024年预算数为380.50万元，比上年预算数增加38.04万元，主要是单位基本养老保险缴费基数调增。</w:t>
      </w:r>
    </w:p>
    <w:p>
      <w:pPr>
        <w:ind w:firstLine="640" w:firstLineChars="200"/>
        <w:rPr>
          <w:rFonts w:ascii="仿宋_GB2312" w:hAnsi="黑体" w:eastAsia="仿宋_GB2312" w:cs="仿宋_GB2312"/>
          <w:color w:val="auto"/>
          <w:sz w:val="32"/>
          <w:szCs w:val="32"/>
        </w:rPr>
      </w:pPr>
      <w:r>
        <w:rPr>
          <w:rFonts w:hint="eastAsia" w:ascii="仿宋_GB2312" w:hAnsi="黑体" w:eastAsia="仿宋_GB2312" w:cs="仿宋_GB2312"/>
          <w:color w:val="auto"/>
          <w:sz w:val="32"/>
          <w:szCs w:val="32"/>
          <w:lang w:val="en-US" w:eastAsia="zh-CN"/>
        </w:rPr>
        <w:t>6</w:t>
      </w:r>
      <w:r>
        <w:rPr>
          <w:rFonts w:hint="eastAsia" w:ascii="仿宋_GB2312" w:hAnsi="黑体" w:eastAsia="仿宋_GB2312" w:cs="仿宋_GB2312"/>
          <w:color w:val="auto"/>
          <w:sz w:val="32"/>
          <w:szCs w:val="32"/>
        </w:rPr>
        <w:t>.社会保障和就业支出（类）行政事业单位养老支出（款）机关事业单位职业年金缴费支出（项）2024年预算数为190.25万元，比上年预算数增加19.02万元，主要是单位职业年金缴费基数调增。</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olor w:val="auto"/>
          <w:sz w:val="32"/>
          <w:szCs w:val="32"/>
          <w:lang w:val="en-US" w:eastAsia="zh-CN"/>
        </w:rPr>
        <w:t>7.社会保障和就业支出（类）抚恤（款）其他优抚支出（项）2024年预算数为6.99万元，与上年持平。</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lang w:val="en-US" w:eastAsia="zh-CN"/>
        </w:rPr>
        <w:t>8</w:t>
      </w:r>
      <w:r>
        <w:rPr>
          <w:rFonts w:hint="eastAsia" w:ascii="仿宋_GB2312" w:hAnsi="黑体" w:eastAsia="仿宋_GB2312"/>
          <w:color w:val="auto"/>
          <w:sz w:val="32"/>
          <w:szCs w:val="32"/>
        </w:rPr>
        <w:t>.卫生健康支出（类）行政事业单位医疗（款）事业单位医疗（项）2024年预算数为181.7万元，比上年预算数增加20.35万元，主要是单位基本医疗基数调增。</w:t>
      </w:r>
    </w:p>
    <w:p>
      <w:pPr>
        <w:ind w:firstLine="640" w:firstLineChars="200"/>
        <w:rPr>
          <w:rFonts w:ascii="仿宋_GB2312" w:hAnsi="黑体" w:eastAsia="仿宋_GB2312"/>
          <w:color w:val="auto"/>
          <w:sz w:val="32"/>
          <w:szCs w:val="32"/>
        </w:rPr>
      </w:pPr>
      <w:r>
        <w:rPr>
          <w:rFonts w:hint="eastAsia" w:ascii="仿宋_GB2312" w:hAnsi="黑体" w:eastAsia="仿宋_GB2312" w:cs="仿宋_GB2312"/>
          <w:color w:val="auto"/>
          <w:sz w:val="32"/>
          <w:szCs w:val="32"/>
          <w:lang w:val="en-US" w:eastAsia="zh-CN"/>
        </w:rPr>
        <w:t>9</w:t>
      </w:r>
      <w:r>
        <w:rPr>
          <w:rFonts w:hint="eastAsia" w:ascii="仿宋_GB2312" w:hAnsi="黑体" w:eastAsia="仿宋_GB2312" w:cs="仿宋_GB2312"/>
          <w:color w:val="auto"/>
          <w:sz w:val="32"/>
          <w:szCs w:val="32"/>
          <w:lang w:eastAsia="zh-CN"/>
        </w:rPr>
        <w:t>.住房保障支出（类）住房改革支出（款）住房公积金（项）2024年预算数为308.57万元，比上年预算数增加30.55万元，主要是单位住房公积金基数调增。</w:t>
      </w:r>
    </w:p>
    <w:p>
      <w:pPr>
        <w:ind w:firstLine="640"/>
        <w:rPr>
          <w:rFonts w:ascii="黑体" w:hAnsi="黑体" w:eastAsia="黑体"/>
          <w:color w:val="auto"/>
          <w:sz w:val="32"/>
          <w:szCs w:val="32"/>
        </w:rPr>
      </w:pPr>
      <w:r>
        <w:rPr>
          <w:rFonts w:hint="eastAsia" w:ascii="黑体" w:hAnsi="黑体" w:eastAsia="黑体"/>
          <w:color w:val="auto"/>
          <w:sz w:val="32"/>
          <w:szCs w:val="32"/>
        </w:rPr>
        <w:t>三、关于海南外国语职业学院</w:t>
      </w:r>
      <w:r>
        <w:rPr>
          <w:rFonts w:hint="eastAsia" w:ascii="黑体" w:hAnsi="黑体" w:eastAsia="黑体"/>
          <w:color w:val="auto"/>
          <w:sz w:val="32"/>
          <w:szCs w:val="32"/>
          <w:lang w:eastAsia="zh-CN"/>
        </w:rPr>
        <w:t>单位</w:t>
      </w:r>
      <w:r>
        <w:rPr>
          <w:rFonts w:hint="eastAsia" w:ascii="黑体" w:hAnsi="黑体" w:eastAsia="黑体"/>
          <w:color w:val="auto"/>
          <w:sz w:val="32"/>
          <w:szCs w:val="32"/>
        </w:rPr>
        <w:t>2024年一般公共预算基本支出情况说明</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rPr>
        <w:t>海南外国语职业学院</w:t>
      </w:r>
      <w:r>
        <w:rPr>
          <w:rFonts w:hint="eastAsia" w:ascii="仿宋_GB2312" w:hAnsi="黑体" w:eastAsia="仿宋_GB2312"/>
          <w:color w:val="auto"/>
          <w:sz w:val="32"/>
          <w:szCs w:val="32"/>
          <w:lang w:eastAsia="zh-CN"/>
        </w:rPr>
        <w:t>单位</w:t>
      </w:r>
      <w:r>
        <w:rPr>
          <w:rFonts w:hint="eastAsia" w:ascii="仿宋_GB2312" w:hAnsi="黑体" w:eastAsia="仿宋_GB2312"/>
          <w:color w:val="auto"/>
          <w:sz w:val="32"/>
          <w:szCs w:val="32"/>
        </w:rPr>
        <w:t>2024年一般公共预算基本支出为6,156.04万元，其中：</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olor w:val="auto"/>
          <w:sz w:val="32"/>
          <w:szCs w:val="32"/>
          <w:lang w:eastAsia="zh-CN"/>
        </w:rPr>
        <w:t>人员经费5,210.54万元，主要包括：基本工资、津贴补贴、绩效工资、机关事业单位基本养老保险缴费、职业年金缴费、职工基本医疗保险缴费、其他社会保障缴费（失业与工伤保险）、住房公积金、医疗费、其他工资福利支出（编外长聘人员工资福利）、邮电费（通讯补贴）、其他交通费用（交通补贴）、生活补助（遗属生活补助）、奖励金。</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lang w:eastAsia="zh-CN"/>
        </w:rPr>
        <w:t>公用经费945.50万元，主要包括：其他社会保障缴费（残疾人就业保障金）、其他工资福利支出（职工探亲旅费）、办公费、印刷费、咨询费、手续费、水费、电费、邮电费（电话费、邮寄费等）、差旅费、因公出国(境)费用、租赁费、会议费、培训费、公务接待费、专用材料费、劳务费、工会经费、公务用车运行维护费、其他交通费用（日常交通费）、其他商品和服务支出、生活补助（伙食补助费）。</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四、海南外国语职业学院</w:t>
      </w:r>
      <w:r>
        <w:rPr>
          <w:rFonts w:hint="eastAsia" w:ascii="黑体" w:hAnsi="黑体" w:eastAsia="黑体" w:cs="Times New Roman"/>
          <w:color w:val="auto"/>
          <w:sz w:val="32"/>
          <w:shd w:val="clear" w:color="auto" w:fill="FFFFFF"/>
          <w:lang w:eastAsia="zh-CN"/>
        </w:rPr>
        <w:t>单位</w:t>
      </w:r>
      <w:r>
        <w:rPr>
          <w:rFonts w:hint="eastAsia" w:ascii="黑体" w:hAnsi="黑体" w:eastAsia="黑体" w:cs="Times New Roman"/>
          <w:color w:val="auto"/>
          <w:sz w:val="32"/>
          <w:shd w:val="clear" w:color="auto" w:fill="FFFFFF"/>
        </w:rPr>
        <w:t>2024年“三公”经费预算情况说明</w:t>
      </w:r>
    </w:p>
    <w:p>
      <w:pPr>
        <w:ind w:firstLine="640" w:firstLineChars="200"/>
        <w:rPr>
          <w:rFonts w:ascii="仿宋_GB2312" w:hAnsi="黑体" w:eastAsia="仿宋_GB2312" w:cs="Times New Roman"/>
          <w:color w:val="auto"/>
          <w:sz w:val="32"/>
          <w:szCs w:val="32"/>
        </w:rPr>
      </w:pPr>
      <w:r>
        <w:rPr>
          <w:rFonts w:hint="eastAsia" w:ascii="仿宋_GB2312" w:hAnsi="黑体" w:eastAsia="仿宋_GB2312"/>
          <w:color w:val="auto"/>
          <w:sz w:val="32"/>
          <w:szCs w:val="32"/>
        </w:rPr>
        <w:t>（一）海南外国语职业学院</w:t>
      </w:r>
      <w:r>
        <w:rPr>
          <w:rFonts w:hint="eastAsia" w:ascii="仿宋_GB2312" w:hAnsi="黑体" w:eastAsia="仿宋_GB2312"/>
          <w:color w:val="auto"/>
          <w:sz w:val="32"/>
          <w:szCs w:val="32"/>
          <w:lang w:eastAsia="zh-CN"/>
        </w:rPr>
        <w:t>单位</w:t>
      </w:r>
      <w:r>
        <w:rPr>
          <w:rFonts w:hint="eastAsia" w:ascii="仿宋_GB2312" w:hAnsi="黑体" w:eastAsia="仿宋_GB2312"/>
          <w:color w:val="auto"/>
          <w:sz w:val="32"/>
          <w:szCs w:val="32"/>
        </w:rPr>
        <w:t>2024年一般公共预算“三公”经费预算数为53.59万元，其中：</w:t>
      </w:r>
    </w:p>
    <w:p>
      <w:pPr>
        <w:spacing w:line="600" w:lineRule="exact"/>
        <w:ind w:firstLine="630"/>
        <w:rPr>
          <w:rFonts w:hint="eastAsia" w:ascii="Times New Roman" w:hAnsi="Times New Roman" w:eastAsia="仿宋_GB2312"/>
          <w:color w:val="auto"/>
          <w:sz w:val="32"/>
          <w:shd w:val="clear" w:color="auto" w:fill="FFFFFF"/>
        </w:rPr>
      </w:pPr>
      <w:r>
        <w:rPr>
          <w:rFonts w:hint="eastAsia" w:ascii="仿宋" w:hAnsi="仿宋" w:eastAsia="仿宋" w:cs="仿宋"/>
          <w:color w:val="auto"/>
          <w:sz w:val="32"/>
          <w:szCs w:val="32"/>
        </w:rPr>
        <w:t>因公出国（境）经费32.46万元，比上年预算数增加15万元，</w:t>
      </w:r>
      <w:r>
        <w:rPr>
          <w:rFonts w:hint="eastAsia" w:ascii="仿宋" w:hAnsi="仿宋" w:eastAsia="仿宋" w:cs="仿宋"/>
          <w:color w:val="auto"/>
          <w:sz w:val="32"/>
          <w:szCs w:val="32"/>
          <w:lang w:eastAsia="zh-CN"/>
        </w:rPr>
        <w:t>较上年预算增长</w:t>
      </w:r>
      <w:r>
        <w:rPr>
          <w:rFonts w:hint="eastAsia" w:ascii="仿宋" w:hAnsi="仿宋" w:eastAsia="仿宋" w:cs="仿宋"/>
          <w:color w:val="auto"/>
          <w:sz w:val="32"/>
          <w:szCs w:val="32"/>
          <w:lang w:val="en-US" w:eastAsia="zh-CN"/>
        </w:rPr>
        <w:t>85.91%，增长的</w:t>
      </w:r>
      <w:r>
        <w:rPr>
          <w:rFonts w:hint="eastAsia" w:ascii="仿宋" w:hAnsi="仿宋" w:eastAsia="仿宋" w:cs="仿宋"/>
          <w:color w:val="auto"/>
          <w:sz w:val="32"/>
          <w:szCs w:val="32"/>
        </w:rPr>
        <w:t>主要</w:t>
      </w:r>
      <w:r>
        <w:rPr>
          <w:rFonts w:hint="eastAsia" w:ascii="仿宋" w:hAnsi="仿宋" w:eastAsia="仿宋" w:cs="仿宋"/>
          <w:color w:val="auto"/>
          <w:sz w:val="32"/>
          <w:szCs w:val="32"/>
          <w:lang w:eastAsia="zh-CN"/>
        </w:rPr>
        <w:t>原因是</w:t>
      </w:r>
      <w:r>
        <w:rPr>
          <w:rFonts w:hint="eastAsia" w:ascii="仿宋" w:hAnsi="仿宋" w:eastAsia="仿宋" w:cs="仿宋"/>
          <w:color w:val="auto"/>
          <w:sz w:val="32"/>
          <w:szCs w:val="32"/>
          <w:lang w:val="en-US" w:eastAsia="zh-CN"/>
        </w:rPr>
        <w:t>疫情已经放开，</w:t>
      </w:r>
      <w:r>
        <w:rPr>
          <w:rFonts w:hint="eastAsia" w:ascii="仿宋" w:hAnsi="仿宋" w:eastAsia="仿宋" w:cs="仿宋"/>
          <w:color w:val="auto"/>
          <w:sz w:val="32"/>
          <w:szCs w:val="32"/>
        </w:rPr>
        <w:t>为</w:t>
      </w:r>
      <w:r>
        <w:rPr>
          <w:rFonts w:hint="eastAsia" w:ascii="仿宋" w:hAnsi="仿宋" w:eastAsia="仿宋" w:cs="仿宋"/>
          <w:color w:val="auto"/>
          <w:sz w:val="32"/>
          <w:szCs w:val="32"/>
          <w:lang w:eastAsia="zh-CN"/>
        </w:rPr>
        <w:t>了</w:t>
      </w:r>
      <w:r>
        <w:rPr>
          <w:rFonts w:hint="eastAsia" w:ascii="仿宋" w:hAnsi="仿宋" w:eastAsia="仿宋" w:cs="仿宋"/>
          <w:color w:val="auto"/>
          <w:sz w:val="32"/>
          <w:szCs w:val="32"/>
        </w:rPr>
        <w:t>响应省委省政府关于海南自贸港“一本三基四梁八柱”全力推进国际教育创新岛建设要求，我</w:t>
      </w:r>
      <w:r>
        <w:rPr>
          <w:rFonts w:hint="eastAsia" w:ascii="仿宋" w:hAnsi="仿宋" w:eastAsia="仿宋" w:cs="仿宋"/>
          <w:color w:val="auto"/>
          <w:sz w:val="32"/>
          <w:szCs w:val="32"/>
          <w:lang w:eastAsia="zh-CN"/>
        </w:rPr>
        <w:t>校</w:t>
      </w:r>
      <w:r>
        <w:rPr>
          <w:rFonts w:hint="eastAsia" w:ascii="仿宋" w:hAnsi="仿宋" w:eastAsia="仿宋" w:cs="仿宋"/>
          <w:color w:val="auto"/>
          <w:sz w:val="32"/>
          <w:szCs w:val="32"/>
        </w:rPr>
        <w:t>因公团组计划出访国家增多，相对去年增加1个国家。同时，因全球通货膨胀，促使因公出国（境）费用提高。</w:t>
      </w:r>
      <w:r>
        <w:rPr>
          <w:rFonts w:hint="eastAsia" w:ascii="仿宋" w:hAnsi="仿宋" w:eastAsia="仿宋" w:cs="仿宋"/>
          <w:color w:val="auto"/>
          <w:sz w:val="32"/>
          <w:szCs w:val="32"/>
          <w:lang w:eastAsia="zh-CN"/>
        </w:rPr>
        <w:t>我校</w:t>
      </w:r>
      <w:r>
        <w:rPr>
          <w:rFonts w:hint="eastAsia" w:ascii="仿宋" w:hAnsi="仿宋" w:eastAsia="仿宋" w:cs="仿宋"/>
          <w:color w:val="auto"/>
          <w:sz w:val="32"/>
          <w:szCs w:val="32"/>
        </w:rPr>
        <w:t>将继续做好海南自由贸易港所需的教育国际交流活动计划安排，加强因公出国（境）团组的申报和审批，对因公出国（境）的人员、出访计划、资金支出预算安排等方面从严控制。</w:t>
      </w:r>
      <w:r>
        <w:rPr>
          <w:rFonts w:hint="eastAsia" w:ascii="仿宋" w:hAnsi="仿宋" w:eastAsia="仿宋" w:cs="仿宋"/>
          <w:color w:val="auto"/>
          <w:sz w:val="32"/>
          <w:szCs w:val="32"/>
          <w:lang w:eastAsia="zh-CN"/>
        </w:rPr>
        <w:t>我校</w:t>
      </w:r>
      <w:r>
        <w:rPr>
          <w:rFonts w:hint="eastAsia" w:ascii="仿宋" w:hAnsi="仿宋" w:eastAsia="仿宋" w:cs="仿宋"/>
          <w:color w:val="auto"/>
          <w:sz w:val="32"/>
          <w:szCs w:val="32"/>
        </w:rPr>
        <w:t>拟实施的因公出国（境）</w:t>
      </w:r>
      <w:r>
        <w:rPr>
          <w:rFonts w:hint="eastAsia" w:ascii="仿宋" w:hAnsi="仿宋" w:eastAsia="仿宋" w:cs="仿宋"/>
          <w:color w:val="auto"/>
          <w:sz w:val="32"/>
          <w:szCs w:val="32"/>
          <w:lang w:eastAsia="zh-CN"/>
        </w:rPr>
        <w:t>团组</w:t>
      </w:r>
      <w:r>
        <w:rPr>
          <w:rFonts w:hint="eastAsia" w:ascii="仿宋" w:hAnsi="仿宋" w:eastAsia="仿宋" w:cs="仿宋"/>
          <w:color w:val="auto"/>
          <w:sz w:val="32"/>
          <w:szCs w:val="32"/>
          <w:lang w:val="en-US" w:eastAsia="zh-CN"/>
        </w:rPr>
        <w:t>1次，出国（境）4人，出国（境）</w:t>
      </w:r>
      <w:r>
        <w:rPr>
          <w:rFonts w:hint="eastAsia" w:ascii="仿宋" w:hAnsi="仿宋" w:eastAsia="仿宋" w:cs="仿宋"/>
          <w:color w:val="auto"/>
          <w:sz w:val="32"/>
          <w:szCs w:val="32"/>
        </w:rPr>
        <w:t>计划如下：</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赴西班牙、葡萄牙、德国访问团</w:t>
      </w:r>
      <w:r>
        <w:rPr>
          <w:rFonts w:hint="eastAsia" w:ascii="仿宋" w:hAnsi="仿宋" w:eastAsia="仿宋" w:cs="仿宋"/>
          <w:color w:val="auto"/>
          <w:sz w:val="32"/>
          <w:szCs w:val="32"/>
          <w:lang w:eastAsia="zh-CN"/>
        </w:rPr>
        <w:t>组</w:t>
      </w:r>
      <w:r>
        <w:rPr>
          <w:rFonts w:hint="eastAsia" w:ascii="仿宋" w:hAnsi="仿宋" w:eastAsia="仿宋" w:cs="仿宋"/>
          <w:color w:val="auto"/>
          <w:sz w:val="32"/>
          <w:szCs w:val="32"/>
        </w:rPr>
        <w:t>：目的地是西班牙萨拉曼卡大学、西班牙康普顿斯大学、葡萄牙布拉干萨理工学院、葡萄牙莱利亚理工学院、德国莱比锡大学，汉诺威大学，人数为4人，天数为10天。主要任务：访问相关大学、学院；校际合作签约，提高我校西班牙、葡萄牙、德语学科建设水平；看望</w:t>
      </w:r>
      <w:r>
        <w:rPr>
          <w:rFonts w:hint="eastAsia" w:ascii="仿宋" w:hAnsi="仿宋" w:eastAsia="仿宋" w:cs="仿宋"/>
          <w:color w:val="auto"/>
          <w:sz w:val="32"/>
          <w:szCs w:val="32"/>
          <w:lang w:eastAsia="zh-CN"/>
        </w:rPr>
        <w:t>我校</w:t>
      </w:r>
      <w:r>
        <w:rPr>
          <w:rFonts w:hint="eastAsia" w:ascii="仿宋" w:hAnsi="仿宋" w:eastAsia="仿宋" w:cs="仿宋"/>
          <w:color w:val="auto"/>
          <w:sz w:val="32"/>
          <w:szCs w:val="32"/>
        </w:rPr>
        <w:t>在外留学生。</w:t>
      </w:r>
      <w:r>
        <w:rPr>
          <w:rFonts w:hint="eastAsia" w:ascii="Times New Roman" w:hAnsi="Times New Roman" w:eastAsia="仿宋_GB2312"/>
          <w:color w:val="auto"/>
          <w:sz w:val="32"/>
          <w:shd w:val="clear" w:color="auto" w:fill="FFFFFF"/>
        </w:rPr>
        <w:t>公务用车购置及运行费</w:t>
      </w:r>
      <w:r>
        <w:rPr>
          <w:rFonts w:hint="eastAsia" w:ascii="仿宋" w:hAnsi="仿宋" w:eastAsia="仿宋" w:cs="仿宋"/>
          <w:color w:val="auto"/>
          <w:sz w:val="32"/>
          <w:szCs w:val="32"/>
        </w:rPr>
        <w:t>11.43</w:t>
      </w:r>
      <w:r>
        <w:rPr>
          <w:rFonts w:hint="eastAsia" w:ascii="Times New Roman" w:hAnsi="Times New Roman" w:eastAsia="仿宋_GB2312"/>
          <w:color w:val="auto"/>
          <w:sz w:val="32"/>
          <w:shd w:val="clear" w:color="auto" w:fill="FFFFFF"/>
        </w:rPr>
        <w:t>万元，其中，公务用车购置数为</w:t>
      </w:r>
      <w:r>
        <w:rPr>
          <w:rFonts w:hint="eastAsia" w:ascii="仿宋" w:hAnsi="仿宋" w:eastAsia="仿宋" w:cs="仿宋"/>
          <w:color w:val="auto"/>
          <w:sz w:val="32"/>
          <w:szCs w:val="32"/>
        </w:rPr>
        <w:t>0</w:t>
      </w:r>
      <w:r>
        <w:rPr>
          <w:rFonts w:hint="eastAsia" w:ascii="Times New Roman" w:hAnsi="Times New Roman" w:eastAsia="仿宋_GB2312"/>
          <w:color w:val="auto"/>
          <w:sz w:val="32"/>
          <w:shd w:val="clear" w:color="auto" w:fill="FFFFFF"/>
        </w:rPr>
        <w:t>，未安排公务用车购置费，公务用车保有量为</w:t>
      </w:r>
      <w:r>
        <w:rPr>
          <w:rFonts w:hint="eastAsia" w:ascii="仿宋" w:hAnsi="仿宋" w:eastAsia="仿宋" w:cs="仿宋"/>
          <w:color w:val="auto"/>
          <w:sz w:val="32"/>
          <w:szCs w:val="32"/>
        </w:rPr>
        <w:t>3</w:t>
      </w:r>
      <w:r>
        <w:rPr>
          <w:rFonts w:hint="eastAsia" w:ascii="Times New Roman" w:hAnsi="Times New Roman" w:eastAsia="仿宋_GB2312"/>
          <w:color w:val="auto"/>
          <w:sz w:val="32"/>
          <w:shd w:val="clear" w:color="auto" w:fill="FFFFFF"/>
        </w:rPr>
        <w:t>辆，公务用车运行费</w:t>
      </w:r>
      <w:r>
        <w:rPr>
          <w:rFonts w:hint="eastAsia" w:ascii="仿宋" w:hAnsi="仿宋" w:eastAsia="仿宋" w:cs="仿宋"/>
          <w:color w:val="auto"/>
          <w:sz w:val="32"/>
          <w:szCs w:val="32"/>
        </w:rPr>
        <w:t>11.43</w:t>
      </w:r>
      <w:r>
        <w:rPr>
          <w:rFonts w:hint="eastAsia" w:ascii="Times New Roman" w:hAnsi="Times New Roman" w:eastAsia="仿宋_GB2312"/>
          <w:color w:val="auto"/>
          <w:sz w:val="32"/>
          <w:shd w:val="clear" w:color="auto" w:fill="FFFFFF"/>
        </w:rPr>
        <w:t>万元，与</w:t>
      </w:r>
      <w:r>
        <w:rPr>
          <w:rFonts w:hint="eastAsia" w:ascii="Times New Roman" w:hAnsi="Times New Roman" w:eastAsia="仿宋_GB2312"/>
          <w:color w:val="auto"/>
          <w:sz w:val="32"/>
          <w:shd w:val="clear" w:color="auto" w:fill="FFFFFF"/>
          <w:lang w:eastAsia="zh-CN"/>
        </w:rPr>
        <w:t>上年预算</w:t>
      </w:r>
      <w:r>
        <w:rPr>
          <w:rFonts w:hint="eastAsia" w:ascii="Times New Roman" w:hAnsi="Times New Roman" w:eastAsia="仿宋_GB2312"/>
          <w:color w:val="auto"/>
          <w:sz w:val="32"/>
          <w:shd w:val="clear" w:color="auto" w:fill="FFFFFF"/>
        </w:rPr>
        <w:t>持平。</w:t>
      </w:r>
      <w:r>
        <w:rPr>
          <w:rFonts w:hint="eastAsia" w:ascii="Times New Roman" w:hAnsi="Times New Roman" w:eastAsia="仿宋_GB2312"/>
          <w:color w:val="auto"/>
          <w:sz w:val="32"/>
          <w:shd w:val="clear" w:color="auto" w:fill="FFFFFF"/>
          <w:lang w:eastAsia="zh-CN"/>
        </w:rPr>
        <w:t>我校</w:t>
      </w:r>
      <w:r>
        <w:rPr>
          <w:rFonts w:hint="eastAsia" w:ascii="Times New Roman" w:hAnsi="Times New Roman" w:eastAsia="仿宋_GB2312"/>
          <w:color w:val="auto"/>
          <w:sz w:val="32"/>
          <w:shd w:val="clear" w:color="auto" w:fill="FFFFFF"/>
        </w:rPr>
        <w:t>加强公务用车购置及运行维护的监督管理，公务用车审批规范，控制车辆运行成本。</w:t>
      </w:r>
      <w:r>
        <w:rPr>
          <w:rFonts w:hint="eastAsia" w:ascii="仿宋_GB2312" w:eastAsia="仿宋_GB2312"/>
          <w:color w:val="auto"/>
          <w:sz w:val="32"/>
          <w:shd w:val="clear" w:color="auto" w:fill="FFFFFF"/>
        </w:rPr>
        <w:t>公务接待费</w:t>
      </w:r>
      <w:r>
        <w:rPr>
          <w:rFonts w:hint="eastAsia" w:ascii="仿宋" w:hAnsi="仿宋" w:eastAsia="仿宋" w:cs="仿宋"/>
          <w:color w:val="auto"/>
          <w:sz w:val="32"/>
          <w:szCs w:val="32"/>
        </w:rPr>
        <w:t>9.7</w:t>
      </w:r>
      <w:r>
        <w:rPr>
          <w:rFonts w:hint="eastAsia" w:ascii="仿宋_GB2312" w:eastAsia="仿宋_GB2312"/>
          <w:color w:val="auto"/>
          <w:sz w:val="32"/>
          <w:shd w:val="clear" w:color="auto" w:fill="FFFFFF"/>
        </w:rPr>
        <w:t>万元，与</w:t>
      </w:r>
      <w:r>
        <w:rPr>
          <w:rFonts w:hint="eastAsia" w:ascii="仿宋_GB2312" w:eastAsia="仿宋_GB2312"/>
          <w:color w:val="auto"/>
          <w:sz w:val="32"/>
          <w:shd w:val="clear" w:color="auto" w:fill="FFFFFF"/>
          <w:lang w:eastAsia="zh-CN"/>
        </w:rPr>
        <w:t>上年预算</w:t>
      </w:r>
      <w:r>
        <w:rPr>
          <w:rFonts w:hint="eastAsia" w:ascii="仿宋_GB2312" w:eastAsia="仿宋_GB2312"/>
          <w:color w:val="auto"/>
          <w:sz w:val="32"/>
          <w:shd w:val="clear" w:color="auto" w:fill="FFFFFF"/>
        </w:rPr>
        <w:t>持平。2024年</w:t>
      </w:r>
      <w:r>
        <w:rPr>
          <w:rFonts w:hint="eastAsia" w:ascii="仿宋_GB2312" w:eastAsia="仿宋_GB2312"/>
          <w:color w:val="auto"/>
          <w:sz w:val="32"/>
          <w:shd w:val="clear" w:color="auto" w:fill="FFFFFF"/>
          <w:lang w:eastAsia="zh-CN"/>
        </w:rPr>
        <w:t>我校</w:t>
      </w:r>
      <w:r>
        <w:rPr>
          <w:rFonts w:hint="eastAsia" w:ascii="仿宋_GB2312" w:eastAsia="仿宋_GB2312"/>
          <w:color w:val="auto"/>
          <w:sz w:val="32"/>
          <w:shd w:val="clear" w:color="auto" w:fill="FFFFFF"/>
        </w:rPr>
        <w:t>计划</w:t>
      </w:r>
      <w:r>
        <w:rPr>
          <w:rFonts w:hint="eastAsia" w:ascii="仿宋_GB2312" w:eastAsia="仿宋_GB2312"/>
          <w:color w:val="auto"/>
          <w:sz w:val="32"/>
          <w:shd w:val="clear" w:color="auto" w:fill="FFFFFF"/>
          <w:lang w:eastAsia="zh-CN"/>
        </w:rPr>
        <w:t>接待</w:t>
      </w:r>
      <w:r>
        <w:rPr>
          <w:rFonts w:hint="eastAsia" w:ascii="仿宋_GB2312" w:eastAsia="仿宋_GB2312"/>
          <w:b w:val="0"/>
          <w:bCs w:val="0"/>
          <w:color w:val="auto"/>
          <w:sz w:val="32"/>
          <w:shd w:val="clear" w:color="auto" w:fill="FFFFFF"/>
          <w:lang w:val="en-US" w:eastAsia="zh-CN"/>
        </w:rPr>
        <w:t>145批次，1080人（含</w:t>
      </w:r>
      <w:r>
        <w:rPr>
          <w:rFonts w:hint="eastAsia" w:ascii="仿宋_GB2312" w:eastAsia="仿宋_GB2312"/>
          <w:b w:val="0"/>
          <w:bCs w:val="0"/>
          <w:color w:val="auto"/>
          <w:sz w:val="32"/>
          <w:shd w:val="clear" w:color="auto" w:fill="FFFFFF"/>
        </w:rPr>
        <w:t>国内接待125批次，</w:t>
      </w:r>
      <w:r>
        <w:rPr>
          <w:rFonts w:hint="eastAsia" w:ascii="仿宋" w:hAnsi="仿宋" w:eastAsia="仿宋" w:cs="仿宋"/>
          <w:color w:val="auto"/>
          <w:sz w:val="32"/>
          <w:szCs w:val="32"/>
        </w:rPr>
        <w:t>980</w:t>
      </w:r>
      <w:r>
        <w:rPr>
          <w:rFonts w:hint="eastAsia" w:ascii="仿宋_GB2312" w:eastAsia="仿宋_GB2312"/>
          <w:b w:val="0"/>
          <w:bCs w:val="0"/>
          <w:color w:val="auto"/>
          <w:sz w:val="32"/>
          <w:shd w:val="clear" w:color="auto" w:fill="FFFFFF"/>
        </w:rPr>
        <w:t>人</w:t>
      </w:r>
      <w:r>
        <w:rPr>
          <w:rFonts w:hint="eastAsia" w:ascii="仿宋_GB2312" w:eastAsia="仿宋_GB2312"/>
          <w:b w:val="0"/>
          <w:bCs w:val="0"/>
          <w:color w:val="auto"/>
          <w:sz w:val="32"/>
          <w:shd w:val="clear" w:color="auto" w:fill="FFFFFF"/>
          <w:lang w:val="en-US" w:eastAsia="zh-CN"/>
        </w:rPr>
        <w:t>）</w:t>
      </w:r>
      <w:r>
        <w:rPr>
          <w:rFonts w:hint="eastAsia" w:ascii="仿宋_GB2312" w:eastAsia="仿宋_GB2312"/>
          <w:b w:val="0"/>
          <w:bCs w:val="0"/>
          <w:color w:val="auto"/>
          <w:sz w:val="32"/>
          <w:shd w:val="clear" w:color="auto" w:fill="FFFFFF"/>
        </w:rPr>
        <w:t>，</w:t>
      </w:r>
      <w:r>
        <w:rPr>
          <w:rFonts w:hint="eastAsia" w:ascii="Times New Roman" w:hAnsi="Times New Roman" w:eastAsia="仿宋_GB2312"/>
          <w:color w:val="auto"/>
          <w:sz w:val="32"/>
          <w:shd w:val="clear" w:color="auto" w:fill="FFFFFF"/>
        </w:rPr>
        <w:t>主要用于学院各类学术交流、合作办学等方面的接待支出。</w:t>
      </w:r>
    </w:p>
    <w:p>
      <w:pPr>
        <w:ind w:firstLine="640" w:firstLineChars="200"/>
        <w:rPr>
          <w:rFonts w:ascii="仿宋_GB2312" w:hAnsi="黑体" w:eastAsia="仿宋_GB2312" w:cs="Times New Roman"/>
          <w:sz w:val="32"/>
          <w:szCs w:val="32"/>
          <w:u w:val="none"/>
        </w:rPr>
      </w:pPr>
      <w:r>
        <w:rPr>
          <w:rFonts w:hint="eastAsia" w:ascii="Times New Roman" w:hAnsi="Times New Roman" w:eastAsia="仿宋_GB2312"/>
          <w:color w:val="auto"/>
          <w:sz w:val="32"/>
          <w:shd w:val="clear" w:color="auto" w:fill="FFFFFF"/>
        </w:rPr>
        <w:t>（二）海南外国语职业学院</w:t>
      </w:r>
      <w:r>
        <w:rPr>
          <w:rFonts w:hint="eastAsia" w:ascii="Times New Roman" w:hAnsi="Times New Roman" w:eastAsia="仿宋_GB2312"/>
          <w:color w:val="auto"/>
          <w:sz w:val="32"/>
          <w:shd w:val="clear" w:color="auto" w:fill="FFFFFF"/>
          <w:lang w:eastAsia="zh-CN"/>
        </w:rPr>
        <w:t>单位</w:t>
      </w:r>
      <w:r>
        <w:rPr>
          <w:rFonts w:hint="eastAsia" w:ascii="仿宋" w:hAnsi="仿宋" w:eastAsia="仿宋" w:cs="仿宋"/>
          <w:color w:val="auto"/>
          <w:sz w:val="32"/>
          <w:szCs w:val="32"/>
        </w:rPr>
        <w:t>2024</w:t>
      </w:r>
      <w:r>
        <w:rPr>
          <w:rFonts w:hint="eastAsia" w:ascii="Times New Roman" w:hAnsi="Times New Roman" w:eastAsia="仿宋_GB2312"/>
          <w:color w:val="auto"/>
          <w:sz w:val="32"/>
          <w:shd w:val="clear" w:color="auto" w:fill="FFFFFF"/>
        </w:rPr>
        <w:t>年政府性基金预算“三</w:t>
      </w:r>
      <w:r>
        <w:rPr>
          <w:rFonts w:hint="eastAsia" w:ascii="Times New Roman" w:hAnsi="Times New Roman" w:eastAsia="仿宋_GB2312"/>
          <w:color w:val="auto"/>
          <w:sz w:val="32"/>
          <w:shd w:val="clear" w:color="auto" w:fill="FFFFFF"/>
          <w:lang w:eastAsia="zh-CN"/>
        </w:rPr>
        <w:t>公”经费预算数为</w:t>
      </w:r>
      <w:r>
        <w:rPr>
          <w:rFonts w:hint="eastAsia" w:ascii="仿宋" w:hAnsi="仿宋" w:eastAsia="仿宋" w:cs="仿宋"/>
          <w:color w:val="auto"/>
          <w:sz w:val="32"/>
          <w:szCs w:val="32"/>
          <w:lang w:eastAsia="zh-CN"/>
        </w:rPr>
        <w:t>0</w:t>
      </w:r>
      <w:r>
        <w:rPr>
          <w:rFonts w:hint="eastAsia" w:ascii="Times New Roman" w:hAnsi="Times New Roman" w:eastAsia="仿宋_GB2312"/>
          <w:color w:val="auto"/>
          <w:sz w:val="32"/>
          <w:shd w:val="clear" w:color="auto" w:fill="FFFFFF"/>
          <w:lang w:eastAsia="zh-CN"/>
        </w:rPr>
        <w:t>万元</w:t>
      </w:r>
      <w:r>
        <w:rPr>
          <w:rFonts w:hint="eastAsia" w:ascii="仿宋_GB2312" w:hAnsi="黑体" w:eastAsia="仿宋_GB2312"/>
          <w:sz w:val="32"/>
          <w:szCs w:val="32"/>
          <w:u w:val="none"/>
        </w:rPr>
        <w:t>，其中：</w:t>
      </w:r>
    </w:p>
    <w:p>
      <w:pPr>
        <w:rPr>
          <w:rFonts w:hint="eastAsia" w:ascii="Times New Roman" w:hAnsi="Times New Roman" w:eastAsia="仿宋_GB2312"/>
          <w:color w:val="auto"/>
          <w:sz w:val="32"/>
          <w:shd w:val="clear" w:color="auto" w:fill="FFFFFF"/>
          <w:lang w:eastAsia="zh-CN"/>
        </w:rPr>
      </w:pPr>
      <w:r>
        <w:rPr>
          <w:rFonts w:ascii="Times New Roman" w:hAnsi="Times New Roman" w:eastAsia="仿宋_GB2312" w:cs="Times New Roman"/>
          <w:sz w:val="32"/>
          <w:u w:val="none"/>
          <w:shd w:val="clear" w:color="auto" w:fill="FFFFFF"/>
        </w:rPr>
        <w:t xml:space="preserve">    因公出国（境）经费</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rPr>
        <w:t>。</w:t>
      </w:r>
      <w:r>
        <w:rPr>
          <w:rFonts w:hint="eastAsia" w:ascii="Times New Roman" w:hAnsi="Times New Roman" w:eastAsia="仿宋_GB2312" w:cs="Times New Roman"/>
          <w:sz w:val="32"/>
          <w:u w:val="none"/>
          <w:shd w:val="clear" w:color="auto" w:fill="FFFFFF"/>
          <w:lang w:val="en-US" w:eastAsia="zh-CN"/>
        </w:rPr>
        <w:t>无</w:t>
      </w:r>
      <w:r>
        <w:rPr>
          <w:rFonts w:ascii="Times New Roman" w:hAnsi="Times New Roman" w:eastAsia="仿宋_GB2312" w:cs="Times New Roman"/>
          <w:sz w:val="32"/>
          <w:u w:val="none"/>
          <w:shd w:val="clear" w:color="auto" w:fill="FFFFFF"/>
        </w:rPr>
        <w:t>安排</w:t>
      </w:r>
      <w:r>
        <w:rPr>
          <w:rFonts w:hint="eastAsia" w:ascii="Times New Roman" w:hAnsi="Times New Roman" w:eastAsia="仿宋_GB2312" w:cs="Times New Roman"/>
          <w:sz w:val="32"/>
          <w:u w:val="none"/>
          <w:shd w:val="clear" w:color="auto" w:fill="FFFFFF"/>
          <w:lang w:val="en-US" w:eastAsia="zh-CN"/>
        </w:rPr>
        <w:t>2024</w:t>
      </w:r>
      <w:r>
        <w:rPr>
          <w:rFonts w:ascii="Times New Roman" w:hAnsi="Times New Roman" w:eastAsia="仿宋_GB2312" w:cs="Times New Roman"/>
          <w:sz w:val="32"/>
          <w:u w:val="none"/>
          <w:shd w:val="clear" w:color="auto" w:fill="FFFFFF"/>
        </w:rPr>
        <w:t>年出国计划，拟安排出国（境）组</w:t>
      </w:r>
      <w:r>
        <w:rPr>
          <w:rFonts w:hint="eastAsia" w:ascii="Times New Roman" w:hAnsi="Times New Roman" w:eastAsia="仿宋_GB2312" w:cs="Times New Roman"/>
          <w:sz w:val="32"/>
          <w:u w:val="none"/>
          <w:shd w:val="clear" w:color="auto" w:fill="FFFFFF"/>
          <w:lang w:val="en-US" w:eastAsia="zh-CN"/>
        </w:rPr>
        <w:t>0</w:t>
      </w:r>
      <w:r>
        <w:rPr>
          <w:rFonts w:ascii="Times New Roman" w:hAnsi="Times New Roman" w:eastAsia="仿宋_GB2312" w:cs="Times New Roman"/>
          <w:sz w:val="32"/>
          <w:u w:val="none"/>
          <w:shd w:val="clear" w:color="auto" w:fill="FFFFFF"/>
        </w:rPr>
        <w:t>次，出国（境）</w:t>
      </w:r>
      <w:r>
        <w:rPr>
          <w:rFonts w:hint="eastAsia" w:ascii="Times New Roman" w:hAnsi="Times New Roman" w:eastAsia="仿宋_GB2312" w:cs="Times New Roman"/>
          <w:sz w:val="32"/>
          <w:u w:val="none"/>
          <w:shd w:val="clear" w:color="auto" w:fill="FFFFFF"/>
          <w:lang w:val="en-US" w:eastAsia="zh-CN"/>
        </w:rPr>
        <w:t>0</w:t>
      </w:r>
      <w:r>
        <w:rPr>
          <w:rFonts w:ascii="Times New Roman" w:hAnsi="Times New Roman" w:eastAsia="仿宋_GB2312" w:cs="Times New Roman"/>
          <w:sz w:val="32"/>
          <w:u w:val="none"/>
          <w:shd w:val="clear" w:color="auto" w:fill="FFFFFF"/>
        </w:rPr>
        <w:t>人。出国（境）团组主要包括：1.</w:t>
      </w:r>
      <w:r>
        <w:rPr>
          <w:rFonts w:hint="eastAsia" w:ascii="Times New Roman" w:hAnsi="Times New Roman" w:eastAsia="仿宋_GB2312" w:cs="Times New Roman"/>
          <w:sz w:val="32"/>
          <w:u w:val="none"/>
          <w:shd w:val="clear" w:color="auto" w:fill="FFFFFF"/>
          <w:lang w:val="en-US" w:eastAsia="zh-CN"/>
        </w:rPr>
        <w:t>无</w:t>
      </w:r>
      <w:r>
        <w:rPr>
          <w:rFonts w:ascii="Times New Roman" w:hAnsi="Times New Roman" w:eastAsia="仿宋_GB2312" w:cs="Times New Roman"/>
          <w:sz w:val="32"/>
          <w:u w:val="none"/>
          <w:shd w:val="clear" w:color="auto" w:fill="FFFFFF"/>
        </w:rPr>
        <w:t>团组：目的地为</w:t>
      </w:r>
      <w:r>
        <w:rPr>
          <w:rFonts w:hint="eastAsia" w:ascii="Times New Roman" w:hAnsi="Times New Roman" w:eastAsia="仿宋_GB2312" w:cs="Times New Roman"/>
          <w:sz w:val="32"/>
          <w:u w:val="none"/>
          <w:shd w:val="clear" w:color="auto" w:fill="FFFFFF"/>
          <w:lang w:val="en-US" w:eastAsia="zh-CN"/>
        </w:rPr>
        <w:t>无</w:t>
      </w:r>
      <w:r>
        <w:rPr>
          <w:rFonts w:ascii="Times New Roman" w:hAnsi="Times New Roman" w:eastAsia="仿宋_GB2312" w:cs="Times New Roman"/>
          <w:sz w:val="32"/>
          <w:u w:val="none"/>
          <w:shd w:val="clear" w:color="auto" w:fill="FFFFFF"/>
        </w:rPr>
        <w:t>，人数为</w:t>
      </w:r>
      <w:r>
        <w:rPr>
          <w:rFonts w:hint="eastAsia" w:ascii="Times New Roman" w:hAnsi="Times New Roman" w:eastAsia="仿宋_GB2312" w:cs="Times New Roman"/>
          <w:sz w:val="32"/>
          <w:u w:val="none"/>
          <w:shd w:val="clear" w:color="auto" w:fill="FFFFFF"/>
          <w:lang w:val="en-US" w:eastAsia="zh-CN"/>
        </w:rPr>
        <w:t>0</w:t>
      </w:r>
      <w:r>
        <w:rPr>
          <w:rFonts w:ascii="Times New Roman" w:hAnsi="Times New Roman" w:eastAsia="仿宋_GB2312" w:cs="Times New Roman"/>
          <w:sz w:val="32"/>
          <w:u w:val="none"/>
          <w:shd w:val="clear" w:color="auto" w:fill="FFFFFF"/>
        </w:rPr>
        <w:t>人，天数为</w:t>
      </w:r>
      <w:r>
        <w:rPr>
          <w:rFonts w:hint="eastAsia" w:ascii="Times New Roman" w:hAnsi="Times New Roman" w:eastAsia="仿宋_GB2312" w:cs="Times New Roman"/>
          <w:sz w:val="32"/>
          <w:u w:val="none"/>
          <w:shd w:val="clear" w:color="auto" w:fill="FFFFFF"/>
          <w:lang w:val="en-US" w:eastAsia="zh-CN"/>
        </w:rPr>
        <w:t>0</w:t>
      </w:r>
      <w:r>
        <w:rPr>
          <w:rFonts w:ascii="Times New Roman" w:hAnsi="Times New Roman" w:eastAsia="仿宋_GB2312" w:cs="Times New Roman"/>
          <w:sz w:val="32"/>
          <w:u w:val="none"/>
          <w:shd w:val="clear" w:color="auto" w:fill="FFFFFF"/>
        </w:rPr>
        <w:t>天，主要任务为</w:t>
      </w:r>
      <w:r>
        <w:rPr>
          <w:rFonts w:hint="eastAsia" w:ascii="Times New Roman" w:hAnsi="Times New Roman" w:eastAsia="仿宋_GB2312" w:cs="Times New Roman"/>
          <w:sz w:val="32"/>
          <w:u w:val="none"/>
          <w:shd w:val="clear" w:color="auto" w:fill="FFFFFF"/>
          <w:lang w:val="en-US" w:eastAsia="zh-CN"/>
        </w:rPr>
        <w:t>无</w:t>
      </w:r>
      <w:r>
        <w:rPr>
          <w:rFonts w:hint="eastAsia" w:ascii="Times New Roman" w:hAnsi="Times New Roman" w:eastAsia="仿宋_GB2312" w:cs="Times New Roman"/>
          <w:sz w:val="32"/>
          <w:u w:val="none"/>
          <w:shd w:val="clear" w:color="auto" w:fill="FFFFFF"/>
          <w:lang w:eastAsia="zh-CN"/>
        </w:rPr>
        <w:t>。</w:t>
      </w:r>
      <w:r>
        <w:rPr>
          <w:rFonts w:ascii="Times New Roman" w:hAnsi="Times New Roman" w:eastAsia="仿宋_GB2312" w:cs="Times New Roman"/>
          <w:sz w:val="32"/>
          <w:u w:val="none"/>
          <w:shd w:val="clear" w:color="auto" w:fill="FFFFFF"/>
        </w:rPr>
        <w:t>公务用车购置及运行费</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sz w:val="32"/>
          <w:szCs w:val="32"/>
          <w:u w:val="none"/>
        </w:rPr>
        <w:t>万元（其中，</w:t>
      </w:r>
      <w:r>
        <w:rPr>
          <w:rFonts w:ascii="Times New Roman" w:hAnsi="Times New Roman" w:eastAsia="仿宋_GB2312" w:cs="Times New Roman"/>
          <w:sz w:val="32"/>
          <w:u w:val="none"/>
          <w:shd w:val="clear" w:color="auto" w:fill="FFFFFF"/>
        </w:rPr>
        <w:t>公务用车购置</w:t>
      </w:r>
      <w:r>
        <w:rPr>
          <w:rFonts w:hint="eastAsia" w:ascii="Times New Roman" w:hAnsi="Times New Roman" w:eastAsia="仿宋_GB2312" w:cs="Times New Roman"/>
          <w:sz w:val="32"/>
          <w:u w:val="none"/>
          <w:shd w:val="clear" w:color="auto" w:fill="FFFFFF"/>
        </w:rPr>
        <w:t>费</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sz w:val="32"/>
          <w:szCs w:val="32"/>
          <w:u w:val="none"/>
        </w:rPr>
        <w:t>万元</w:t>
      </w:r>
      <w:r>
        <w:rPr>
          <w:rFonts w:hint="eastAsia" w:ascii="Times New Roman" w:hAnsi="Times New Roman" w:eastAsia="仿宋_GB2312" w:cs="Times New Roman"/>
          <w:sz w:val="32"/>
          <w:u w:val="none"/>
          <w:shd w:val="clear" w:color="auto" w:fill="FFFFFF"/>
        </w:rPr>
        <w:t>，公务用车</w:t>
      </w:r>
      <w:r>
        <w:rPr>
          <w:rFonts w:ascii="Times New Roman" w:hAnsi="Times New Roman" w:eastAsia="仿宋_GB2312" w:cs="Times New Roman"/>
          <w:sz w:val="32"/>
          <w:u w:val="none"/>
          <w:shd w:val="clear" w:color="auto" w:fill="FFFFFF"/>
        </w:rPr>
        <w:t>运行费</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rPr>
        <w:t>；公务车保有量</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cs="仿宋_GB2312"/>
          <w:sz w:val="32"/>
          <w:szCs w:val="32"/>
          <w:u w:val="none"/>
        </w:rPr>
        <w:t>辆，计划购置</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w:t>
      </w:r>
      <w:r>
        <w:rPr>
          <w:rFonts w:hint="eastAsia" w:ascii="Times New Roman" w:hAnsi="Times New Roman" w:eastAsia="仿宋_GB2312" w:cs="Times New Roman"/>
          <w:sz w:val="32"/>
          <w:u w:val="none"/>
          <w:shd w:val="clear" w:color="auto" w:fill="FFFFFF"/>
        </w:rPr>
        <w:t>。</w:t>
      </w:r>
      <w:r>
        <w:rPr>
          <w:rFonts w:ascii="仿宋_GB2312" w:hAnsi="黑体" w:eastAsia="仿宋_GB2312" w:cs="Times New Roman"/>
          <w:sz w:val="32"/>
          <w:szCs w:val="32"/>
          <w:u w:val="none"/>
        </w:rPr>
        <w:t>公务接待费</w:t>
      </w:r>
      <w:r>
        <w:rPr>
          <w:rFonts w:hint="eastAsia" w:ascii="仿宋_GB2312" w:hAnsi="黑体" w:eastAsia="仿宋_GB2312" w:cs="Times New Roman"/>
          <w:sz w:val="32"/>
          <w:szCs w:val="32"/>
          <w:u w:val="none"/>
          <w:lang w:val="en-US" w:eastAsia="zh-CN"/>
        </w:rPr>
        <w:t>0</w:t>
      </w:r>
      <w:r>
        <w:rPr>
          <w:rFonts w:ascii="Times New Roman" w:hAnsi="Times New Roman" w:eastAsia="仿宋_GB2312" w:cs="Times New Roman"/>
          <w:sz w:val="32"/>
          <w:u w:val="none"/>
          <w:shd w:val="clear" w:color="auto" w:fill="FFFFFF"/>
        </w:rPr>
        <w:t>万元，与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lang w:eastAsia="zh-CN"/>
        </w:rPr>
        <w:t>，</w:t>
      </w:r>
      <w:r>
        <w:rPr>
          <w:rFonts w:hint="eastAsia" w:ascii="Times New Roman" w:hAnsi="Times New Roman" w:eastAsia="仿宋_GB2312" w:cs="Times New Roman"/>
          <w:sz w:val="32"/>
          <w:u w:val="none"/>
          <w:shd w:val="clear" w:color="auto" w:fill="FFFFFF"/>
        </w:rPr>
        <w:t>计划接待</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cs="仿宋_GB2312"/>
          <w:sz w:val="32"/>
          <w:szCs w:val="32"/>
          <w:u w:val="none"/>
        </w:rPr>
        <w:t>批</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人</w:t>
      </w:r>
      <w:r>
        <w:rPr>
          <w:rFonts w:hint="eastAsia" w:ascii="Times New Roman" w:hAnsi="Times New Roman" w:eastAsia="仿宋_GB2312"/>
          <w:color w:val="auto"/>
          <w:sz w:val="32"/>
          <w:shd w:val="clear" w:color="auto" w:fill="FFFFFF"/>
          <w:lang w:eastAsia="zh-CN"/>
        </w:rPr>
        <w:t>。</w:t>
      </w:r>
    </w:p>
    <w:p>
      <w:pPr>
        <w:spacing w:line="600" w:lineRule="exact"/>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lang w:eastAsia="zh-CN"/>
        </w:rPr>
        <w:t>五、关于海南外国语职业学院单位2024年政府性基金预算当</w:t>
      </w:r>
      <w:r>
        <w:rPr>
          <w:rFonts w:hint="eastAsia" w:ascii="黑体" w:hAnsi="黑体" w:eastAsia="黑体" w:cs="Times New Roman"/>
          <w:color w:val="auto"/>
          <w:sz w:val="32"/>
          <w:shd w:val="clear" w:color="auto" w:fill="FFFFFF"/>
        </w:rPr>
        <w:t>年拨款情况说明</w:t>
      </w:r>
    </w:p>
    <w:p>
      <w:pPr>
        <w:ind w:firstLine="640"/>
        <w:jc w:val="left"/>
        <w:rPr>
          <w:rFonts w:ascii="楷体" w:hAnsi="楷体" w:eastAsia="楷体"/>
          <w:color w:val="000000" w:themeColor="text1"/>
          <w:sz w:val="32"/>
          <w:szCs w:val="32"/>
          <w:u w:val="none"/>
        </w:rPr>
      </w:pPr>
      <w:r>
        <w:rPr>
          <w:rFonts w:hint="eastAsia" w:ascii="楷体" w:hAnsi="楷体" w:eastAsia="楷体"/>
          <w:color w:val="000000" w:themeColor="text1"/>
          <w:sz w:val="32"/>
          <w:szCs w:val="32"/>
          <w:u w:val="none"/>
        </w:rPr>
        <w:t>（一）政府性基金预算当年规模变化情况</w:t>
      </w:r>
    </w:p>
    <w:p>
      <w:pPr>
        <w:ind w:firstLine="640" w:firstLineChars="200"/>
        <w:rPr>
          <w:rFonts w:ascii="仿宋_GB2312" w:hAnsi="黑体" w:eastAsia="仿宋_GB2312"/>
          <w:color w:val="000000" w:themeColor="text1"/>
          <w:sz w:val="32"/>
          <w:szCs w:val="32"/>
          <w:u w:val="none"/>
        </w:rPr>
      </w:pPr>
      <w:r>
        <w:rPr>
          <w:rFonts w:hint="eastAsia" w:ascii="Times New Roman" w:hAnsi="Times New Roman" w:eastAsia="仿宋_GB2312"/>
          <w:color w:val="auto"/>
          <w:sz w:val="32"/>
          <w:shd w:val="clear" w:color="auto" w:fill="FFFFFF"/>
        </w:rPr>
        <w:t>海南外国语职业学院</w:t>
      </w:r>
      <w:r>
        <w:rPr>
          <w:rFonts w:hint="eastAsia" w:ascii="Times New Roman" w:hAnsi="Times New Roman" w:eastAsia="仿宋_GB2312"/>
          <w:color w:val="auto"/>
          <w:sz w:val="32"/>
          <w:shd w:val="clear" w:color="auto" w:fill="FFFFFF"/>
          <w:lang w:eastAsia="zh-CN"/>
        </w:rPr>
        <w:t>单位</w:t>
      </w:r>
      <w:r>
        <w:rPr>
          <w:rFonts w:hint="eastAsia" w:ascii="仿宋_GB2312" w:hAnsi="黑体" w:eastAsia="仿宋_GB2312"/>
          <w:color w:val="000000" w:themeColor="text1"/>
          <w:sz w:val="32"/>
          <w:szCs w:val="32"/>
          <w:u w:val="none"/>
          <w:lang w:val="en-US" w:eastAsia="zh-CN"/>
        </w:rPr>
        <w:t>2024</w:t>
      </w:r>
      <w:r>
        <w:rPr>
          <w:rFonts w:hint="eastAsia" w:ascii="仿宋_GB2312" w:hAnsi="黑体" w:eastAsia="仿宋_GB2312"/>
          <w:color w:val="000000" w:themeColor="text1"/>
          <w:sz w:val="32"/>
          <w:szCs w:val="32"/>
          <w:u w:val="none"/>
        </w:rPr>
        <w:t>年政府性基金预算当年拨款</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olor w:val="000000" w:themeColor="text1"/>
          <w:sz w:val="32"/>
          <w:szCs w:val="32"/>
          <w:u w:val="none"/>
        </w:rPr>
        <w:t>万元，</w:t>
      </w:r>
      <w:r>
        <w:rPr>
          <w:rFonts w:hint="eastAsia" w:ascii="仿宋_GB2312" w:hAnsi="黑体" w:eastAsia="仿宋_GB2312"/>
          <w:color w:val="000000" w:themeColor="text1"/>
          <w:sz w:val="32"/>
          <w:szCs w:val="32"/>
          <w:u w:val="none"/>
          <w:lang w:eastAsia="zh-CN"/>
        </w:rPr>
        <w:t>与上年持平。</w:t>
      </w:r>
    </w:p>
    <w:p>
      <w:pPr>
        <w:ind w:firstLine="640"/>
        <w:jc w:val="left"/>
        <w:rPr>
          <w:rFonts w:ascii="楷体" w:hAnsi="楷体" w:eastAsia="楷体"/>
          <w:color w:val="000000" w:themeColor="text1"/>
          <w:sz w:val="32"/>
          <w:szCs w:val="32"/>
          <w:u w:val="none"/>
        </w:rPr>
      </w:pPr>
      <w:r>
        <w:rPr>
          <w:rFonts w:hint="eastAsia" w:ascii="楷体" w:hAnsi="楷体" w:eastAsia="楷体"/>
          <w:color w:val="000000" w:themeColor="text1"/>
          <w:sz w:val="32"/>
          <w:szCs w:val="32"/>
          <w:u w:val="none"/>
        </w:rPr>
        <w:t>（二）政府性基金预算当年拨款结构情况</w:t>
      </w:r>
    </w:p>
    <w:p>
      <w:pPr>
        <w:keepNext w:val="0"/>
        <w:keepLines w:val="0"/>
        <w:pageBreakBefore w:val="0"/>
        <w:kinsoku/>
        <w:wordWrap/>
        <w:overflowPunct/>
        <w:topLinePunct w:val="0"/>
        <w:autoSpaceDE/>
        <w:autoSpaceDN/>
        <w:bidi w:val="0"/>
        <w:adjustRightInd/>
        <w:snapToGrid/>
        <w:spacing w:line="560" w:lineRule="exact"/>
        <w:ind w:firstLine="640" w:firstLineChars="200"/>
        <w:rPr>
          <w:rFonts w:hint="eastAsia" w:ascii="仿宋_GB2312" w:hAnsi="黑体" w:eastAsia="仿宋_GB2312" w:cs="仿宋_GB2312"/>
          <w:color w:val="000000" w:themeColor="text1"/>
          <w:sz w:val="32"/>
          <w:szCs w:val="32"/>
        </w:rPr>
      </w:pPr>
      <w:r>
        <w:rPr>
          <w:rFonts w:hint="eastAsia" w:ascii="Times New Roman" w:hAnsi="Times New Roman" w:eastAsia="仿宋_GB2312"/>
          <w:color w:val="auto"/>
          <w:sz w:val="32"/>
          <w:shd w:val="clear" w:color="auto" w:fill="FFFFFF"/>
        </w:rPr>
        <w:t>海南外国语职业学院</w:t>
      </w:r>
      <w:r>
        <w:rPr>
          <w:rFonts w:hint="eastAsia" w:ascii="Times New Roman" w:hAnsi="Times New Roman" w:eastAsia="仿宋_GB2312"/>
          <w:color w:val="auto"/>
          <w:sz w:val="32"/>
          <w:shd w:val="clear" w:color="auto" w:fill="FFFFFF"/>
          <w:lang w:eastAsia="zh-CN"/>
        </w:rPr>
        <w:t>单位</w:t>
      </w:r>
      <w:r>
        <w:rPr>
          <w:rFonts w:hint="eastAsia" w:ascii="仿宋_GB2312" w:hAnsi="黑体" w:eastAsia="仿宋_GB2312" w:cs="仿宋_GB2312"/>
          <w:color w:val="000000" w:themeColor="text1"/>
          <w:sz w:val="32"/>
          <w:szCs w:val="32"/>
        </w:rPr>
        <w:t>202</w:t>
      </w:r>
      <w:r>
        <w:rPr>
          <w:rFonts w:hint="eastAsia" w:ascii="仿宋_GB2312" w:hAnsi="黑体" w:eastAsia="仿宋_GB2312" w:cs="仿宋_GB2312"/>
          <w:color w:val="000000" w:themeColor="text1"/>
          <w:sz w:val="32"/>
          <w:szCs w:val="32"/>
          <w:lang w:val="en-US" w:eastAsia="zh-CN"/>
        </w:rPr>
        <w:t>4</w:t>
      </w:r>
      <w:r>
        <w:rPr>
          <w:rFonts w:hint="eastAsia" w:ascii="仿宋_GB2312" w:hAnsi="黑体" w:eastAsia="仿宋_GB2312" w:cs="仿宋_GB2312"/>
          <w:color w:val="000000" w:themeColor="text1"/>
          <w:sz w:val="32"/>
          <w:szCs w:val="32"/>
        </w:rPr>
        <w:t>年无政府性基金预算拨款。</w:t>
      </w:r>
    </w:p>
    <w:p>
      <w:pPr>
        <w:ind w:firstLine="640"/>
        <w:jc w:val="left"/>
        <w:rPr>
          <w:rFonts w:ascii="楷体" w:hAnsi="楷体" w:eastAsia="楷体"/>
          <w:color w:val="000000" w:themeColor="text1"/>
          <w:sz w:val="32"/>
          <w:szCs w:val="32"/>
          <w:u w:val="none"/>
        </w:rPr>
      </w:pPr>
      <w:r>
        <w:rPr>
          <w:rFonts w:hint="eastAsia" w:ascii="楷体" w:hAnsi="楷体" w:eastAsia="楷体"/>
          <w:color w:val="000000" w:themeColor="text1"/>
          <w:sz w:val="32"/>
          <w:szCs w:val="32"/>
          <w:u w:val="none"/>
        </w:rPr>
        <w:t>（三）政府性基金预算当年拨款具体使用情况</w:t>
      </w:r>
    </w:p>
    <w:p>
      <w:pPr>
        <w:keepNext w:val="0"/>
        <w:keepLines w:val="0"/>
        <w:pageBreakBefore w:val="0"/>
        <w:kinsoku/>
        <w:wordWrap/>
        <w:overflowPunct/>
        <w:topLinePunct w:val="0"/>
        <w:autoSpaceDE/>
        <w:autoSpaceDN/>
        <w:bidi w:val="0"/>
        <w:adjustRightInd/>
        <w:snapToGrid/>
        <w:spacing w:line="560" w:lineRule="exact"/>
        <w:ind w:firstLine="640" w:firstLineChars="200"/>
        <w:rPr>
          <w:rFonts w:ascii="仿宋_GB2312" w:hAnsi="黑体" w:eastAsia="仿宋_GB2312"/>
          <w:color w:val="auto"/>
          <w:sz w:val="32"/>
          <w:szCs w:val="32"/>
        </w:rPr>
      </w:pPr>
      <w:r>
        <w:rPr>
          <w:rFonts w:hint="eastAsia" w:ascii="Times New Roman" w:hAnsi="Times New Roman" w:eastAsia="仿宋_GB2312"/>
          <w:color w:val="auto"/>
          <w:sz w:val="32"/>
          <w:shd w:val="clear" w:color="auto" w:fill="FFFFFF"/>
        </w:rPr>
        <w:t>海南外国语职业学院</w:t>
      </w:r>
      <w:r>
        <w:rPr>
          <w:rFonts w:hint="eastAsia" w:ascii="Times New Roman" w:hAnsi="Times New Roman" w:eastAsia="仿宋_GB2312"/>
          <w:color w:val="auto"/>
          <w:sz w:val="32"/>
          <w:shd w:val="clear" w:color="auto" w:fill="FFFFFF"/>
          <w:lang w:eastAsia="zh-CN"/>
        </w:rPr>
        <w:t>单位</w:t>
      </w:r>
      <w:r>
        <w:rPr>
          <w:rFonts w:hint="eastAsia" w:ascii="仿宋_GB2312" w:hAnsi="黑体" w:eastAsia="仿宋_GB2312" w:cs="仿宋_GB2312"/>
          <w:color w:val="000000" w:themeColor="text1"/>
          <w:sz w:val="32"/>
          <w:szCs w:val="32"/>
        </w:rPr>
        <w:t>202</w:t>
      </w:r>
      <w:r>
        <w:rPr>
          <w:rFonts w:hint="eastAsia" w:ascii="仿宋_GB2312" w:hAnsi="黑体" w:eastAsia="仿宋_GB2312" w:cs="仿宋_GB2312"/>
          <w:color w:val="000000" w:themeColor="text1"/>
          <w:sz w:val="32"/>
          <w:szCs w:val="32"/>
          <w:lang w:val="en-US" w:eastAsia="zh-CN"/>
        </w:rPr>
        <w:t>4</w:t>
      </w:r>
      <w:r>
        <w:rPr>
          <w:rFonts w:hint="eastAsia" w:ascii="仿宋_GB2312" w:hAnsi="黑体" w:eastAsia="仿宋_GB2312" w:cs="仿宋_GB2312"/>
          <w:color w:val="000000" w:themeColor="text1"/>
          <w:sz w:val="32"/>
          <w:szCs w:val="32"/>
        </w:rPr>
        <w:t>年无政府性基金预算拨款。</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六、关于海南外国语职业学院</w:t>
      </w:r>
      <w:r>
        <w:rPr>
          <w:rFonts w:hint="eastAsia" w:ascii="黑体" w:hAnsi="黑体" w:eastAsia="黑体" w:cs="Times New Roman"/>
          <w:color w:val="auto"/>
          <w:sz w:val="32"/>
          <w:shd w:val="clear" w:color="auto" w:fill="FFFFFF"/>
          <w:lang w:eastAsia="zh-CN"/>
        </w:rPr>
        <w:t>单位</w:t>
      </w:r>
      <w:r>
        <w:rPr>
          <w:rFonts w:hint="eastAsia" w:ascii="黑体" w:hAnsi="黑体" w:eastAsia="黑体" w:cs="Times New Roman"/>
          <w:color w:val="auto"/>
          <w:sz w:val="32"/>
          <w:shd w:val="clear" w:color="auto" w:fill="FFFFFF"/>
        </w:rPr>
        <w:t>2024年收支预算情况的总体说明</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rPr>
        <w:t>按照综合预算原则，海南外国语职业学院</w:t>
      </w:r>
      <w:r>
        <w:rPr>
          <w:rFonts w:hint="eastAsia" w:ascii="仿宋_GB2312" w:hAnsi="黑体" w:eastAsia="仿宋_GB2312"/>
          <w:color w:val="auto"/>
          <w:sz w:val="32"/>
          <w:szCs w:val="32"/>
          <w:lang w:eastAsia="zh-CN"/>
        </w:rPr>
        <w:t>单位</w:t>
      </w:r>
      <w:r>
        <w:rPr>
          <w:rFonts w:hint="eastAsia" w:ascii="仿宋_GB2312" w:hAnsi="黑体" w:eastAsia="仿宋_GB2312"/>
          <w:color w:val="auto"/>
          <w:sz w:val="32"/>
          <w:szCs w:val="32"/>
        </w:rPr>
        <w:t>2024年所有收入和支出均纳入部门预算管理。收入包括：一般公共预算拨款收入、财政专户管理资金收入、其他收入；支出包括：教育支出、科学技术支出、社会保障和就业支出、卫生健康支出、住房保障支出。海南外国语职业学院2024年收支总预算18,805.57万元。</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七、关于海南外国语职业学院单位2024年收入预算情况说明</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lang w:eastAsia="zh-CN"/>
        </w:rPr>
        <w:t>海南外国语职业学院单位2024年收入预算18,805.57万元，其中：上年结转1,378.71万元，占7.33%；一般公共预算拨款收入13,350.95万元，占70.99%；财政专户管理资金收入3,976.41万元，占21.15%；其他收入99.50万元，占0.53%。比上年预算数增加1,294.37万元，主要是上年结转以及财政拨款等增加。</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八、关于海南外国语职业学院</w:t>
      </w:r>
      <w:r>
        <w:rPr>
          <w:rFonts w:hint="eastAsia" w:ascii="黑体" w:hAnsi="黑体" w:eastAsia="黑体" w:cs="Times New Roman"/>
          <w:color w:val="auto"/>
          <w:sz w:val="32"/>
          <w:shd w:val="clear" w:color="auto" w:fill="FFFFFF"/>
          <w:lang w:eastAsia="zh-CN"/>
        </w:rPr>
        <w:t>单位</w:t>
      </w:r>
      <w:r>
        <w:rPr>
          <w:rFonts w:hint="eastAsia" w:ascii="黑体" w:hAnsi="黑体" w:eastAsia="黑体" w:cs="Times New Roman"/>
          <w:color w:val="auto"/>
          <w:sz w:val="32"/>
          <w:shd w:val="clear" w:color="auto" w:fill="FFFFFF"/>
        </w:rPr>
        <w:t>2024年支出预算情况说明</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rPr>
        <w:t>海南外国语职业学院</w:t>
      </w:r>
      <w:r>
        <w:rPr>
          <w:rFonts w:hint="eastAsia" w:ascii="仿宋_GB2312" w:hAnsi="黑体" w:eastAsia="仿宋_GB2312"/>
          <w:color w:val="auto"/>
          <w:sz w:val="32"/>
          <w:szCs w:val="32"/>
          <w:lang w:eastAsia="zh-CN"/>
        </w:rPr>
        <w:t>单位</w:t>
      </w:r>
      <w:r>
        <w:rPr>
          <w:rFonts w:hint="eastAsia" w:ascii="仿宋_GB2312" w:hAnsi="黑体" w:eastAsia="仿宋_GB2312"/>
          <w:color w:val="auto"/>
          <w:sz w:val="32"/>
          <w:szCs w:val="32"/>
        </w:rPr>
        <w:t>2024年支出预算18,805.57万元，其中：基本支出10,231.95万元，占54.41%；项目支出8,573.62万元，占45.59%。比上年预算数增加1,294.37万元，主要是基本支出预算减少337.54万元，项目支出预算增加1,631.91万元（上年结转及财政拨款等增加）。</w:t>
      </w:r>
    </w:p>
    <w:p>
      <w:pPr>
        <w:ind w:firstLine="640" w:firstLineChars="200"/>
        <w:rPr>
          <w:rFonts w:ascii="仿宋_GB2312" w:hAnsi="黑体" w:eastAsia="仿宋_GB2312"/>
          <w:color w:val="auto"/>
          <w:sz w:val="32"/>
          <w:szCs w:val="32"/>
        </w:rPr>
      </w:pPr>
      <w:r>
        <w:rPr>
          <w:rFonts w:hint="eastAsia" w:ascii="黑体" w:hAnsi="黑体" w:eastAsia="黑体" w:cs="Times New Roman"/>
          <w:color w:val="auto"/>
          <w:sz w:val="32"/>
          <w:shd w:val="clear" w:color="auto" w:fill="FFFFFF"/>
        </w:rPr>
        <w:t>九、其他重要事项的情况说明</w:t>
      </w:r>
    </w:p>
    <w:p>
      <w:pPr>
        <w:ind w:firstLine="640" w:firstLineChars="200"/>
        <w:rPr>
          <w:rFonts w:ascii="楷体" w:hAnsi="楷体" w:eastAsia="楷体"/>
          <w:color w:val="000000" w:themeColor="text1"/>
          <w:sz w:val="32"/>
          <w:szCs w:val="32"/>
          <w:u w:val="none"/>
        </w:rPr>
      </w:pPr>
      <w:r>
        <w:rPr>
          <w:rFonts w:hint="eastAsia" w:ascii="楷体" w:hAnsi="楷体" w:eastAsia="楷体"/>
          <w:color w:val="000000" w:themeColor="text1"/>
          <w:sz w:val="32"/>
          <w:szCs w:val="32"/>
          <w:u w:val="none"/>
        </w:rPr>
        <w:t>（一）机关运行经费</w:t>
      </w:r>
      <w:r>
        <w:rPr>
          <w:rFonts w:hint="eastAsia" w:ascii="楷体" w:hAnsi="楷体" w:eastAsia="楷体"/>
          <w:color w:val="000000" w:themeColor="text1"/>
          <w:sz w:val="32"/>
          <w:szCs w:val="32"/>
          <w:u w:val="none"/>
          <w:lang w:val="en-US" w:eastAsia="zh-CN"/>
        </w:rPr>
        <w:t>（</w:t>
      </w:r>
      <w:r>
        <w:rPr>
          <w:rFonts w:hint="eastAsia" w:ascii="楷体" w:hAnsi="楷体" w:eastAsia="楷体"/>
          <w:color w:val="000000" w:themeColor="text1"/>
          <w:sz w:val="32"/>
          <w:szCs w:val="32"/>
          <w:u w:val="none"/>
        </w:rPr>
        <w:t>行政单位</w:t>
      </w:r>
      <w:r>
        <w:rPr>
          <w:rFonts w:hint="eastAsia" w:ascii="楷体" w:hAnsi="楷体" w:eastAsia="楷体"/>
          <w:color w:val="000000" w:themeColor="text1"/>
          <w:sz w:val="32"/>
          <w:szCs w:val="32"/>
          <w:u w:val="none"/>
          <w:lang w:eastAsia="zh-CN"/>
        </w:rPr>
        <w:t>、</w:t>
      </w:r>
      <w:r>
        <w:rPr>
          <w:rFonts w:hint="eastAsia" w:ascii="楷体" w:hAnsi="楷体" w:eastAsia="楷体"/>
          <w:color w:val="000000" w:themeColor="text1"/>
          <w:sz w:val="32"/>
          <w:szCs w:val="32"/>
          <w:u w:val="none"/>
        </w:rPr>
        <w:t>参照公务员法管理的事业单位</w:t>
      </w:r>
      <w:r>
        <w:rPr>
          <w:rFonts w:hint="eastAsia" w:ascii="楷体" w:hAnsi="楷体" w:eastAsia="楷体"/>
          <w:color w:val="000000" w:themeColor="text1"/>
          <w:sz w:val="32"/>
          <w:szCs w:val="32"/>
          <w:u w:val="none"/>
          <w:lang w:eastAsia="zh-CN"/>
        </w:rPr>
        <w:t>需说明，其他单位不需要说明</w:t>
      </w:r>
      <w:r>
        <w:rPr>
          <w:rFonts w:hint="eastAsia" w:ascii="楷体" w:hAnsi="楷体" w:eastAsia="楷体"/>
          <w:color w:val="000000" w:themeColor="text1"/>
          <w:sz w:val="32"/>
          <w:szCs w:val="32"/>
          <w:u w:val="none"/>
          <w:lang w:val="en-US" w:eastAsia="zh-CN"/>
        </w:rPr>
        <w:t>）</w:t>
      </w:r>
    </w:p>
    <w:p>
      <w:pPr>
        <w:ind w:firstLine="640" w:firstLineChars="200"/>
        <w:rPr>
          <w:rFonts w:hint="eastAsia" w:ascii="楷体" w:hAnsi="楷体" w:eastAsia="楷体"/>
          <w:color w:val="auto"/>
          <w:sz w:val="32"/>
          <w:szCs w:val="32"/>
        </w:rPr>
      </w:pPr>
      <w:r>
        <w:rPr>
          <w:rFonts w:hint="eastAsia" w:ascii="仿宋_GB2312" w:hAnsi="黑体" w:eastAsia="仿宋_GB2312" w:cs="仿宋_GB2312"/>
          <w:color w:val="000000" w:themeColor="text1"/>
          <w:sz w:val="32"/>
          <w:szCs w:val="32"/>
          <w:lang w:val="en-US" w:eastAsia="zh-CN"/>
        </w:rPr>
        <w:t>无此项经费。</w:t>
      </w:r>
    </w:p>
    <w:p>
      <w:pPr>
        <w:ind w:firstLine="640" w:firstLineChars="200"/>
        <w:rPr>
          <w:rFonts w:ascii="楷体" w:hAnsi="楷体" w:eastAsia="楷体"/>
          <w:color w:val="auto"/>
          <w:sz w:val="32"/>
          <w:szCs w:val="32"/>
        </w:rPr>
      </w:pPr>
      <w:r>
        <w:rPr>
          <w:rFonts w:hint="eastAsia" w:ascii="楷体" w:hAnsi="楷体" w:eastAsia="楷体"/>
          <w:color w:val="auto"/>
          <w:sz w:val="32"/>
          <w:szCs w:val="32"/>
        </w:rPr>
        <w:t>（</w:t>
      </w:r>
      <w:r>
        <w:rPr>
          <w:rFonts w:hint="eastAsia" w:ascii="楷体" w:hAnsi="楷体" w:eastAsia="楷体"/>
          <w:color w:val="auto"/>
          <w:sz w:val="32"/>
          <w:szCs w:val="32"/>
          <w:lang w:eastAsia="zh-CN"/>
        </w:rPr>
        <w:t>二</w:t>
      </w:r>
      <w:r>
        <w:rPr>
          <w:rFonts w:hint="eastAsia" w:ascii="楷体" w:hAnsi="楷体" w:eastAsia="楷体"/>
          <w:color w:val="auto"/>
          <w:sz w:val="32"/>
          <w:szCs w:val="32"/>
        </w:rPr>
        <w:t>）政府采购情况</w:t>
      </w:r>
    </w:p>
    <w:p>
      <w:pPr>
        <w:pStyle w:val="2"/>
        <w:ind w:firstLine="640" w:firstLineChars="200"/>
        <w:rPr>
          <w:color w:val="auto"/>
        </w:rPr>
      </w:pPr>
      <w:r>
        <w:rPr>
          <w:rFonts w:hint="eastAsia" w:ascii="仿宋_GB2312" w:hAnsi="黑体" w:eastAsia="仿宋_GB2312"/>
          <w:color w:val="auto"/>
          <w:sz w:val="32"/>
          <w:szCs w:val="32"/>
        </w:rPr>
        <w:t>2024年海南外国语职业学院</w:t>
      </w:r>
      <w:r>
        <w:rPr>
          <w:rFonts w:hint="eastAsia" w:ascii="仿宋_GB2312" w:hAnsi="黑体" w:eastAsia="仿宋_GB2312"/>
          <w:color w:val="auto"/>
          <w:sz w:val="32"/>
          <w:szCs w:val="32"/>
          <w:lang w:eastAsia="zh-CN"/>
        </w:rPr>
        <w:t>单位</w:t>
      </w:r>
      <w:r>
        <w:rPr>
          <w:rFonts w:hint="eastAsia" w:ascii="仿宋_GB2312" w:hAnsi="黑体" w:eastAsia="仿宋_GB2312"/>
          <w:color w:val="auto"/>
          <w:sz w:val="32"/>
          <w:szCs w:val="32"/>
        </w:rPr>
        <w:t>政府采购预算总额1049万元，其中：政府采购货物预算700万元,政府采购工程预算349万元。</w:t>
      </w:r>
    </w:p>
    <w:p>
      <w:pPr>
        <w:ind w:firstLine="640" w:firstLineChars="200"/>
        <w:rPr>
          <w:rFonts w:hint="eastAsia" w:ascii="楷体" w:hAnsi="楷体" w:eastAsia="楷体"/>
          <w:color w:val="auto"/>
          <w:sz w:val="32"/>
          <w:szCs w:val="32"/>
          <w:lang w:val="en-US" w:eastAsia="zh-CN"/>
        </w:rPr>
      </w:pPr>
      <w:r>
        <w:rPr>
          <w:rFonts w:hint="eastAsia" w:ascii="楷体" w:hAnsi="楷体" w:eastAsia="楷体"/>
          <w:color w:val="auto"/>
          <w:sz w:val="32"/>
          <w:szCs w:val="32"/>
          <w:lang w:val="en-US" w:eastAsia="zh-CN"/>
        </w:rPr>
        <w:t>（三）国有资产占有使用情况,</w:t>
      </w:r>
    </w:p>
    <w:p>
      <w:pPr>
        <w:ind w:firstLine="640" w:firstLineChars="200"/>
        <w:rPr>
          <w:rFonts w:ascii="仿宋_GB2312" w:hAnsi="黑体" w:eastAsia="仿宋_GB2312" w:cs="仿宋_GB2312"/>
          <w:color w:val="auto"/>
          <w:sz w:val="32"/>
          <w:szCs w:val="32"/>
        </w:rPr>
      </w:pPr>
      <w:r>
        <w:rPr>
          <w:rFonts w:hint="eastAsia" w:ascii="仿宋_GB2312" w:hAnsi="黑体" w:eastAsia="仿宋_GB2312" w:cs="仿宋_GB2312"/>
          <w:color w:val="auto"/>
          <w:sz w:val="32"/>
          <w:szCs w:val="32"/>
        </w:rPr>
        <w:t>截至2023年12月31日，海南外国语职业学院</w:t>
      </w:r>
      <w:r>
        <w:rPr>
          <w:rFonts w:hint="eastAsia" w:ascii="仿宋_GB2312" w:hAnsi="黑体" w:eastAsia="仿宋_GB2312" w:cs="仿宋_GB2312"/>
          <w:color w:val="auto"/>
          <w:sz w:val="32"/>
          <w:szCs w:val="32"/>
          <w:lang w:eastAsia="zh-CN"/>
        </w:rPr>
        <w:t>单位</w:t>
      </w:r>
      <w:r>
        <w:rPr>
          <w:rFonts w:hint="eastAsia" w:ascii="仿宋_GB2312" w:hAnsi="黑体" w:eastAsia="仿宋_GB2312" w:cs="仿宋_GB2312"/>
          <w:color w:val="auto"/>
          <w:sz w:val="32"/>
          <w:szCs w:val="32"/>
        </w:rPr>
        <w:t>共有车辆3辆，其中，领导干部用车0辆，机要通信应急用车0辆，一般执法执勤用车0辆，特种专业技术用车0辆，其他用车3辆。单位价值100万元以上设备0台（套）。</w:t>
      </w:r>
    </w:p>
    <w:p>
      <w:pPr>
        <w:ind w:firstLine="640" w:firstLineChars="200"/>
        <w:rPr>
          <w:rFonts w:ascii="楷体" w:hAnsi="楷体" w:eastAsia="楷体"/>
          <w:color w:val="auto"/>
          <w:sz w:val="32"/>
          <w:szCs w:val="32"/>
        </w:rPr>
      </w:pPr>
      <w:r>
        <w:rPr>
          <w:rFonts w:hint="eastAsia" w:ascii="楷体" w:hAnsi="楷体" w:eastAsia="楷体"/>
          <w:color w:val="auto"/>
          <w:sz w:val="32"/>
          <w:szCs w:val="32"/>
        </w:rPr>
        <w:t>（</w:t>
      </w:r>
      <w:r>
        <w:rPr>
          <w:rFonts w:hint="eastAsia" w:ascii="楷体" w:hAnsi="楷体" w:eastAsia="楷体"/>
          <w:color w:val="auto"/>
          <w:sz w:val="32"/>
          <w:szCs w:val="32"/>
          <w:lang w:eastAsia="zh-CN"/>
        </w:rPr>
        <w:t>四</w:t>
      </w:r>
      <w:r>
        <w:rPr>
          <w:rFonts w:hint="eastAsia" w:ascii="楷体" w:hAnsi="楷体" w:eastAsia="楷体"/>
          <w:color w:val="auto"/>
          <w:sz w:val="32"/>
          <w:szCs w:val="32"/>
        </w:rPr>
        <w:t>）绩效目标设置情况</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lang w:eastAsia="zh-CN"/>
        </w:rPr>
        <w:t>2024年海南外国语职业学院单位3</w:t>
      </w:r>
      <w:r>
        <w:rPr>
          <w:rFonts w:hint="eastAsia" w:ascii="仿宋_GB2312" w:hAnsi="黑体" w:eastAsia="仿宋_GB2312"/>
          <w:color w:val="auto"/>
          <w:sz w:val="32"/>
          <w:szCs w:val="32"/>
          <w:lang w:val="en-US" w:eastAsia="zh-CN"/>
        </w:rPr>
        <w:t>4</w:t>
      </w:r>
      <w:r>
        <w:rPr>
          <w:rFonts w:hint="eastAsia" w:ascii="仿宋_GB2312" w:hAnsi="黑体" w:eastAsia="仿宋_GB2312"/>
          <w:color w:val="auto"/>
          <w:sz w:val="32"/>
          <w:szCs w:val="32"/>
          <w:lang w:eastAsia="zh-CN"/>
        </w:rPr>
        <w:t>个项目实行绩效目标管理，涉及资金额17,426.86万元，其中：一般公共预算收入13,350.95万元，财政专户管理资金收入3,976.41万元，其他收入99.50万元。</w:t>
      </w:r>
    </w:p>
    <w:p>
      <w:pPr>
        <w:pStyle w:val="2"/>
        <w:rPr>
          <w:rFonts w:hint="default"/>
          <w:color w:val="auto"/>
          <w:lang w:val="en-US" w:eastAsia="zh-CN"/>
        </w:rPr>
      </w:pPr>
      <w:r>
        <w:rPr>
          <w:rFonts w:hint="eastAsia" w:ascii="仿宋_GB2312" w:hAnsi="黑体" w:eastAsia="仿宋_GB2312"/>
          <w:color w:val="auto"/>
          <w:sz w:val="32"/>
          <w:szCs w:val="32"/>
          <w:lang w:val="en-US" w:eastAsia="zh-CN"/>
        </w:rPr>
        <w:t xml:space="preserve">     其中，重点项目预算绩效情况如下：</w:t>
      </w:r>
    </w:p>
    <w:p>
      <w:pPr>
        <w:pStyle w:val="2"/>
        <w:numPr>
          <w:ilvl w:val="0"/>
          <w:numId w:val="0"/>
        </w:num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olor w:val="auto"/>
          <w:sz w:val="32"/>
          <w:szCs w:val="32"/>
          <w:lang w:val="en-US" w:eastAsia="zh-CN"/>
        </w:rPr>
        <w:t>1.南苑学生公寓楼项目,预算安排1000万元,主要用于工程款的支付。绩效目标是保障学院的正常办学以及对学生的日常管理工作，解决学生住宿紧张困难问题，改善学院的办学条件，提高学校的教学水平和竞争力。</w:t>
      </w:r>
    </w:p>
    <w:p>
      <w:pPr>
        <w:pStyle w:val="2"/>
        <w:numPr>
          <w:ilvl w:val="0"/>
          <w:numId w:val="0"/>
        </w:num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lang w:eastAsia="zh-CN"/>
        </w:rPr>
        <w:t>2.教育教学日常管理项目，预算安排1,515万元，主要用于日常教育教学、语言文字工作、校企合作及实习就业指导、双高建设及各类教学教育管理支出等，绩效目标是加强及提高学校教育生产力，促进我校教育教学工作的改进。</w:t>
      </w:r>
    </w:p>
    <w:p>
      <w:pPr>
        <w:pStyle w:val="2"/>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lang w:eastAsia="zh-CN"/>
        </w:rPr>
        <w:t>3.设备设施购置及维护维修项目，预算安排1,013.97万元，主要用于设备购置及运行维护、设施维护及改造、图书购置及其他维护维修等，绩效目标是满足学院对教学、办公等方面的需求，购置合格的设备设施及维护设备设施正常运行，保障教学任务的正常开展，提升师生对学校的满意度。</w:t>
      </w:r>
    </w:p>
    <w:p>
      <w:pPr>
        <w:jc w:val="both"/>
        <w:rPr>
          <w:rFonts w:hint="eastAsia" w:ascii="黑体" w:hAnsi="黑体" w:eastAsia="黑体"/>
          <w:b/>
          <w:color w:val="auto"/>
          <w:sz w:val="32"/>
          <w:szCs w:val="32"/>
        </w:rPr>
      </w:pPr>
    </w:p>
    <w:p>
      <w:pPr>
        <w:jc w:val="center"/>
        <w:rPr>
          <w:rFonts w:ascii="黑体" w:hAnsi="黑体" w:eastAsia="黑体"/>
          <w:b/>
          <w:color w:val="auto"/>
          <w:sz w:val="32"/>
          <w:szCs w:val="32"/>
        </w:rPr>
      </w:pPr>
      <w:r>
        <w:rPr>
          <w:rFonts w:hint="eastAsia" w:ascii="黑体" w:hAnsi="黑体" w:eastAsia="黑体"/>
          <w:b/>
          <w:color w:val="auto"/>
          <w:sz w:val="32"/>
          <w:szCs w:val="32"/>
        </w:rPr>
        <w:t>第四部分  名词解释</w:t>
      </w:r>
    </w:p>
    <w:p>
      <w:pPr>
        <w:ind w:firstLine="640" w:firstLineChars="200"/>
        <w:jc w:val="left"/>
        <w:rPr>
          <w:rFonts w:ascii="仿宋_GB2312" w:eastAsia="仿宋_GB2312" w:cs="宋体"/>
          <w:bCs/>
          <w:color w:val="auto"/>
          <w:kern w:val="0"/>
          <w:sz w:val="32"/>
          <w:szCs w:val="32"/>
          <w:lang w:val="zh-CN"/>
        </w:rPr>
      </w:pP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一、财政拨款收入：指本级财政当年拨付的资金。</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六、其他收入：指除上述“财政拨款收入”“事业收入”“经营收入”等以外的收入。</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七、上年结转：指以前年度尚未完成、结转到本年按有关规定继续使用的资金。</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hint="eastAsia" w:ascii="仿宋_GB2312" w:hAnsi="宋体" w:eastAsia="仿宋_GB2312" w:cs="宋体"/>
          <w:color w:val="auto"/>
          <w:sz w:val="32"/>
        </w:rPr>
      </w:pPr>
      <w:r>
        <w:rPr>
          <w:rFonts w:hint="eastAsia" w:ascii="仿宋_GB2312" w:hAnsi="宋体" w:eastAsia="仿宋_GB2312" w:cs="宋体"/>
          <w:color w:val="auto"/>
          <w:sz w:val="32"/>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ascii="仿宋_GB2312" w:hAnsi="宋体" w:eastAsia="仿宋_GB2312" w:cs="宋体"/>
          <w:color w:val="auto"/>
          <w:kern w:val="0"/>
          <w:sz w:val="32"/>
          <w:szCs w:val="30"/>
        </w:rPr>
      </w:pPr>
    </w:p>
    <w:sectPr>
      <w:pgSz w:w="11906" w:h="16838"/>
      <w:pgMar w:top="1440" w:right="1701" w:bottom="1440" w:left="1757" w:header="851" w:footer="992" w:gutter="0"/>
      <w:cols w:space="0" w:num="1"/>
      <w:rtlGutter w:val="0"/>
      <w:docGrid w:type="lines" w:linePitch="312" w:charSpace="0"/>
    </w:sectPr>
  </w:body>
</w:document>
</file>