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center"/>
        <w:rPr>
          <w:rFonts w:ascii="黑体" w:eastAsia="黑体" w:hAnsi="黑体"/>
          <w:sz w:val="32"/>
          <w:szCs w:val="32"/>
        </w:rPr>
      </w:pPr>
    </w:p>
    <w:p w:rsidR="00376C6A" w:rsidRDefault="00376C6A">
      <w:pPr>
        <w:widowControl/>
        <w:jc w:val="center"/>
        <w:rPr>
          <w:rFonts w:ascii="黑体" w:eastAsia="黑体" w:hAnsi="黑体"/>
          <w:sz w:val="32"/>
          <w:szCs w:val="32"/>
        </w:rPr>
      </w:pPr>
    </w:p>
    <w:p w:rsidR="00376C6A" w:rsidRDefault="00376C6A">
      <w:pPr>
        <w:widowControl/>
        <w:jc w:val="center"/>
        <w:rPr>
          <w:rFonts w:ascii="黑体" w:eastAsia="黑体" w:hAnsi="黑体"/>
          <w:sz w:val="32"/>
          <w:szCs w:val="32"/>
        </w:rPr>
      </w:pPr>
    </w:p>
    <w:p w:rsidR="00376C6A" w:rsidRDefault="00376C6A">
      <w:pPr>
        <w:widowControl/>
        <w:jc w:val="center"/>
        <w:rPr>
          <w:rFonts w:ascii="黑体" w:eastAsia="黑体" w:hAnsi="黑体"/>
          <w:sz w:val="32"/>
          <w:szCs w:val="32"/>
        </w:rPr>
      </w:pPr>
    </w:p>
    <w:p w:rsidR="00376C6A" w:rsidRDefault="00376C6A">
      <w:pPr>
        <w:widowControl/>
        <w:jc w:val="center"/>
        <w:rPr>
          <w:rFonts w:ascii="黑体" w:eastAsia="黑体" w:hAnsi="黑体"/>
          <w:sz w:val="32"/>
          <w:szCs w:val="32"/>
        </w:rPr>
      </w:pPr>
    </w:p>
    <w:p w:rsidR="00376C6A" w:rsidRDefault="00376C6A">
      <w:pPr>
        <w:widowControl/>
        <w:jc w:val="center"/>
        <w:rPr>
          <w:rFonts w:ascii="黑体" w:eastAsia="黑体" w:hAnsi="黑体"/>
          <w:sz w:val="32"/>
          <w:szCs w:val="32"/>
        </w:rPr>
      </w:pPr>
    </w:p>
    <w:p w:rsidR="00376C6A" w:rsidRDefault="00376C6A">
      <w:pPr>
        <w:widowControl/>
        <w:jc w:val="center"/>
        <w:rPr>
          <w:rFonts w:ascii="黑体" w:eastAsia="黑体" w:hAnsi="黑体"/>
          <w:sz w:val="32"/>
          <w:szCs w:val="32"/>
        </w:rPr>
      </w:pPr>
    </w:p>
    <w:p w:rsidR="00376C6A" w:rsidRDefault="00376C6A">
      <w:pPr>
        <w:widowControl/>
        <w:jc w:val="center"/>
        <w:rPr>
          <w:rFonts w:ascii="黑体" w:eastAsia="黑体" w:hAnsi="黑体"/>
          <w:sz w:val="32"/>
          <w:szCs w:val="32"/>
        </w:rPr>
      </w:pPr>
    </w:p>
    <w:p w:rsidR="00376C6A" w:rsidRDefault="00376C6A">
      <w:pPr>
        <w:widowControl/>
        <w:jc w:val="center"/>
        <w:rPr>
          <w:rFonts w:ascii="黑体" w:eastAsia="黑体" w:hAnsi="黑体"/>
          <w:sz w:val="32"/>
          <w:szCs w:val="32"/>
        </w:rPr>
      </w:pPr>
    </w:p>
    <w:p w:rsidR="00376C6A" w:rsidRDefault="00376C6A">
      <w:pPr>
        <w:widowControl/>
        <w:jc w:val="center"/>
        <w:rPr>
          <w:rFonts w:ascii="黑体" w:eastAsia="黑体" w:hAnsi="黑体"/>
          <w:sz w:val="32"/>
          <w:szCs w:val="32"/>
        </w:rPr>
      </w:pPr>
    </w:p>
    <w:p w:rsidR="00376C6A" w:rsidRDefault="00704888">
      <w:pPr>
        <w:spacing w:line="600" w:lineRule="exact"/>
        <w:jc w:val="center"/>
        <w:rPr>
          <w:rFonts w:asciiTheme="minorEastAsia" w:eastAsiaTheme="minorEastAsia" w:hAnsiTheme="minorEastAsia" w:cs="Times New Roman"/>
          <w:sz w:val="44"/>
          <w:szCs w:val="44"/>
        </w:rPr>
      </w:pPr>
      <w:r>
        <w:rPr>
          <w:rFonts w:asciiTheme="minorEastAsia" w:eastAsiaTheme="minorEastAsia" w:hAnsiTheme="minorEastAsia" w:cs="Times New Roman" w:hint="eastAsia"/>
          <w:sz w:val="44"/>
          <w:szCs w:val="44"/>
        </w:rPr>
        <w:t>2024年海南软件职业技术学院单位预算</w:t>
      </w:r>
    </w:p>
    <w:p w:rsidR="00376C6A" w:rsidRDefault="00376C6A">
      <w:pPr>
        <w:spacing w:line="600" w:lineRule="exact"/>
        <w:jc w:val="center"/>
        <w:rPr>
          <w:rFonts w:asciiTheme="minorEastAsia" w:eastAsiaTheme="minorEastAsia" w:hAnsiTheme="minorEastAsia" w:cs="Times New Roman"/>
          <w:sz w:val="44"/>
          <w:szCs w:val="44"/>
        </w:rPr>
      </w:pPr>
    </w:p>
    <w:p w:rsidR="00376C6A" w:rsidRDefault="00376C6A">
      <w:pPr>
        <w:adjustRightInd w:val="0"/>
        <w:snapToGrid w:val="0"/>
        <w:spacing w:line="600" w:lineRule="exact"/>
        <w:jc w:val="center"/>
        <w:rPr>
          <w:rFonts w:ascii="黑体" w:eastAsia="黑体" w:hAnsi="黑体"/>
          <w:color w:val="000000"/>
          <w:spacing w:val="-10"/>
          <w:sz w:val="44"/>
          <w:szCs w:val="44"/>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704888">
      <w:pPr>
        <w:pStyle w:val="1"/>
        <w:spacing w:before="0" w:after="0" w:line="600" w:lineRule="exact"/>
        <w:jc w:val="center"/>
        <w:rPr>
          <w:rFonts w:ascii="方正小标宋简体" w:eastAsia="方正小标宋简体" w:hAnsi="Times New Roman" w:cs="Times New Roman"/>
          <w:color w:val="000000"/>
          <w:spacing w:val="-10"/>
        </w:rPr>
      </w:pPr>
      <w:r>
        <w:rPr>
          <w:rFonts w:ascii="方正小标宋简体" w:eastAsia="方正小标宋简体" w:hAnsi="Times New Roman" w:cs="Times New Roman" w:hint="eastAsia"/>
          <w:color w:val="000000"/>
          <w:spacing w:val="-10"/>
        </w:rPr>
        <w:lastRenderedPageBreak/>
        <w:t>目录</w:t>
      </w:r>
    </w:p>
    <w:p w:rsidR="00376C6A" w:rsidRDefault="00704888">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第一部分 海南软件职业技术学院单位概况</w:t>
      </w:r>
    </w:p>
    <w:p w:rsidR="00376C6A" w:rsidRPr="004219D3" w:rsidRDefault="00704888" w:rsidP="004219D3">
      <w:pPr>
        <w:pStyle w:val="11"/>
        <w:spacing w:line="560" w:lineRule="exact"/>
        <w:ind w:left="720" w:firstLineChars="0" w:hanging="720"/>
        <w:rPr>
          <w:rFonts w:ascii="仿宋_GB2312" w:eastAsia="仿宋_GB2312" w:hAnsi="仿宋_GB2312" w:cs="仿宋_GB2312"/>
          <w:sz w:val="32"/>
          <w:szCs w:val="32"/>
        </w:rPr>
      </w:pPr>
      <w:r w:rsidRPr="004219D3">
        <w:rPr>
          <w:rFonts w:ascii="仿宋_GB2312" w:eastAsia="仿宋_GB2312" w:hAnsi="仿宋_GB2312" w:cs="仿宋_GB2312" w:hint="eastAsia"/>
          <w:sz w:val="32"/>
          <w:szCs w:val="32"/>
        </w:rPr>
        <w:t>一、主要职能</w:t>
      </w:r>
    </w:p>
    <w:p w:rsidR="00376C6A" w:rsidRPr="004219D3" w:rsidRDefault="00704888" w:rsidP="004219D3">
      <w:pPr>
        <w:pStyle w:val="11"/>
        <w:spacing w:line="560" w:lineRule="exact"/>
        <w:ind w:left="720" w:firstLineChars="0" w:hanging="720"/>
        <w:rPr>
          <w:rFonts w:ascii="仿宋_GB2312" w:eastAsia="仿宋_GB2312" w:hAnsi="仿宋_GB2312" w:cs="仿宋_GB2312"/>
          <w:sz w:val="32"/>
          <w:szCs w:val="32"/>
        </w:rPr>
      </w:pPr>
      <w:r w:rsidRPr="004219D3">
        <w:rPr>
          <w:rFonts w:ascii="仿宋_GB2312" w:eastAsia="仿宋_GB2312" w:hAnsi="仿宋_GB2312" w:cs="仿宋_GB2312" w:hint="eastAsia"/>
          <w:sz w:val="32"/>
          <w:szCs w:val="32"/>
        </w:rPr>
        <w:t>二、部门预算单位构成（单位公开没有这部分内容）</w:t>
      </w:r>
    </w:p>
    <w:p w:rsidR="00376C6A" w:rsidRDefault="00704888">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第二部分 海南软件职业技术学院</w:t>
      </w:r>
      <w:r w:rsidR="00E232DC">
        <w:rPr>
          <w:rFonts w:ascii="黑体" w:eastAsia="黑体" w:hAnsi="黑体" w:hint="eastAsia"/>
          <w:sz w:val="32"/>
          <w:szCs w:val="32"/>
        </w:rPr>
        <w:t>单位</w:t>
      </w:r>
      <w:r>
        <w:rPr>
          <w:rFonts w:ascii="黑体" w:eastAsia="黑体" w:hAnsi="黑体" w:hint="eastAsia"/>
          <w:sz w:val="32"/>
          <w:szCs w:val="32"/>
        </w:rPr>
        <w:t>2024年单位预算表</w:t>
      </w:r>
    </w:p>
    <w:p w:rsidR="00376C6A" w:rsidRDefault="0070488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ab/>
        <w:t>财政拨款收支总表</w:t>
      </w:r>
    </w:p>
    <w:p w:rsidR="00376C6A" w:rsidRDefault="0070488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ab/>
        <w:t>一般公共预算支出表</w:t>
      </w:r>
    </w:p>
    <w:p w:rsidR="00376C6A" w:rsidRDefault="0070488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ab/>
        <w:t>一般公共预算基本支出表</w:t>
      </w:r>
    </w:p>
    <w:p w:rsidR="00376C6A" w:rsidRDefault="0070488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tab/>
        <w:t>一般公共预算“三公”经费支出表</w:t>
      </w:r>
    </w:p>
    <w:p w:rsidR="00376C6A" w:rsidRDefault="0070488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hint="eastAsia"/>
          <w:sz w:val="32"/>
          <w:szCs w:val="32"/>
        </w:rPr>
        <w:tab/>
        <w:t>政府性基金预算支出表</w:t>
      </w:r>
    </w:p>
    <w:p w:rsidR="00376C6A" w:rsidRDefault="0070488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hint="eastAsia"/>
          <w:sz w:val="32"/>
          <w:szCs w:val="32"/>
        </w:rPr>
        <w:tab/>
        <w:t>政府性基金预算“三公”经费支出表</w:t>
      </w:r>
    </w:p>
    <w:p w:rsidR="00376C6A" w:rsidRDefault="0070488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hint="eastAsia"/>
          <w:sz w:val="32"/>
          <w:szCs w:val="32"/>
        </w:rPr>
        <w:tab/>
        <w:t>部门（单位）收支总表</w:t>
      </w:r>
    </w:p>
    <w:p w:rsidR="00376C6A" w:rsidRDefault="0070488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hint="eastAsia"/>
          <w:sz w:val="32"/>
          <w:szCs w:val="32"/>
        </w:rPr>
        <w:tab/>
        <w:t>部门（单位）收入总表</w:t>
      </w:r>
    </w:p>
    <w:p w:rsidR="00376C6A" w:rsidRDefault="0070488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九、</w:t>
      </w:r>
      <w:r>
        <w:rPr>
          <w:rFonts w:ascii="仿宋_GB2312" w:eastAsia="仿宋_GB2312" w:hAnsi="仿宋_GB2312" w:cs="仿宋_GB2312" w:hint="eastAsia"/>
          <w:sz w:val="32"/>
          <w:szCs w:val="32"/>
        </w:rPr>
        <w:tab/>
        <w:t>部门（单位）支出总表</w:t>
      </w:r>
    </w:p>
    <w:p w:rsidR="00376C6A" w:rsidRDefault="00704888">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十、</w:t>
      </w:r>
      <w:r>
        <w:rPr>
          <w:rFonts w:ascii="仿宋_GB2312" w:eastAsia="仿宋_GB2312" w:hAnsi="仿宋_GB2312" w:cs="仿宋_GB2312" w:hint="eastAsia"/>
          <w:sz w:val="32"/>
          <w:szCs w:val="32"/>
        </w:rPr>
        <w:tab/>
        <w:t>项目支出绩效信息表</w:t>
      </w:r>
    </w:p>
    <w:p w:rsidR="00376C6A" w:rsidRDefault="00704888">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第三部分 海南软件职业技术学院单位2024年单位预算情况说明</w:t>
      </w:r>
    </w:p>
    <w:p w:rsidR="00376C6A" w:rsidRDefault="00704888">
      <w:pPr>
        <w:pStyle w:val="11"/>
        <w:spacing w:line="560" w:lineRule="exact"/>
        <w:ind w:left="1320" w:firstLineChars="0" w:hanging="1320"/>
        <w:jc w:val="left"/>
        <w:rPr>
          <w:rFonts w:ascii="黑体" w:eastAsia="黑体" w:hAnsi="黑体"/>
          <w:sz w:val="32"/>
          <w:szCs w:val="32"/>
        </w:rPr>
      </w:pPr>
      <w:r>
        <w:rPr>
          <w:rFonts w:ascii="黑体" w:eastAsia="黑体" w:hAnsi="黑体" w:hint="eastAsia"/>
          <w:sz w:val="32"/>
          <w:szCs w:val="32"/>
        </w:rPr>
        <w:t>第四部分 名词解释</w:t>
      </w:r>
    </w:p>
    <w:p w:rsidR="00376C6A" w:rsidRDefault="00376C6A">
      <w:pPr>
        <w:widowControl/>
        <w:spacing w:line="560" w:lineRule="exact"/>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376C6A">
      <w:pPr>
        <w:widowControl/>
        <w:jc w:val="left"/>
        <w:rPr>
          <w:rFonts w:ascii="黑体" w:eastAsia="黑体" w:hAnsi="黑体"/>
          <w:sz w:val="32"/>
          <w:szCs w:val="32"/>
        </w:rPr>
      </w:pPr>
    </w:p>
    <w:p w:rsidR="00376C6A" w:rsidRDefault="00704888">
      <w:pPr>
        <w:widowControl/>
        <w:jc w:val="left"/>
        <w:rPr>
          <w:rFonts w:ascii="黑体" w:eastAsia="黑体" w:hAnsi="黑体"/>
          <w:sz w:val="32"/>
          <w:szCs w:val="32"/>
        </w:rPr>
      </w:pPr>
      <w:bookmarkStart w:id="0" w:name="_Toc64949139"/>
      <w:bookmarkStart w:id="1" w:name="_Toc64945712"/>
      <w:r>
        <w:rPr>
          <w:rFonts w:ascii="黑体" w:eastAsia="黑体" w:hAnsi="黑体"/>
          <w:sz w:val="32"/>
          <w:szCs w:val="32"/>
        </w:rPr>
        <w:br w:type="page"/>
      </w:r>
    </w:p>
    <w:p w:rsidR="00376C6A" w:rsidRDefault="00704888" w:rsidP="00925B9E">
      <w:pPr>
        <w:pStyle w:val="11"/>
        <w:spacing w:beforeLines="50" w:before="120" w:afterLines="50" w:after="120" w:line="560" w:lineRule="exact"/>
        <w:ind w:firstLine="640"/>
        <w:jc w:val="center"/>
        <w:outlineLvl w:val="0"/>
        <w:rPr>
          <w:rFonts w:ascii="黑体" w:eastAsia="黑体" w:hAnsi="黑体"/>
          <w:sz w:val="32"/>
          <w:szCs w:val="32"/>
        </w:rPr>
      </w:pPr>
      <w:r>
        <w:rPr>
          <w:rFonts w:ascii="黑体" w:eastAsia="黑体" w:hAnsi="黑体" w:hint="eastAsia"/>
          <w:sz w:val="32"/>
          <w:szCs w:val="32"/>
        </w:rPr>
        <w:lastRenderedPageBreak/>
        <w:t>第一部分 海南软件职业技术学院单位概况</w:t>
      </w:r>
      <w:bookmarkEnd w:id="0"/>
      <w:bookmarkEnd w:id="1"/>
    </w:p>
    <w:p w:rsidR="00376C6A" w:rsidRDefault="00704888">
      <w:pPr>
        <w:pStyle w:val="2"/>
        <w:spacing w:before="0" w:after="0" w:line="600" w:lineRule="exact"/>
        <w:ind w:firstLineChars="200" w:firstLine="640"/>
        <w:jc w:val="left"/>
        <w:rPr>
          <w:rFonts w:ascii="黑体" w:eastAsia="黑体" w:hAnsi="宋体" w:cs="宋体"/>
          <w:b w:val="0"/>
          <w:kern w:val="0"/>
          <w:szCs w:val="30"/>
        </w:rPr>
      </w:pPr>
      <w:bookmarkStart w:id="2" w:name="_Toc64949140"/>
      <w:bookmarkStart w:id="3" w:name="_Toc64945713"/>
      <w:r>
        <w:rPr>
          <w:rFonts w:ascii="黑体" w:eastAsia="黑体" w:hAnsi="宋体" w:cs="宋体" w:hint="eastAsia"/>
          <w:b w:val="0"/>
          <w:kern w:val="0"/>
          <w:szCs w:val="30"/>
        </w:rPr>
        <w:t>一、主要职能</w:t>
      </w:r>
      <w:bookmarkEnd w:id="2"/>
      <w:bookmarkEnd w:id="3"/>
    </w:p>
    <w:p w:rsidR="001F75DC" w:rsidRPr="001F75DC" w:rsidRDefault="001F75DC" w:rsidP="001F75DC">
      <w:pPr>
        <w:adjustRightInd w:val="0"/>
        <w:snapToGrid w:val="0"/>
        <w:spacing w:line="560" w:lineRule="exact"/>
        <w:ind w:firstLineChars="200" w:firstLine="640"/>
        <w:rPr>
          <w:rFonts w:ascii="仿宋_GB2312" w:eastAsia="仿宋_GB2312" w:hAnsi="仿宋_GB2312" w:cs="仿宋_GB2312"/>
          <w:sz w:val="32"/>
          <w:szCs w:val="32"/>
        </w:rPr>
      </w:pPr>
      <w:r w:rsidRPr="001F75DC">
        <w:rPr>
          <w:rFonts w:ascii="仿宋_GB2312" w:eastAsia="仿宋_GB2312" w:hAnsi="仿宋_GB2312" w:cs="仿宋_GB2312" w:hint="eastAsia"/>
          <w:sz w:val="32"/>
          <w:szCs w:val="32"/>
        </w:rPr>
        <w:t>（一）按照《中华人民共和国高等教育法》《中华人民共和国职业教育法》等法律法规规定开展高等教育工作。</w:t>
      </w:r>
    </w:p>
    <w:p w:rsidR="001F75DC" w:rsidRPr="001F75DC" w:rsidRDefault="001F75DC" w:rsidP="001F75DC">
      <w:pPr>
        <w:adjustRightInd w:val="0"/>
        <w:snapToGrid w:val="0"/>
        <w:spacing w:line="560" w:lineRule="exact"/>
        <w:ind w:firstLineChars="200" w:firstLine="640"/>
        <w:rPr>
          <w:rFonts w:ascii="仿宋_GB2312" w:eastAsia="仿宋_GB2312" w:hAnsi="仿宋_GB2312" w:cs="仿宋_GB2312"/>
          <w:sz w:val="32"/>
          <w:szCs w:val="32"/>
        </w:rPr>
      </w:pPr>
      <w:r w:rsidRPr="001F75DC">
        <w:rPr>
          <w:rFonts w:ascii="仿宋_GB2312" w:eastAsia="仿宋_GB2312" w:hAnsi="仿宋_GB2312" w:cs="仿宋_GB2312" w:hint="eastAsia"/>
          <w:sz w:val="32"/>
          <w:szCs w:val="32"/>
        </w:rPr>
        <w:t>（二）承担软件技术人才和我省小学信息技术教师师资的培养、培训工作。</w:t>
      </w:r>
    </w:p>
    <w:p w:rsidR="00376C6A" w:rsidRDefault="001F75DC" w:rsidP="001F75DC">
      <w:pPr>
        <w:adjustRightInd w:val="0"/>
        <w:snapToGrid w:val="0"/>
        <w:spacing w:line="560" w:lineRule="exact"/>
        <w:ind w:firstLineChars="200" w:firstLine="640"/>
        <w:rPr>
          <w:rFonts w:ascii="仿宋_GB2312" w:eastAsia="仿宋_GB2312" w:hAnsi="仿宋_GB2312" w:cs="仿宋_GB2312"/>
          <w:sz w:val="32"/>
          <w:szCs w:val="32"/>
        </w:rPr>
      </w:pPr>
      <w:r w:rsidRPr="001F75DC">
        <w:rPr>
          <w:rFonts w:ascii="仿宋_GB2312" w:eastAsia="仿宋_GB2312" w:hAnsi="仿宋_GB2312" w:cs="仿宋_GB2312" w:hint="eastAsia"/>
          <w:sz w:val="32"/>
          <w:szCs w:val="32"/>
        </w:rPr>
        <w:t>（三）承办上级主管部门交办的其他工作。</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纳入2024年度部门预算编制范围的二级预算单位主要为：海南软件职业技术学院本级。内设机构具体如下：</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bookmarkStart w:id="4" w:name="_Toc64949142"/>
      <w:bookmarkStart w:id="5" w:name="_Toc64945715"/>
      <w:r>
        <w:rPr>
          <w:rFonts w:ascii="仿宋_GB2312" w:eastAsia="仿宋_GB2312" w:hAnsi="仿宋_GB2312" w:cs="仿宋_GB2312" w:hint="eastAsia"/>
          <w:sz w:val="32"/>
          <w:szCs w:val="32"/>
        </w:rPr>
        <w:t>（一）党政管理部门10个，分别为党政办公室（审计处）、组织人事处（教师发展中心）、宣传统战部、纪检监察处、学生工作部（学生工作处、人民武装部、学生资助管理中心）、教务处、科研与发展规划处、招生与就业创业处（校友办公室、就业指导中心、创业中心）、财务处、后勤处。</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（二）群团组织3个，分别为工会、团委和妇女联合会。</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（三）学校教辅部门7个，分别为质量监控中心（高等职业教育研究所）、对外交流与合作中心、资产管理中心（采购管理办公室）、继续教育学院、信息技术中心、图书馆、老干部服务中心。</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（四）学校教学单位8个，分别为马克思主义学院、计算机与人工智能学院、动画与数字创意学院、机电工程学院、</w:t>
      </w:r>
      <w:proofErr w:type="gramStart"/>
      <w:r>
        <w:rPr>
          <w:rFonts w:ascii="仿宋_GB2312" w:eastAsia="仿宋_GB2312" w:hAnsi="仿宋_GB2312" w:cs="仿宋_GB2312" w:hint="eastAsia"/>
          <w:sz w:val="32"/>
          <w:szCs w:val="32"/>
        </w:rPr>
        <w:t>数智财经</w:t>
      </w:r>
      <w:proofErr w:type="gramEnd"/>
      <w:r>
        <w:rPr>
          <w:rFonts w:ascii="仿宋_GB2312" w:eastAsia="仿宋_GB2312" w:hAnsi="仿宋_GB2312" w:cs="仿宋_GB2312" w:hint="eastAsia"/>
          <w:sz w:val="32"/>
          <w:szCs w:val="32"/>
        </w:rPr>
        <w:t>学院、智慧旅游学院、教育与艺术学院、公共教育学院。</w:t>
      </w:r>
    </w:p>
    <w:p w:rsidR="00925B9E" w:rsidRDefault="00704888" w:rsidP="00925B9E">
      <w:pPr>
        <w:pStyle w:val="2"/>
        <w:spacing w:before="0" w:after="0" w:line="600" w:lineRule="exact"/>
        <w:ind w:firstLineChars="200" w:firstLine="640"/>
        <w:jc w:val="left"/>
        <w:rPr>
          <w:rFonts w:ascii="黑体" w:eastAsia="黑体" w:hAnsi="宋体" w:cs="宋体"/>
          <w:b w:val="0"/>
          <w:kern w:val="0"/>
          <w:szCs w:val="30"/>
        </w:rPr>
      </w:pPr>
      <w:r w:rsidRPr="00925B9E">
        <w:rPr>
          <w:rFonts w:ascii="黑体" w:eastAsia="黑体" w:hAnsi="宋体" w:cs="宋体" w:hint="eastAsia"/>
          <w:b w:val="0"/>
          <w:kern w:val="0"/>
          <w:szCs w:val="30"/>
        </w:rPr>
        <w:lastRenderedPageBreak/>
        <w:t>二、部门预算单位构成（单位公开没有这部分内容）</w:t>
      </w:r>
    </w:p>
    <w:p w:rsidR="00925B9E" w:rsidRDefault="00704888" w:rsidP="00E232DC">
      <w:pPr>
        <w:adjustRightInd w:val="0"/>
        <w:snapToGrid w:val="0"/>
        <w:spacing w:line="560" w:lineRule="exact"/>
        <w:ind w:firstLineChars="200" w:firstLine="640"/>
        <w:rPr>
          <w:rFonts w:ascii="仿宋_GB2312" w:eastAsia="仿宋_GB2312" w:hAnsi="仿宋_GB2312" w:cs="仿宋_GB2312"/>
          <w:sz w:val="32"/>
          <w:szCs w:val="32"/>
        </w:rPr>
      </w:pPr>
      <w:r w:rsidRPr="00925B9E">
        <w:rPr>
          <w:rFonts w:ascii="仿宋_GB2312" w:eastAsia="仿宋_GB2312" w:hAnsi="仿宋_GB2312" w:cs="仿宋_GB2312" w:hint="eastAsia"/>
          <w:sz w:val="32"/>
          <w:szCs w:val="32"/>
        </w:rPr>
        <w:t>无此类情况。</w:t>
      </w:r>
    </w:p>
    <w:p w:rsidR="00925B9E" w:rsidRDefault="00925B9E">
      <w:pPr>
        <w:widowControl/>
        <w:jc w:val="left"/>
        <w:rPr>
          <w:rFonts w:ascii="仿宋_GB2312" w:eastAsia="仿宋_GB2312" w:hAnsi="仿宋_GB2312" w:cs="仿宋_GB2312"/>
          <w:sz w:val="32"/>
          <w:szCs w:val="32"/>
        </w:rPr>
      </w:pPr>
      <w:r>
        <w:rPr>
          <w:rFonts w:ascii="仿宋_GB2312" w:eastAsia="仿宋_GB2312" w:hAnsi="仿宋_GB2312" w:cs="仿宋_GB2312"/>
          <w:sz w:val="32"/>
          <w:szCs w:val="32"/>
        </w:rPr>
        <w:br w:type="page"/>
      </w:r>
    </w:p>
    <w:p w:rsidR="00376C6A" w:rsidRPr="00925B9E" w:rsidRDefault="00704888" w:rsidP="00925B9E">
      <w:pPr>
        <w:pStyle w:val="11"/>
        <w:spacing w:beforeLines="50" w:before="120" w:afterLines="50" w:after="120" w:line="560" w:lineRule="exact"/>
        <w:ind w:firstLine="640"/>
        <w:jc w:val="center"/>
        <w:outlineLvl w:val="0"/>
        <w:rPr>
          <w:rFonts w:ascii="黑体" w:eastAsia="黑体" w:hAnsi="黑体"/>
          <w:sz w:val="32"/>
          <w:szCs w:val="32"/>
        </w:rPr>
      </w:pPr>
      <w:r>
        <w:rPr>
          <w:rFonts w:ascii="黑体" w:eastAsia="黑体" w:hAnsi="黑体" w:hint="eastAsia"/>
          <w:sz w:val="32"/>
          <w:szCs w:val="32"/>
        </w:rPr>
        <w:lastRenderedPageBreak/>
        <w:t>第二部分 海南软件职业技术学院</w:t>
      </w:r>
      <w:r w:rsidR="00E232DC">
        <w:rPr>
          <w:rFonts w:ascii="黑体" w:eastAsia="黑体" w:hAnsi="黑体" w:hint="eastAsia"/>
          <w:sz w:val="32"/>
          <w:szCs w:val="32"/>
        </w:rPr>
        <w:t>单位</w:t>
      </w:r>
      <w:r>
        <w:rPr>
          <w:rFonts w:ascii="黑体" w:eastAsia="黑体" w:hAnsi="黑体" w:hint="eastAsia"/>
          <w:sz w:val="32"/>
          <w:szCs w:val="32"/>
        </w:rPr>
        <w:t>2024年单位预算表</w:t>
      </w:r>
      <w:bookmarkEnd w:id="4"/>
      <w:bookmarkEnd w:id="5"/>
    </w:p>
    <w:p w:rsidR="00925B9E" w:rsidRDefault="00704888">
      <w:pPr>
        <w:spacing w:line="560" w:lineRule="exact"/>
        <w:ind w:left="800"/>
        <w:jc w:val="left"/>
        <w:rPr>
          <w:rFonts w:ascii="仿宋_GB2312" w:eastAsia="仿宋_GB2312" w:hAnsi="黑体"/>
          <w:sz w:val="32"/>
          <w:szCs w:val="32"/>
        </w:rPr>
      </w:pPr>
      <w:r>
        <w:rPr>
          <w:rFonts w:ascii="仿宋_GB2312" w:eastAsia="仿宋_GB2312" w:hAnsi="黑体" w:hint="eastAsia"/>
          <w:sz w:val="32"/>
          <w:szCs w:val="32"/>
        </w:rPr>
        <w:t>（此部分内容为单位预算公开表，详见附件表格）</w:t>
      </w:r>
    </w:p>
    <w:p w:rsidR="00925B9E" w:rsidRDefault="00925B9E">
      <w:pPr>
        <w:widowControl/>
        <w:jc w:val="left"/>
        <w:rPr>
          <w:rFonts w:ascii="仿宋_GB2312" w:eastAsia="仿宋_GB2312" w:hAnsi="黑体" w:hint="eastAsia"/>
          <w:sz w:val="32"/>
          <w:szCs w:val="32"/>
        </w:rPr>
      </w:pPr>
    </w:p>
    <w:p w:rsidR="005133F9" w:rsidRDefault="005133F9" w:rsidP="005133F9">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ab/>
        <w:t>财政拨款收支总表</w:t>
      </w:r>
    </w:p>
    <w:p w:rsidR="005133F9" w:rsidRDefault="005133F9" w:rsidP="005133F9">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ab/>
        <w:t>一般公共预算支出表</w:t>
      </w:r>
    </w:p>
    <w:p w:rsidR="005133F9" w:rsidRDefault="005133F9" w:rsidP="005133F9">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ab/>
        <w:t>一般公共预算基本支出表</w:t>
      </w:r>
    </w:p>
    <w:p w:rsidR="005133F9" w:rsidRDefault="005133F9" w:rsidP="005133F9">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tab/>
        <w:t>一般公共预算“三公”经费支出表</w:t>
      </w:r>
    </w:p>
    <w:p w:rsidR="005133F9" w:rsidRDefault="005133F9" w:rsidP="005133F9">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hint="eastAsia"/>
          <w:sz w:val="32"/>
          <w:szCs w:val="32"/>
        </w:rPr>
        <w:tab/>
        <w:t>政府性基金预算支出表</w:t>
      </w:r>
    </w:p>
    <w:p w:rsidR="005133F9" w:rsidRDefault="005133F9" w:rsidP="005133F9">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hint="eastAsia"/>
          <w:sz w:val="32"/>
          <w:szCs w:val="32"/>
        </w:rPr>
        <w:tab/>
        <w:t>政府性基金预算“三公”经费支出表</w:t>
      </w:r>
    </w:p>
    <w:p w:rsidR="005133F9" w:rsidRDefault="005133F9" w:rsidP="005133F9">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hint="eastAsia"/>
          <w:sz w:val="32"/>
          <w:szCs w:val="32"/>
        </w:rPr>
        <w:tab/>
        <w:t>部门收支总表</w:t>
      </w:r>
    </w:p>
    <w:p w:rsidR="005133F9" w:rsidRDefault="005133F9" w:rsidP="005133F9">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hint="eastAsia"/>
          <w:sz w:val="32"/>
          <w:szCs w:val="32"/>
        </w:rPr>
        <w:tab/>
        <w:t>部门收入总表</w:t>
      </w:r>
    </w:p>
    <w:p w:rsidR="005133F9" w:rsidRDefault="005133F9" w:rsidP="005133F9">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九、</w:t>
      </w:r>
      <w:r>
        <w:rPr>
          <w:rFonts w:ascii="仿宋_GB2312" w:eastAsia="仿宋_GB2312" w:hAnsi="仿宋_GB2312" w:cs="仿宋_GB2312" w:hint="eastAsia"/>
          <w:sz w:val="32"/>
          <w:szCs w:val="32"/>
        </w:rPr>
        <w:tab/>
        <w:t>部门支出总表</w:t>
      </w:r>
    </w:p>
    <w:p w:rsidR="005133F9" w:rsidRDefault="005133F9" w:rsidP="005133F9">
      <w:pPr>
        <w:pStyle w:val="11"/>
        <w:spacing w:line="560" w:lineRule="exact"/>
        <w:ind w:left="720" w:firstLineChars="0" w:hanging="720"/>
        <w:rPr>
          <w:rFonts w:ascii="仿宋_GB2312" w:eastAsia="仿宋_GB2312" w:hAnsi="仿宋_GB2312" w:cs="仿宋_GB2312"/>
          <w:sz w:val="32"/>
          <w:szCs w:val="32"/>
        </w:rPr>
      </w:pPr>
      <w:r>
        <w:rPr>
          <w:rFonts w:ascii="仿宋_GB2312" w:eastAsia="仿宋_GB2312" w:hAnsi="仿宋_GB2312" w:cs="仿宋_GB2312" w:hint="eastAsia"/>
          <w:sz w:val="32"/>
          <w:szCs w:val="32"/>
        </w:rPr>
        <w:t>十、</w:t>
      </w:r>
      <w:r>
        <w:rPr>
          <w:rFonts w:ascii="仿宋_GB2312" w:eastAsia="仿宋_GB2312" w:hAnsi="仿宋_GB2312" w:cs="仿宋_GB2312" w:hint="eastAsia"/>
          <w:sz w:val="32"/>
          <w:szCs w:val="32"/>
        </w:rPr>
        <w:tab/>
        <w:t>项目支出绩效信息表</w:t>
      </w:r>
    </w:p>
    <w:p w:rsidR="005133F9" w:rsidRDefault="005133F9">
      <w:pPr>
        <w:widowControl/>
        <w:jc w:val="left"/>
        <w:rPr>
          <w:rFonts w:ascii="仿宋_GB2312" w:eastAsia="仿宋_GB2312" w:hAnsi="黑体" w:hint="eastAsia"/>
          <w:sz w:val="32"/>
          <w:szCs w:val="32"/>
        </w:rPr>
      </w:pPr>
    </w:p>
    <w:p w:rsidR="005133F9" w:rsidRDefault="005133F9">
      <w:pPr>
        <w:widowControl/>
        <w:jc w:val="left"/>
        <w:rPr>
          <w:rFonts w:ascii="仿宋_GB2312" w:eastAsia="仿宋_GB2312" w:hAnsi="黑体" w:hint="eastAsia"/>
          <w:sz w:val="32"/>
          <w:szCs w:val="32"/>
        </w:rPr>
      </w:pPr>
    </w:p>
    <w:p w:rsidR="005133F9" w:rsidRDefault="005133F9">
      <w:pPr>
        <w:widowControl/>
        <w:jc w:val="left"/>
        <w:rPr>
          <w:rFonts w:ascii="仿宋_GB2312" w:eastAsia="仿宋_GB2312" w:hAnsi="黑体" w:hint="eastAsia"/>
          <w:sz w:val="32"/>
          <w:szCs w:val="32"/>
        </w:rPr>
      </w:pPr>
      <w:bookmarkStart w:id="6" w:name="_GoBack"/>
      <w:bookmarkEnd w:id="6"/>
    </w:p>
    <w:p w:rsidR="005133F9" w:rsidRDefault="005133F9">
      <w:pPr>
        <w:widowControl/>
        <w:jc w:val="left"/>
        <w:rPr>
          <w:rFonts w:ascii="仿宋_GB2312" w:eastAsia="仿宋_GB2312" w:hAnsi="黑体" w:hint="eastAsia"/>
          <w:sz w:val="32"/>
          <w:szCs w:val="32"/>
        </w:rPr>
      </w:pPr>
    </w:p>
    <w:p w:rsidR="005133F9" w:rsidRDefault="005133F9">
      <w:pPr>
        <w:widowControl/>
        <w:jc w:val="left"/>
        <w:rPr>
          <w:rFonts w:ascii="仿宋_GB2312" w:eastAsia="仿宋_GB2312" w:hAnsi="黑体" w:hint="eastAsia"/>
          <w:sz w:val="32"/>
          <w:szCs w:val="32"/>
        </w:rPr>
      </w:pPr>
    </w:p>
    <w:p w:rsidR="005133F9" w:rsidRDefault="005133F9">
      <w:pPr>
        <w:widowControl/>
        <w:jc w:val="left"/>
        <w:rPr>
          <w:rFonts w:ascii="仿宋_GB2312" w:eastAsia="仿宋_GB2312" w:hAnsi="黑体" w:hint="eastAsia"/>
          <w:sz w:val="32"/>
          <w:szCs w:val="32"/>
        </w:rPr>
      </w:pPr>
    </w:p>
    <w:p w:rsidR="005133F9" w:rsidRDefault="005133F9">
      <w:pPr>
        <w:widowControl/>
        <w:jc w:val="left"/>
        <w:rPr>
          <w:rFonts w:ascii="仿宋_GB2312" w:eastAsia="仿宋_GB2312" w:hAnsi="黑体" w:hint="eastAsia"/>
          <w:sz w:val="32"/>
          <w:szCs w:val="32"/>
        </w:rPr>
      </w:pPr>
    </w:p>
    <w:p w:rsidR="005133F9" w:rsidRDefault="005133F9">
      <w:pPr>
        <w:widowControl/>
        <w:jc w:val="left"/>
        <w:rPr>
          <w:rFonts w:ascii="仿宋_GB2312" w:eastAsia="仿宋_GB2312" w:hAnsi="黑体" w:hint="eastAsia"/>
          <w:sz w:val="32"/>
          <w:szCs w:val="32"/>
        </w:rPr>
      </w:pPr>
    </w:p>
    <w:p w:rsidR="005133F9" w:rsidRDefault="005133F9">
      <w:pPr>
        <w:widowControl/>
        <w:jc w:val="left"/>
        <w:rPr>
          <w:rFonts w:ascii="仿宋_GB2312" w:eastAsia="仿宋_GB2312" w:hAnsi="黑体" w:hint="eastAsia"/>
          <w:sz w:val="32"/>
          <w:szCs w:val="32"/>
        </w:rPr>
      </w:pPr>
    </w:p>
    <w:p w:rsidR="005133F9" w:rsidRDefault="005133F9">
      <w:pPr>
        <w:widowControl/>
        <w:jc w:val="left"/>
        <w:rPr>
          <w:rFonts w:ascii="仿宋_GB2312" w:eastAsia="仿宋_GB2312" w:hAnsi="黑体" w:hint="eastAsia"/>
          <w:sz w:val="32"/>
          <w:szCs w:val="32"/>
        </w:rPr>
      </w:pPr>
    </w:p>
    <w:p w:rsidR="005133F9" w:rsidRDefault="005133F9">
      <w:pPr>
        <w:widowControl/>
        <w:jc w:val="left"/>
        <w:rPr>
          <w:rFonts w:ascii="仿宋_GB2312" w:eastAsia="仿宋_GB2312" w:hAnsi="黑体" w:hint="eastAsia"/>
          <w:sz w:val="32"/>
          <w:szCs w:val="32"/>
        </w:rPr>
      </w:pPr>
    </w:p>
    <w:p w:rsidR="005133F9" w:rsidRDefault="005133F9">
      <w:pPr>
        <w:widowControl/>
        <w:jc w:val="left"/>
        <w:rPr>
          <w:rFonts w:ascii="仿宋_GB2312" w:eastAsia="仿宋_GB2312" w:hAnsi="黑体" w:hint="eastAsia"/>
          <w:sz w:val="32"/>
          <w:szCs w:val="32"/>
        </w:rPr>
      </w:pPr>
    </w:p>
    <w:p w:rsidR="005133F9" w:rsidRDefault="005133F9">
      <w:pPr>
        <w:widowControl/>
        <w:jc w:val="left"/>
        <w:rPr>
          <w:rFonts w:ascii="仿宋_GB2312" w:eastAsia="仿宋_GB2312" w:hAnsi="黑体" w:hint="eastAsia"/>
          <w:sz w:val="32"/>
          <w:szCs w:val="32"/>
        </w:rPr>
      </w:pPr>
    </w:p>
    <w:p w:rsidR="005133F9" w:rsidRPr="005133F9" w:rsidRDefault="005133F9">
      <w:pPr>
        <w:widowControl/>
        <w:jc w:val="left"/>
        <w:rPr>
          <w:rFonts w:ascii="仿宋_GB2312" w:eastAsia="仿宋_GB2312" w:hAnsi="黑体"/>
          <w:sz w:val="32"/>
          <w:szCs w:val="32"/>
        </w:rPr>
      </w:pPr>
    </w:p>
    <w:p w:rsidR="00376C6A" w:rsidRDefault="00704888" w:rsidP="00F7215B">
      <w:pPr>
        <w:pStyle w:val="11"/>
        <w:spacing w:beforeLines="50" w:before="120" w:afterLines="50" w:after="120" w:line="560" w:lineRule="exact"/>
        <w:ind w:firstLine="640"/>
        <w:jc w:val="center"/>
        <w:outlineLvl w:val="0"/>
        <w:rPr>
          <w:rFonts w:ascii="黑体" w:eastAsia="黑体" w:hAnsi="黑体"/>
          <w:sz w:val="32"/>
          <w:szCs w:val="32"/>
        </w:rPr>
      </w:pPr>
      <w:bookmarkStart w:id="7" w:name="_Toc64949153"/>
      <w:bookmarkStart w:id="8" w:name="_Toc64945726"/>
      <w:r>
        <w:rPr>
          <w:rFonts w:ascii="黑体" w:eastAsia="黑体" w:hAnsi="黑体" w:hint="eastAsia"/>
          <w:sz w:val="32"/>
          <w:szCs w:val="32"/>
        </w:rPr>
        <w:lastRenderedPageBreak/>
        <w:t>第三部分 海南软件职业技术学院单位2024年单位预算情况说明</w:t>
      </w:r>
      <w:bookmarkEnd w:id="7"/>
      <w:bookmarkEnd w:id="8"/>
    </w:p>
    <w:p w:rsidR="00376C6A" w:rsidRDefault="00704888">
      <w:pPr>
        <w:pStyle w:val="2"/>
        <w:spacing w:before="0" w:after="0" w:line="600" w:lineRule="exact"/>
        <w:ind w:firstLineChars="200" w:firstLine="640"/>
        <w:jc w:val="left"/>
        <w:rPr>
          <w:rFonts w:ascii="黑体" w:eastAsia="黑体" w:hAnsi="宋体" w:cs="宋体"/>
          <w:b w:val="0"/>
          <w:kern w:val="0"/>
          <w:szCs w:val="30"/>
        </w:rPr>
      </w:pPr>
      <w:bookmarkStart w:id="9" w:name="_Toc64949154"/>
      <w:bookmarkStart w:id="10" w:name="_Toc64945727"/>
      <w:r>
        <w:rPr>
          <w:rFonts w:ascii="黑体" w:eastAsia="黑体" w:hAnsi="宋体" w:cs="宋体" w:hint="eastAsia"/>
          <w:b w:val="0"/>
          <w:kern w:val="0"/>
          <w:szCs w:val="30"/>
        </w:rPr>
        <w:t>一、关于海南软件职业技术学院单位2024年财政拨款收支预算情况的总体说明</w:t>
      </w:r>
      <w:bookmarkEnd w:id="9"/>
      <w:bookmarkEnd w:id="10"/>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海南软件职业技术学院单位2024年财政拨款收支总预算</w:t>
      </w:r>
      <w:r>
        <w:rPr>
          <w:rFonts w:ascii="仿宋_GB2312" w:eastAsia="仿宋_GB2312" w:hAnsi="仿宋_GB2312" w:cs="仿宋_GB2312"/>
          <w:sz w:val="32"/>
          <w:szCs w:val="32"/>
        </w:rPr>
        <w:t>17,304.99</w:t>
      </w:r>
      <w:r>
        <w:rPr>
          <w:rFonts w:ascii="仿宋_GB2312" w:eastAsia="仿宋_GB2312" w:hAnsi="仿宋_GB2312" w:cs="仿宋_GB2312" w:hint="eastAsia"/>
          <w:sz w:val="32"/>
          <w:szCs w:val="32"/>
        </w:rPr>
        <w:t>万元，比上年同期减少586.98万元，主要是本年度项目拨款减少、结转结余项目资金减少。其中：收入预算总计</w:t>
      </w:r>
      <w:r>
        <w:rPr>
          <w:rFonts w:ascii="仿宋_GB2312" w:eastAsia="仿宋_GB2312" w:hAnsi="仿宋_GB2312" w:cs="仿宋_GB2312"/>
          <w:sz w:val="32"/>
          <w:szCs w:val="32"/>
        </w:rPr>
        <w:t>17,304.99</w:t>
      </w:r>
      <w:r>
        <w:rPr>
          <w:rFonts w:ascii="仿宋_GB2312" w:eastAsia="仿宋_GB2312" w:hAnsi="仿宋_GB2312" w:cs="仿宋_GB2312" w:hint="eastAsia"/>
          <w:sz w:val="32"/>
          <w:szCs w:val="32"/>
        </w:rPr>
        <w:t>万元，包括：一般公共预算收入</w:t>
      </w:r>
      <w:r>
        <w:rPr>
          <w:rFonts w:ascii="仿宋_GB2312" w:eastAsia="仿宋_GB2312" w:hAnsi="仿宋_GB2312" w:cs="仿宋_GB2312"/>
          <w:sz w:val="32"/>
          <w:szCs w:val="32"/>
        </w:rPr>
        <w:t xml:space="preserve">16,900.80 </w:t>
      </w:r>
      <w:r>
        <w:rPr>
          <w:rFonts w:ascii="仿宋_GB2312" w:eastAsia="仿宋_GB2312" w:hAnsi="仿宋_GB2312" w:cs="仿宋_GB2312" w:hint="eastAsia"/>
          <w:sz w:val="32"/>
          <w:szCs w:val="32"/>
        </w:rPr>
        <w:t>万元、上年结转</w:t>
      </w:r>
      <w:r>
        <w:rPr>
          <w:rFonts w:ascii="仿宋_GB2312" w:eastAsia="仿宋_GB2312" w:hAnsi="仿宋_GB2312" w:cs="仿宋_GB2312"/>
          <w:sz w:val="32"/>
          <w:szCs w:val="32"/>
        </w:rPr>
        <w:t>404.1</w:t>
      </w:r>
      <w:r>
        <w:rPr>
          <w:rFonts w:ascii="仿宋_GB2312" w:eastAsia="仿宋_GB2312" w:hAnsi="仿宋_GB2312" w:cs="仿宋_GB2312" w:hint="eastAsia"/>
          <w:sz w:val="32"/>
          <w:szCs w:val="32"/>
        </w:rPr>
        <w:t>9万元，政府性基金预算本年收入0万元、上年结转0万元；支出预算总计</w:t>
      </w:r>
      <w:r>
        <w:rPr>
          <w:rFonts w:ascii="仿宋_GB2312" w:eastAsia="仿宋_GB2312" w:hAnsi="仿宋_GB2312" w:cs="仿宋_GB2312"/>
          <w:sz w:val="32"/>
          <w:szCs w:val="32"/>
        </w:rPr>
        <w:t>17,304.99</w:t>
      </w:r>
      <w:r>
        <w:rPr>
          <w:rFonts w:ascii="仿宋_GB2312" w:eastAsia="仿宋_GB2312" w:hAnsi="仿宋_GB2312" w:cs="仿宋_GB2312" w:hint="eastAsia"/>
          <w:sz w:val="32"/>
          <w:szCs w:val="32"/>
        </w:rPr>
        <w:t>万元，包括：教育支出</w:t>
      </w:r>
      <w:r>
        <w:rPr>
          <w:rFonts w:ascii="仿宋_GB2312" w:eastAsia="仿宋_GB2312" w:hAnsi="仿宋_GB2312" w:cs="仿宋_GB2312"/>
          <w:sz w:val="32"/>
          <w:szCs w:val="32"/>
        </w:rPr>
        <w:t>15,537.37</w:t>
      </w:r>
      <w:r>
        <w:rPr>
          <w:rFonts w:ascii="仿宋_GB2312" w:eastAsia="仿宋_GB2312" w:hAnsi="仿宋_GB2312" w:cs="仿宋_GB2312" w:hint="eastAsia"/>
          <w:sz w:val="32"/>
          <w:szCs w:val="32"/>
        </w:rPr>
        <w:t>万元、科学技术支出</w:t>
      </w:r>
      <w:r>
        <w:rPr>
          <w:rFonts w:ascii="仿宋_GB2312" w:eastAsia="仿宋_GB2312" w:hAnsi="仿宋_GB2312" w:cs="仿宋_GB2312"/>
          <w:sz w:val="32"/>
          <w:szCs w:val="32"/>
        </w:rPr>
        <w:t>75.05</w:t>
      </w:r>
      <w:r>
        <w:rPr>
          <w:rFonts w:ascii="仿宋_GB2312" w:eastAsia="仿宋_GB2312" w:hAnsi="仿宋_GB2312" w:cs="仿宋_GB2312" w:hint="eastAsia"/>
          <w:sz w:val="32"/>
          <w:szCs w:val="32"/>
        </w:rPr>
        <w:t>万元、社会保障和就业支出</w:t>
      </w:r>
      <w:r>
        <w:rPr>
          <w:rFonts w:ascii="仿宋_GB2312" w:eastAsia="仿宋_GB2312" w:hAnsi="仿宋_GB2312" w:cs="仿宋_GB2312"/>
          <w:sz w:val="32"/>
          <w:szCs w:val="32"/>
        </w:rPr>
        <w:t>906.57</w:t>
      </w:r>
      <w:r>
        <w:rPr>
          <w:rFonts w:ascii="仿宋_GB2312" w:eastAsia="仿宋_GB2312" w:hAnsi="仿宋_GB2312" w:cs="仿宋_GB2312" w:hint="eastAsia"/>
          <w:sz w:val="32"/>
          <w:szCs w:val="32"/>
        </w:rPr>
        <w:t>万元、卫生健康支出</w:t>
      </w:r>
      <w:r>
        <w:rPr>
          <w:rFonts w:ascii="仿宋_GB2312" w:eastAsia="仿宋_GB2312" w:hAnsi="仿宋_GB2312" w:cs="仿宋_GB2312"/>
          <w:sz w:val="32"/>
          <w:szCs w:val="32"/>
        </w:rPr>
        <w:t>284.45</w:t>
      </w:r>
      <w:r>
        <w:rPr>
          <w:rFonts w:ascii="仿宋_GB2312" w:eastAsia="仿宋_GB2312" w:hAnsi="仿宋_GB2312" w:cs="仿宋_GB2312" w:hint="eastAsia"/>
          <w:sz w:val="32"/>
          <w:szCs w:val="32"/>
        </w:rPr>
        <w:t>万元、住房保障支出</w:t>
      </w:r>
      <w:r>
        <w:rPr>
          <w:rFonts w:ascii="仿宋_GB2312" w:eastAsia="仿宋_GB2312" w:hAnsi="仿宋_GB2312" w:cs="仿宋_GB2312"/>
          <w:sz w:val="32"/>
          <w:szCs w:val="32"/>
        </w:rPr>
        <w:t>501.55</w:t>
      </w:r>
      <w:r>
        <w:rPr>
          <w:rFonts w:ascii="仿宋_GB2312" w:eastAsia="仿宋_GB2312" w:hAnsi="仿宋_GB2312" w:cs="仿宋_GB2312" w:hint="eastAsia"/>
          <w:sz w:val="32"/>
          <w:szCs w:val="32"/>
        </w:rPr>
        <w:t>万元。</w:t>
      </w:r>
    </w:p>
    <w:p w:rsidR="00376C6A" w:rsidRDefault="00704888">
      <w:pPr>
        <w:pStyle w:val="2"/>
        <w:spacing w:before="0" w:after="0" w:line="560" w:lineRule="exact"/>
        <w:ind w:firstLineChars="200" w:firstLine="640"/>
        <w:jc w:val="left"/>
        <w:rPr>
          <w:rFonts w:ascii="黑体" w:eastAsia="黑体" w:hAnsi="黑体"/>
          <w:b w:val="0"/>
        </w:rPr>
      </w:pPr>
      <w:bookmarkStart w:id="11" w:name="_Toc64949155"/>
      <w:bookmarkStart w:id="12" w:name="_Toc64945728"/>
      <w:r>
        <w:rPr>
          <w:rFonts w:ascii="黑体" w:eastAsia="黑体" w:hAnsi="黑体" w:hint="eastAsia"/>
          <w:b w:val="0"/>
        </w:rPr>
        <w:t>二、关于海南软件职业技术学院单位2024年一般公共预算当年拨款情况说明</w:t>
      </w:r>
      <w:bookmarkEnd w:id="11"/>
      <w:bookmarkEnd w:id="12"/>
    </w:p>
    <w:p w:rsidR="00376C6A" w:rsidRDefault="00704888">
      <w:pPr>
        <w:pStyle w:val="3"/>
        <w:spacing w:before="0" w:after="0" w:line="560" w:lineRule="exact"/>
        <w:ind w:firstLineChars="200" w:firstLine="640"/>
        <w:jc w:val="left"/>
        <w:rPr>
          <w:rFonts w:ascii="仿宋" w:eastAsia="仿宋" w:hAnsi="仿宋"/>
          <w:b w:val="0"/>
          <w:color w:val="000000" w:themeColor="text1"/>
        </w:rPr>
      </w:pPr>
      <w:bookmarkStart w:id="13" w:name="_Toc64945729"/>
      <w:bookmarkStart w:id="14" w:name="_Toc64949156"/>
      <w:r>
        <w:rPr>
          <w:rFonts w:ascii="楷体_GB2312" w:eastAsia="楷体_GB2312" w:hAnsi="楷体_GB2312" w:cs="楷体_GB2312" w:hint="eastAsia"/>
          <w:b w:val="0"/>
          <w:bCs w:val="0"/>
          <w:color w:val="000000" w:themeColor="text1"/>
        </w:rPr>
        <w:t>（一）一般公共预算当年规模变化情况</w:t>
      </w:r>
      <w:bookmarkEnd w:id="13"/>
      <w:bookmarkEnd w:id="14"/>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海南软件职业技术学院单位2024年一般公共预算拨款</w:t>
      </w:r>
      <w:r>
        <w:rPr>
          <w:rFonts w:ascii="仿宋_GB2312" w:eastAsia="仿宋_GB2312" w:hAnsi="仿宋_GB2312" w:cs="仿宋_GB2312"/>
          <w:sz w:val="32"/>
          <w:szCs w:val="32"/>
        </w:rPr>
        <w:t>17,304.9</w:t>
      </w:r>
      <w:r>
        <w:rPr>
          <w:rFonts w:ascii="仿宋_GB2312" w:eastAsia="仿宋_GB2312" w:hAnsi="仿宋_GB2312" w:cs="仿宋_GB2312" w:hint="eastAsia"/>
          <w:sz w:val="32"/>
          <w:szCs w:val="32"/>
        </w:rPr>
        <w:t>9万元，比上年预算数减少586.98万元。主要是基本支出</w:t>
      </w:r>
      <w:r>
        <w:rPr>
          <w:rFonts w:ascii="仿宋_GB2312" w:eastAsia="仿宋_GB2312" w:hAnsi="仿宋_GB2312" w:cs="仿宋_GB2312"/>
          <w:sz w:val="32"/>
          <w:szCs w:val="32"/>
        </w:rPr>
        <w:t>8,402.74</w:t>
      </w:r>
      <w:r>
        <w:rPr>
          <w:rFonts w:ascii="仿宋_GB2312" w:eastAsia="仿宋_GB2312" w:hAnsi="仿宋_GB2312" w:cs="仿宋_GB2312" w:hint="eastAsia"/>
          <w:sz w:val="32"/>
          <w:szCs w:val="32"/>
        </w:rPr>
        <w:t>比上年同期增加625.57万元；项目支出</w:t>
      </w:r>
      <w:r>
        <w:rPr>
          <w:rFonts w:ascii="仿宋_GB2312" w:eastAsia="仿宋_GB2312" w:hAnsi="仿宋_GB2312" w:cs="仿宋_GB2312"/>
          <w:sz w:val="32"/>
          <w:szCs w:val="32"/>
        </w:rPr>
        <w:t xml:space="preserve">8,902.25 </w:t>
      </w:r>
      <w:r>
        <w:rPr>
          <w:rFonts w:ascii="仿宋_GB2312" w:eastAsia="仿宋_GB2312" w:hAnsi="仿宋_GB2312" w:cs="仿宋_GB2312" w:hint="eastAsia"/>
          <w:sz w:val="32"/>
          <w:szCs w:val="32"/>
        </w:rPr>
        <w:t>万元比上年同期减少</w:t>
      </w:r>
      <w:r>
        <w:rPr>
          <w:rFonts w:ascii="仿宋_GB2312" w:eastAsia="仿宋_GB2312" w:hAnsi="仿宋_GB2312" w:cs="仿宋_GB2312"/>
          <w:sz w:val="32"/>
          <w:szCs w:val="32"/>
        </w:rPr>
        <w:t>1,212.5</w:t>
      </w:r>
      <w:r>
        <w:rPr>
          <w:rFonts w:ascii="仿宋_GB2312" w:eastAsia="仿宋_GB2312" w:hAnsi="仿宋_GB2312" w:cs="仿宋_GB2312" w:hint="eastAsia"/>
          <w:sz w:val="32"/>
          <w:szCs w:val="32"/>
        </w:rPr>
        <w:t>5万元（其中本年项目减少</w:t>
      </w:r>
      <w:r>
        <w:rPr>
          <w:rFonts w:ascii="仿宋_GB2312" w:eastAsia="仿宋_GB2312" w:hAnsi="仿宋_GB2312" w:cs="仿宋_GB2312"/>
          <w:sz w:val="32"/>
          <w:szCs w:val="32"/>
        </w:rPr>
        <w:t>496.21</w:t>
      </w:r>
      <w:r>
        <w:rPr>
          <w:rFonts w:ascii="仿宋_GB2312" w:eastAsia="仿宋_GB2312" w:hAnsi="仿宋_GB2312" w:cs="仿宋_GB2312" w:hint="eastAsia"/>
          <w:sz w:val="32"/>
          <w:szCs w:val="32"/>
        </w:rPr>
        <w:t>万元，结转结余项目减少</w:t>
      </w:r>
      <w:r>
        <w:rPr>
          <w:rFonts w:ascii="仿宋_GB2312" w:eastAsia="仿宋_GB2312" w:hAnsi="仿宋_GB2312" w:cs="仿宋_GB2312"/>
          <w:sz w:val="32"/>
          <w:szCs w:val="32"/>
        </w:rPr>
        <w:t>716.3</w:t>
      </w:r>
      <w:r>
        <w:rPr>
          <w:rFonts w:ascii="仿宋_GB2312" w:eastAsia="仿宋_GB2312" w:hAnsi="仿宋_GB2312" w:cs="仿宋_GB2312" w:hint="eastAsia"/>
          <w:sz w:val="32"/>
          <w:szCs w:val="32"/>
        </w:rPr>
        <w:t>4万元）。</w:t>
      </w:r>
    </w:p>
    <w:p w:rsidR="00376C6A" w:rsidRDefault="00704888">
      <w:pPr>
        <w:pStyle w:val="3"/>
        <w:spacing w:before="0" w:after="0" w:line="560" w:lineRule="exact"/>
        <w:ind w:firstLineChars="200" w:firstLine="640"/>
        <w:jc w:val="left"/>
        <w:rPr>
          <w:rFonts w:ascii="楷体_GB2312" w:eastAsia="楷体_GB2312" w:hAnsi="楷体_GB2312" w:cs="楷体_GB2312"/>
          <w:b w:val="0"/>
          <w:bCs w:val="0"/>
          <w:color w:val="000000" w:themeColor="text1"/>
        </w:rPr>
      </w:pPr>
      <w:bookmarkStart w:id="15" w:name="_Toc64949157"/>
      <w:bookmarkStart w:id="16" w:name="_Toc64945730"/>
      <w:r>
        <w:rPr>
          <w:rFonts w:ascii="楷体_GB2312" w:eastAsia="楷体_GB2312" w:hAnsi="楷体_GB2312" w:cs="楷体_GB2312" w:hint="eastAsia"/>
          <w:b w:val="0"/>
          <w:bCs w:val="0"/>
          <w:color w:val="000000" w:themeColor="text1"/>
        </w:rPr>
        <w:t>（二）一般公共预算当年拨款结构情况</w:t>
      </w:r>
      <w:bookmarkEnd w:id="15"/>
      <w:bookmarkEnd w:id="16"/>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教育支出</w:t>
      </w:r>
      <w:r>
        <w:rPr>
          <w:rFonts w:ascii="仿宋_GB2312" w:eastAsia="仿宋_GB2312" w:hAnsi="仿宋_GB2312" w:cs="仿宋_GB2312"/>
          <w:sz w:val="32"/>
          <w:szCs w:val="32"/>
        </w:rPr>
        <w:t>15,537.37</w:t>
      </w:r>
      <w:r>
        <w:rPr>
          <w:rFonts w:ascii="仿宋_GB2312" w:eastAsia="仿宋_GB2312" w:hAnsi="仿宋_GB2312" w:cs="仿宋_GB2312" w:hint="eastAsia"/>
          <w:sz w:val="32"/>
          <w:szCs w:val="32"/>
        </w:rPr>
        <w:t>万元，占预算</w:t>
      </w:r>
      <w:r>
        <w:rPr>
          <w:rFonts w:ascii="仿宋_GB2312" w:eastAsia="仿宋_GB2312" w:hAnsi="仿宋_GB2312" w:cs="仿宋_GB2312"/>
          <w:sz w:val="32"/>
          <w:szCs w:val="32"/>
        </w:rPr>
        <w:t>89.79%</w:t>
      </w:r>
      <w:r>
        <w:rPr>
          <w:rFonts w:ascii="仿宋_GB2312" w:eastAsia="仿宋_GB2312" w:hAnsi="仿宋_GB2312" w:cs="仿宋_GB2312" w:hint="eastAsia"/>
          <w:sz w:val="32"/>
          <w:szCs w:val="32"/>
        </w:rPr>
        <w:t>；科学技术支出</w:t>
      </w:r>
      <w:r>
        <w:rPr>
          <w:rFonts w:ascii="仿宋_GB2312" w:eastAsia="仿宋_GB2312" w:hAnsi="仿宋_GB2312" w:cs="仿宋_GB2312"/>
          <w:sz w:val="32"/>
          <w:szCs w:val="32"/>
        </w:rPr>
        <w:t>75.05</w:t>
      </w:r>
      <w:r>
        <w:rPr>
          <w:rFonts w:ascii="仿宋_GB2312" w:eastAsia="仿宋_GB2312" w:hAnsi="仿宋_GB2312" w:cs="仿宋_GB2312" w:hint="eastAsia"/>
          <w:sz w:val="32"/>
          <w:szCs w:val="32"/>
        </w:rPr>
        <w:t>万元，占预算</w:t>
      </w:r>
      <w:r>
        <w:rPr>
          <w:rFonts w:ascii="仿宋_GB2312" w:eastAsia="仿宋_GB2312" w:hAnsi="仿宋_GB2312" w:cs="仿宋_GB2312"/>
          <w:sz w:val="32"/>
          <w:szCs w:val="32"/>
        </w:rPr>
        <w:t>0.43%</w:t>
      </w:r>
      <w:r>
        <w:rPr>
          <w:rFonts w:ascii="仿宋_GB2312" w:eastAsia="仿宋_GB2312" w:hAnsi="仿宋_GB2312" w:cs="仿宋_GB2312" w:hint="eastAsia"/>
          <w:sz w:val="32"/>
          <w:szCs w:val="32"/>
        </w:rPr>
        <w:t>；社会保障和就业支出</w:t>
      </w:r>
      <w:r>
        <w:rPr>
          <w:rFonts w:ascii="仿宋_GB2312" w:eastAsia="仿宋_GB2312" w:hAnsi="仿宋_GB2312" w:cs="仿宋_GB2312"/>
          <w:sz w:val="32"/>
          <w:szCs w:val="32"/>
        </w:rPr>
        <w:t>906.57</w:t>
      </w:r>
      <w:r>
        <w:rPr>
          <w:rFonts w:ascii="仿宋_GB2312" w:eastAsia="仿宋_GB2312" w:hAnsi="仿宋_GB2312" w:cs="仿宋_GB2312" w:hint="eastAsia"/>
          <w:sz w:val="32"/>
          <w:szCs w:val="32"/>
        </w:rPr>
        <w:lastRenderedPageBreak/>
        <w:t>万元，占预算</w:t>
      </w:r>
      <w:r>
        <w:rPr>
          <w:rFonts w:ascii="仿宋_GB2312" w:eastAsia="仿宋_GB2312" w:hAnsi="仿宋_GB2312" w:cs="仿宋_GB2312"/>
          <w:sz w:val="32"/>
          <w:szCs w:val="32"/>
        </w:rPr>
        <w:t>5.24%</w:t>
      </w:r>
      <w:r>
        <w:rPr>
          <w:rFonts w:ascii="仿宋_GB2312" w:eastAsia="仿宋_GB2312" w:hAnsi="仿宋_GB2312" w:cs="仿宋_GB2312" w:hint="eastAsia"/>
          <w:sz w:val="32"/>
          <w:szCs w:val="32"/>
        </w:rPr>
        <w:t>；卫生健康支出</w:t>
      </w:r>
      <w:r>
        <w:rPr>
          <w:rFonts w:ascii="仿宋_GB2312" w:eastAsia="仿宋_GB2312" w:hAnsi="仿宋_GB2312" w:cs="仿宋_GB2312"/>
          <w:sz w:val="32"/>
          <w:szCs w:val="32"/>
        </w:rPr>
        <w:t>284.45</w:t>
      </w:r>
      <w:r>
        <w:rPr>
          <w:rFonts w:ascii="仿宋_GB2312" w:eastAsia="仿宋_GB2312" w:hAnsi="仿宋_GB2312" w:cs="仿宋_GB2312" w:hint="eastAsia"/>
          <w:sz w:val="32"/>
          <w:szCs w:val="32"/>
        </w:rPr>
        <w:t>万元，占预算</w:t>
      </w:r>
      <w:r>
        <w:rPr>
          <w:rFonts w:ascii="仿宋_GB2312" w:eastAsia="仿宋_GB2312" w:hAnsi="仿宋_GB2312" w:cs="仿宋_GB2312"/>
          <w:sz w:val="32"/>
          <w:szCs w:val="32"/>
        </w:rPr>
        <w:t>1.64%</w:t>
      </w:r>
      <w:r>
        <w:rPr>
          <w:rFonts w:ascii="仿宋_GB2312" w:eastAsia="仿宋_GB2312" w:hAnsi="仿宋_GB2312" w:cs="仿宋_GB2312" w:hint="eastAsia"/>
          <w:sz w:val="32"/>
          <w:szCs w:val="32"/>
        </w:rPr>
        <w:t>；住房保障支出</w:t>
      </w:r>
      <w:r>
        <w:rPr>
          <w:rFonts w:ascii="仿宋_GB2312" w:eastAsia="仿宋_GB2312" w:hAnsi="仿宋_GB2312" w:cs="仿宋_GB2312"/>
          <w:sz w:val="32"/>
          <w:szCs w:val="32"/>
        </w:rPr>
        <w:t>501.55</w:t>
      </w:r>
      <w:r>
        <w:rPr>
          <w:rFonts w:ascii="仿宋_GB2312" w:eastAsia="仿宋_GB2312" w:hAnsi="仿宋_GB2312" w:cs="仿宋_GB2312" w:hint="eastAsia"/>
          <w:sz w:val="32"/>
          <w:szCs w:val="32"/>
        </w:rPr>
        <w:t>万元，占预算</w:t>
      </w:r>
      <w:r>
        <w:rPr>
          <w:rFonts w:ascii="仿宋_GB2312" w:eastAsia="仿宋_GB2312" w:hAnsi="仿宋_GB2312" w:cs="仿宋_GB2312"/>
          <w:sz w:val="32"/>
          <w:szCs w:val="32"/>
        </w:rPr>
        <w:t>2.90%</w:t>
      </w:r>
      <w:r>
        <w:rPr>
          <w:rFonts w:ascii="仿宋_GB2312" w:eastAsia="仿宋_GB2312" w:hAnsi="仿宋_GB2312" w:cs="仿宋_GB2312" w:hint="eastAsia"/>
          <w:sz w:val="32"/>
          <w:szCs w:val="32"/>
        </w:rPr>
        <w:t>。</w:t>
      </w:r>
      <w:bookmarkStart w:id="17" w:name="_Toc64945731"/>
    </w:p>
    <w:p w:rsidR="00376C6A" w:rsidRDefault="00704888">
      <w:pPr>
        <w:pStyle w:val="3"/>
        <w:spacing w:before="0" w:after="0" w:line="560" w:lineRule="exact"/>
        <w:ind w:firstLineChars="200" w:firstLine="640"/>
        <w:jc w:val="left"/>
        <w:rPr>
          <w:rFonts w:ascii="楷体_GB2312" w:eastAsia="楷体_GB2312" w:hAnsi="楷体_GB2312" w:cs="楷体_GB2312"/>
          <w:b w:val="0"/>
          <w:bCs w:val="0"/>
          <w:color w:val="000000" w:themeColor="text1"/>
        </w:rPr>
      </w:pPr>
      <w:bookmarkStart w:id="18" w:name="_Toc64949158"/>
      <w:r>
        <w:rPr>
          <w:rFonts w:ascii="楷体_GB2312" w:eastAsia="楷体_GB2312" w:hAnsi="楷体_GB2312" w:cs="楷体_GB2312" w:hint="eastAsia"/>
          <w:b w:val="0"/>
          <w:bCs w:val="0"/>
          <w:color w:val="000000" w:themeColor="text1"/>
        </w:rPr>
        <w:t>（三）一般公共预算当年拨款具体使用情况</w:t>
      </w:r>
      <w:bookmarkEnd w:id="17"/>
      <w:bookmarkEnd w:id="18"/>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1.教育支出（类）职业教育（款）高等职业教育（项）</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4</w:t>
      </w:r>
      <w:r>
        <w:rPr>
          <w:rFonts w:ascii="仿宋_GB2312" w:eastAsia="仿宋_GB2312" w:hAnsi="仿宋_GB2312" w:cs="仿宋_GB2312"/>
          <w:sz w:val="32"/>
          <w:szCs w:val="32"/>
        </w:rPr>
        <w:t>年</w:t>
      </w:r>
      <w:r>
        <w:rPr>
          <w:rFonts w:ascii="仿宋_GB2312" w:eastAsia="仿宋_GB2312" w:hAnsi="仿宋_GB2312" w:cs="仿宋_GB2312" w:hint="eastAsia"/>
          <w:sz w:val="32"/>
          <w:szCs w:val="32"/>
        </w:rPr>
        <w:t>预算数为</w:t>
      </w:r>
      <w:r>
        <w:rPr>
          <w:rFonts w:ascii="仿宋_GB2312" w:eastAsia="仿宋_GB2312" w:hAnsi="仿宋_GB2312" w:cs="仿宋_GB2312"/>
          <w:sz w:val="32"/>
          <w:szCs w:val="32"/>
        </w:rPr>
        <w:t>15,492.54</w:t>
      </w:r>
      <w:r>
        <w:rPr>
          <w:rFonts w:ascii="仿宋_GB2312" w:eastAsia="仿宋_GB2312" w:hAnsi="仿宋_GB2312" w:cs="仿宋_GB2312" w:hint="eastAsia"/>
          <w:sz w:val="32"/>
          <w:szCs w:val="32"/>
        </w:rPr>
        <w:t>万元，比上年减少538.97万元。主要是本年高等职业项目减少，结转结余项目减少。</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2.教育支出（类）职业教育（款）中等职业教育（项）</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4</w:t>
      </w:r>
      <w:r>
        <w:rPr>
          <w:rFonts w:ascii="仿宋_GB2312" w:eastAsia="仿宋_GB2312" w:hAnsi="仿宋_GB2312" w:cs="仿宋_GB2312"/>
          <w:sz w:val="32"/>
          <w:szCs w:val="32"/>
        </w:rPr>
        <w:t>年</w:t>
      </w:r>
      <w:r>
        <w:rPr>
          <w:rFonts w:ascii="仿宋_GB2312" w:eastAsia="仿宋_GB2312" w:hAnsi="仿宋_GB2312" w:cs="仿宋_GB2312" w:hint="eastAsia"/>
          <w:sz w:val="32"/>
          <w:szCs w:val="32"/>
        </w:rPr>
        <w:t>预算数为</w:t>
      </w:r>
      <w:r>
        <w:rPr>
          <w:rFonts w:ascii="仿宋_GB2312" w:eastAsia="仿宋_GB2312" w:hAnsi="仿宋_GB2312" w:cs="仿宋_GB2312"/>
          <w:sz w:val="32"/>
          <w:szCs w:val="32"/>
        </w:rPr>
        <w:t>37.63</w:t>
      </w:r>
      <w:r>
        <w:rPr>
          <w:rFonts w:ascii="仿宋_GB2312" w:eastAsia="仿宋_GB2312" w:hAnsi="仿宋_GB2312" w:cs="仿宋_GB2312" w:hint="eastAsia"/>
          <w:sz w:val="32"/>
          <w:szCs w:val="32"/>
        </w:rPr>
        <w:t>万元，比上年减少</w:t>
      </w:r>
      <w:r>
        <w:rPr>
          <w:rFonts w:ascii="仿宋_GB2312" w:eastAsia="仿宋_GB2312" w:hAnsi="仿宋_GB2312" w:cs="仿宋_GB2312"/>
          <w:sz w:val="32"/>
          <w:szCs w:val="32"/>
        </w:rPr>
        <w:t>205.72</w:t>
      </w:r>
      <w:r>
        <w:rPr>
          <w:rFonts w:ascii="仿宋_GB2312" w:eastAsia="仿宋_GB2312" w:hAnsi="仿宋_GB2312" w:cs="仿宋_GB2312" w:hint="eastAsia"/>
          <w:sz w:val="32"/>
          <w:szCs w:val="32"/>
        </w:rPr>
        <w:t>万元。主要是中职学生人数减少。</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3.教育支出（类）留学教育（款）来华留学教育（项）</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4</w:t>
      </w:r>
      <w:r>
        <w:rPr>
          <w:rFonts w:ascii="仿宋_GB2312" w:eastAsia="仿宋_GB2312" w:hAnsi="仿宋_GB2312" w:cs="仿宋_GB2312"/>
          <w:sz w:val="32"/>
          <w:szCs w:val="32"/>
        </w:rPr>
        <w:t>年</w:t>
      </w:r>
      <w:r>
        <w:rPr>
          <w:rFonts w:ascii="仿宋_GB2312" w:eastAsia="仿宋_GB2312" w:hAnsi="仿宋_GB2312" w:cs="仿宋_GB2312" w:hint="eastAsia"/>
          <w:sz w:val="32"/>
          <w:szCs w:val="32"/>
        </w:rPr>
        <w:t>预算数为</w:t>
      </w:r>
      <w:r>
        <w:rPr>
          <w:rFonts w:ascii="仿宋_GB2312" w:eastAsia="仿宋_GB2312" w:hAnsi="仿宋_GB2312" w:cs="仿宋_GB2312"/>
          <w:sz w:val="32"/>
          <w:szCs w:val="32"/>
        </w:rPr>
        <w:t>7.2</w:t>
      </w:r>
      <w:r>
        <w:rPr>
          <w:rFonts w:ascii="仿宋_GB2312" w:eastAsia="仿宋_GB2312" w:hAnsi="仿宋_GB2312" w:cs="仿宋_GB2312" w:hint="eastAsia"/>
          <w:sz w:val="32"/>
          <w:szCs w:val="32"/>
        </w:rPr>
        <w:t>万元，比上年增加7.2万元。主要是新增来琼留学生奖助学金。</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4.科学技术支出（类）基础研究（款）自然科学基金（项）2024年预算数为</w:t>
      </w:r>
      <w:r>
        <w:rPr>
          <w:rFonts w:ascii="仿宋_GB2312" w:eastAsia="仿宋_GB2312" w:hAnsi="仿宋_GB2312" w:cs="仿宋_GB2312"/>
          <w:sz w:val="32"/>
          <w:szCs w:val="32"/>
        </w:rPr>
        <w:t>51.59</w:t>
      </w:r>
      <w:r>
        <w:rPr>
          <w:rFonts w:ascii="仿宋_GB2312" w:eastAsia="仿宋_GB2312" w:hAnsi="仿宋_GB2312" w:cs="仿宋_GB2312" w:hint="eastAsia"/>
          <w:sz w:val="32"/>
          <w:szCs w:val="32"/>
        </w:rPr>
        <w:t>万元，比上年减少</w:t>
      </w:r>
      <w:r>
        <w:rPr>
          <w:rFonts w:ascii="仿宋_GB2312" w:eastAsia="仿宋_GB2312" w:hAnsi="仿宋_GB2312" w:cs="仿宋_GB2312"/>
          <w:sz w:val="32"/>
          <w:szCs w:val="32"/>
        </w:rPr>
        <w:t>10.60</w:t>
      </w:r>
      <w:r>
        <w:rPr>
          <w:rFonts w:ascii="仿宋_GB2312" w:eastAsia="仿宋_GB2312" w:hAnsi="仿宋_GB2312" w:cs="仿宋_GB2312" w:hint="eastAsia"/>
          <w:sz w:val="32"/>
          <w:szCs w:val="32"/>
        </w:rPr>
        <w:t>万元。主要是自然科学基金项目减少。</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5.科学技术支出（类）应用研究（款）社会公益研究（项）2024年预算数为</w:t>
      </w:r>
      <w:r>
        <w:rPr>
          <w:rFonts w:ascii="仿宋_GB2312" w:eastAsia="仿宋_GB2312" w:hAnsi="仿宋_GB2312" w:cs="仿宋_GB2312"/>
          <w:sz w:val="32"/>
          <w:szCs w:val="32"/>
        </w:rPr>
        <w:t>5.46</w:t>
      </w:r>
      <w:r>
        <w:rPr>
          <w:rFonts w:ascii="仿宋_GB2312" w:eastAsia="仿宋_GB2312" w:hAnsi="仿宋_GB2312" w:cs="仿宋_GB2312" w:hint="eastAsia"/>
          <w:sz w:val="32"/>
          <w:szCs w:val="32"/>
        </w:rPr>
        <w:t>万元，比上年减少</w:t>
      </w:r>
      <w:r>
        <w:rPr>
          <w:rFonts w:ascii="仿宋_GB2312" w:eastAsia="仿宋_GB2312" w:hAnsi="仿宋_GB2312" w:cs="仿宋_GB2312"/>
          <w:sz w:val="32"/>
          <w:szCs w:val="32"/>
        </w:rPr>
        <w:t>1.47</w:t>
      </w:r>
      <w:r>
        <w:rPr>
          <w:rFonts w:ascii="仿宋_GB2312" w:eastAsia="仿宋_GB2312" w:hAnsi="仿宋_GB2312" w:cs="仿宋_GB2312" w:hint="eastAsia"/>
          <w:sz w:val="32"/>
          <w:szCs w:val="32"/>
        </w:rPr>
        <w:t>万元。主要是社会公益研究项目减少。</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 科学技术支出（类）科学技术普及（款）科普活动（项）2024年预算数为</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万元，比上年增加8万元。主要是本年新增科普活动项目。</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7.科学技术支出（类）科技重大项目（款）重点研发计划（项）2024年预算数为10万元，与上年持平。</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8.社会保障和就业支出（类）行政事业单位养老支出（款）</w:t>
      </w:r>
      <w:r>
        <w:rPr>
          <w:rFonts w:ascii="仿宋_GB2312" w:eastAsia="仿宋_GB2312" w:hAnsi="仿宋_GB2312" w:cs="仿宋_GB2312" w:hint="eastAsia"/>
          <w:sz w:val="32"/>
          <w:szCs w:val="32"/>
        </w:rPr>
        <w:lastRenderedPageBreak/>
        <w:t>机关事业单位基本养老保险缴费支出（项）2024年预算数为</w:t>
      </w:r>
      <w:r>
        <w:rPr>
          <w:rFonts w:ascii="仿宋_GB2312" w:eastAsia="仿宋_GB2312" w:hAnsi="仿宋_GB2312" w:cs="仿宋_GB2312"/>
          <w:sz w:val="32"/>
          <w:szCs w:val="32"/>
        </w:rPr>
        <w:t>601.71</w:t>
      </w:r>
      <w:r>
        <w:rPr>
          <w:rFonts w:ascii="仿宋_GB2312" w:eastAsia="仿宋_GB2312" w:hAnsi="仿宋_GB2312" w:cs="仿宋_GB2312" w:hint="eastAsia"/>
          <w:sz w:val="32"/>
          <w:szCs w:val="32"/>
        </w:rPr>
        <w:t>万元，比上年增加</w:t>
      </w:r>
      <w:r>
        <w:rPr>
          <w:rFonts w:ascii="仿宋_GB2312" w:eastAsia="仿宋_GB2312" w:hAnsi="仿宋_GB2312" w:cs="仿宋_GB2312"/>
          <w:sz w:val="32"/>
          <w:szCs w:val="32"/>
        </w:rPr>
        <w:t>57.95</w:t>
      </w:r>
      <w:r>
        <w:rPr>
          <w:rFonts w:ascii="仿宋_GB2312" w:eastAsia="仿宋_GB2312" w:hAnsi="仿宋_GB2312" w:cs="仿宋_GB2312" w:hint="eastAsia"/>
          <w:sz w:val="32"/>
          <w:szCs w:val="32"/>
        </w:rPr>
        <w:t>万元。主要是新增人员影响。</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9.社会保障和就业支出（类）行政事业单位养老支出（款）机关事业单位职业年金缴费支出（项）2024年预算数为</w:t>
      </w:r>
      <w:r>
        <w:rPr>
          <w:rFonts w:ascii="仿宋_GB2312" w:eastAsia="仿宋_GB2312" w:hAnsi="仿宋_GB2312" w:cs="仿宋_GB2312"/>
          <w:sz w:val="32"/>
          <w:szCs w:val="32"/>
        </w:rPr>
        <w:t>300.85</w:t>
      </w:r>
      <w:r>
        <w:rPr>
          <w:rFonts w:ascii="仿宋_GB2312" w:eastAsia="仿宋_GB2312" w:hAnsi="仿宋_GB2312" w:cs="仿宋_GB2312" w:hint="eastAsia"/>
          <w:sz w:val="32"/>
          <w:szCs w:val="32"/>
        </w:rPr>
        <w:t>万元，比上年增加</w:t>
      </w:r>
      <w:r>
        <w:rPr>
          <w:rFonts w:ascii="仿宋_GB2312" w:eastAsia="仿宋_GB2312" w:hAnsi="仿宋_GB2312" w:cs="仿宋_GB2312"/>
          <w:sz w:val="32"/>
          <w:szCs w:val="32"/>
        </w:rPr>
        <w:t>28.97</w:t>
      </w:r>
      <w:r>
        <w:rPr>
          <w:rFonts w:ascii="仿宋_GB2312" w:eastAsia="仿宋_GB2312" w:hAnsi="仿宋_GB2312" w:cs="仿宋_GB2312" w:hint="eastAsia"/>
          <w:sz w:val="32"/>
          <w:szCs w:val="32"/>
        </w:rPr>
        <w:t>万元，主要是新增人员影响。</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10.社会保障和就业支出（类）社会保障和就业支出（类）抚恤（款）其他优抚支出（项）2024年预算数为4万元，与上年持平。</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11.卫生健康支出（类）行政事业单位医疗（款）事业单位医疗（项）</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4</w:t>
      </w:r>
      <w:r>
        <w:rPr>
          <w:rFonts w:ascii="仿宋_GB2312" w:eastAsia="仿宋_GB2312" w:hAnsi="仿宋_GB2312" w:cs="仿宋_GB2312"/>
          <w:sz w:val="32"/>
          <w:szCs w:val="32"/>
        </w:rPr>
        <w:t>年</w:t>
      </w:r>
      <w:r>
        <w:rPr>
          <w:rFonts w:ascii="仿宋_GB2312" w:eastAsia="仿宋_GB2312" w:hAnsi="仿宋_GB2312" w:cs="仿宋_GB2312" w:hint="eastAsia"/>
          <w:sz w:val="32"/>
          <w:szCs w:val="32"/>
        </w:rPr>
        <w:t>预算数为</w:t>
      </w:r>
      <w:r>
        <w:rPr>
          <w:rFonts w:ascii="仿宋_GB2312" w:eastAsia="仿宋_GB2312" w:hAnsi="仿宋_GB2312" w:cs="仿宋_GB2312"/>
          <w:sz w:val="32"/>
          <w:szCs w:val="32"/>
        </w:rPr>
        <w:t>284.45</w:t>
      </w:r>
      <w:r>
        <w:rPr>
          <w:rFonts w:ascii="仿宋_GB2312" w:eastAsia="仿宋_GB2312" w:hAnsi="仿宋_GB2312" w:cs="仿宋_GB2312" w:hint="eastAsia"/>
          <w:sz w:val="32"/>
          <w:szCs w:val="32"/>
        </w:rPr>
        <w:t>万元，比上年增加</w:t>
      </w:r>
      <w:r>
        <w:rPr>
          <w:rFonts w:ascii="仿宋_GB2312" w:eastAsia="仿宋_GB2312" w:hAnsi="仿宋_GB2312" w:cs="仿宋_GB2312"/>
          <w:sz w:val="32"/>
          <w:szCs w:val="32"/>
        </w:rPr>
        <w:t>30.78</w:t>
      </w:r>
      <w:r>
        <w:rPr>
          <w:rFonts w:ascii="仿宋_GB2312" w:eastAsia="仿宋_GB2312" w:hAnsi="仿宋_GB2312" w:cs="仿宋_GB2312" w:hint="eastAsia"/>
          <w:sz w:val="32"/>
          <w:szCs w:val="32"/>
        </w:rPr>
        <w:t>万元。主要是新增人员影响。</w:t>
      </w:r>
    </w:p>
    <w:p w:rsidR="00376C6A" w:rsidRDefault="00704888">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12.住房保障支出（类）住房改革支出（款）住房公积金（项）</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4</w:t>
      </w:r>
      <w:r>
        <w:rPr>
          <w:rFonts w:ascii="仿宋_GB2312" w:eastAsia="仿宋_GB2312" w:hAnsi="仿宋_GB2312" w:cs="仿宋_GB2312"/>
          <w:sz w:val="32"/>
          <w:szCs w:val="32"/>
        </w:rPr>
        <w:t>年</w:t>
      </w:r>
      <w:r>
        <w:rPr>
          <w:rFonts w:ascii="仿宋_GB2312" w:eastAsia="仿宋_GB2312" w:hAnsi="仿宋_GB2312" w:cs="仿宋_GB2312" w:hint="eastAsia"/>
          <w:sz w:val="32"/>
          <w:szCs w:val="32"/>
        </w:rPr>
        <w:t>预算数为</w:t>
      </w:r>
      <w:r>
        <w:rPr>
          <w:rFonts w:ascii="仿宋_GB2312" w:eastAsia="仿宋_GB2312" w:hAnsi="仿宋_GB2312" w:cs="仿宋_GB2312"/>
          <w:sz w:val="32"/>
          <w:szCs w:val="32"/>
        </w:rPr>
        <w:t>501.55</w:t>
      </w:r>
      <w:r>
        <w:rPr>
          <w:rFonts w:ascii="仿宋_GB2312" w:eastAsia="仿宋_GB2312" w:hAnsi="仿宋_GB2312" w:cs="仿宋_GB2312" w:hint="eastAsia"/>
          <w:sz w:val="32"/>
          <w:szCs w:val="32"/>
        </w:rPr>
        <w:t>万元，比上年增加</w:t>
      </w:r>
      <w:r>
        <w:rPr>
          <w:rFonts w:ascii="仿宋_GB2312" w:eastAsia="仿宋_GB2312" w:hAnsi="仿宋_GB2312" w:cs="仿宋_GB2312"/>
          <w:sz w:val="32"/>
          <w:szCs w:val="32"/>
        </w:rPr>
        <w:t>53.22</w:t>
      </w:r>
      <w:r>
        <w:rPr>
          <w:rFonts w:ascii="仿宋_GB2312" w:eastAsia="仿宋_GB2312" w:hAnsi="仿宋_GB2312" w:cs="仿宋_GB2312" w:hint="eastAsia"/>
          <w:sz w:val="32"/>
          <w:szCs w:val="32"/>
        </w:rPr>
        <w:t>万元。主要是新增人员影响。</w:t>
      </w:r>
    </w:p>
    <w:p w:rsidR="00376C6A" w:rsidRDefault="00704888">
      <w:pPr>
        <w:pStyle w:val="2"/>
        <w:spacing w:before="0" w:after="0" w:line="540" w:lineRule="exact"/>
        <w:ind w:firstLineChars="200" w:firstLine="640"/>
        <w:jc w:val="left"/>
        <w:rPr>
          <w:rFonts w:ascii="黑体" w:eastAsia="黑体" w:hAnsi="黑体"/>
          <w:b w:val="0"/>
        </w:rPr>
      </w:pPr>
      <w:bookmarkStart w:id="19" w:name="_Toc64945732"/>
      <w:bookmarkStart w:id="20" w:name="_Toc64949159"/>
      <w:r>
        <w:rPr>
          <w:rFonts w:ascii="黑体" w:eastAsia="黑体" w:hAnsi="黑体" w:hint="eastAsia"/>
          <w:b w:val="0"/>
        </w:rPr>
        <w:t>三、关于海南软件职业技术学院单位2024年一般公共预算基本支出情况说明</w:t>
      </w:r>
      <w:bookmarkEnd w:id="19"/>
      <w:bookmarkEnd w:id="20"/>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海南软件职业技术学院单位2024年一般公共预算基本支出为</w:t>
      </w:r>
      <w:r>
        <w:rPr>
          <w:rFonts w:ascii="仿宋_GB2312" w:eastAsia="仿宋_GB2312" w:hAnsi="仿宋_GB2312" w:cs="仿宋_GB2312"/>
          <w:sz w:val="32"/>
          <w:szCs w:val="32"/>
        </w:rPr>
        <w:t>8,402.74</w:t>
      </w:r>
      <w:r>
        <w:rPr>
          <w:rFonts w:ascii="仿宋_GB2312" w:eastAsia="仿宋_GB2312" w:hAnsi="仿宋_GB2312" w:cs="仿宋_GB2312" w:hint="eastAsia"/>
          <w:sz w:val="32"/>
          <w:szCs w:val="32"/>
        </w:rPr>
        <w:t>万元，其中：</w:t>
      </w:r>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人员经费</w:t>
      </w:r>
      <w:r>
        <w:rPr>
          <w:rFonts w:ascii="仿宋_GB2312" w:eastAsia="仿宋_GB2312" w:hAnsi="仿宋_GB2312" w:cs="仿宋_GB2312"/>
          <w:sz w:val="32"/>
          <w:szCs w:val="32"/>
        </w:rPr>
        <w:t>6,949.97</w:t>
      </w:r>
      <w:r>
        <w:rPr>
          <w:rFonts w:ascii="仿宋_GB2312" w:eastAsia="仿宋_GB2312" w:hAnsi="仿宋_GB2312" w:cs="仿宋_GB2312" w:hint="eastAsia"/>
          <w:sz w:val="32"/>
          <w:szCs w:val="32"/>
        </w:rPr>
        <w:t>万元，主要包括：基本工资、津贴补贴、绩效工资、机关事业单位基本养老保险缴费、职业年金缴费、职工基本医疗保险缴费、其他社会保障缴费（失业与工伤保险）、住房公积金、医疗费、其他工资福利支出（</w:t>
      </w:r>
      <w:proofErr w:type="gramStart"/>
      <w:r>
        <w:rPr>
          <w:rFonts w:ascii="仿宋_GB2312" w:eastAsia="仿宋_GB2312" w:hAnsi="仿宋_GB2312" w:cs="仿宋_GB2312" w:hint="eastAsia"/>
          <w:sz w:val="32"/>
          <w:szCs w:val="32"/>
        </w:rPr>
        <w:t>长聘人员</w:t>
      </w:r>
      <w:proofErr w:type="gramEnd"/>
      <w:r>
        <w:rPr>
          <w:rFonts w:ascii="仿宋_GB2312" w:eastAsia="仿宋_GB2312" w:hAnsi="仿宋_GB2312" w:cs="仿宋_GB2312" w:hint="eastAsia"/>
          <w:sz w:val="32"/>
          <w:szCs w:val="32"/>
        </w:rPr>
        <w:t>工资福利）、离休费、退休费、生活补助、奖励金等。</w:t>
      </w:r>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公用经费</w:t>
      </w:r>
      <w:r>
        <w:rPr>
          <w:rFonts w:ascii="仿宋_GB2312" w:eastAsia="仿宋_GB2312" w:hAnsi="仿宋_GB2312" w:cs="仿宋_GB2312"/>
          <w:sz w:val="32"/>
          <w:szCs w:val="32"/>
        </w:rPr>
        <w:t>1,452.77</w:t>
      </w:r>
      <w:r>
        <w:rPr>
          <w:rFonts w:ascii="仿宋_GB2312" w:eastAsia="仿宋_GB2312" w:hAnsi="仿宋_GB2312" w:cs="仿宋_GB2312" w:hint="eastAsia"/>
          <w:sz w:val="32"/>
          <w:szCs w:val="32"/>
        </w:rPr>
        <w:t>万元，主要包括：办公费、印刷费、咨询费、水费、电费、邮电费、差旅费、因公出国（境）费</w:t>
      </w:r>
      <w:r>
        <w:rPr>
          <w:rFonts w:ascii="仿宋_GB2312" w:eastAsia="仿宋_GB2312" w:hAnsi="仿宋_GB2312" w:cs="仿宋_GB2312" w:hint="eastAsia"/>
          <w:sz w:val="32"/>
          <w:szCs w:val="32"/>
        </w:rPr>
        <w:lastRenderedPageBreak/>
        <w:t>用、维修(护)费、租赁费、会议费、培训费、公务接待费、专用材料费、劳务费、工会经费、公务用车运行维护费、其他商品和服务支出、其他社会保障缴费（残疾人保障金）等。</w:t>
      </w:r>
      <w:bookmarkStart w:id="21" w:name="_Toc64945733"/>
      <w:bookmarkStart w:id="22" w:name="_Toc64949160"/>
    </w:p>
    <w:p w:rsidR="00376C6A" w:rsidRDefault="00704888">
      <w:pPr>
        <w:pStyle w:val="2"/>
        <w:spacing w:before="0" w:after="0" w:line="540" w:lineRule="exact"/>
        <w:ind w:firstLineChars="200" w:firstLine="640"/>
        <w:jc w:val="left"/>
        <w:rPr>
          <w:rFonts w:ascii="黑体" w:eastAsia="黑体" w:hAnsi="黑体" w:cs="Times New Roman"/>
          <w:b w:val="0"/>
          <w:shd w:val="clear" w:color="auto" w:fill="FFFFFF"/>
        </w:rPr>
      </w:pPr>
      <w:r>
        <w:rPr>
          <w:rFonts w:ascii="黑体" w:eastAsia="黑体" w:hAnsi="黑体" w:cs="Times New Roman" w:hint="eastAsia"/>
          <w:b w:val="0"/>
          <w:shd w:val="clear" w:color="auto" w:fill="FFFFFF"/>
        </w:rPr>
        <w:t>四、海南软件职业技术学院单位2024年</w:t>
      </w:r>
      <w:r>
        <w:rPr>
          <w:rFonts w:ascii="黑体" w:eastAsia="黑体" w:hAnsi="黑体" w:cs="Times New Roman"/>
          <w:b w:val="0"/>
          <w:shd w:val="clear" w:color="auto" w:fill="FFFFFF"/>
        </w:rPr>
        <w:t>“三公”经费预算情况</w:t>
      </w:r>
      <w:r>
        <w:rPr>
          <w:rFonts w:ascii="黑体" w:eastAsia="黑体" w:hAnsi="黑体" w:cs="Times New Roman" w:hint="eastAsia"/>
          <w:b w:val="0"/>
          <w:shd w:val="clear" w:color="auto" w:fill="FFFFFF"/>
        </w:rPr>
        <w:t>说明</w:t>
      </w:r>
      <w:bookmarkEnd w:id="21"/>
      <w:bookmarkEnd w:id="22"/>
    </w:p>
    <w:p w:rsidR="00376C6A" w:rsidRDefault="00704888">
      <w:pPr>
        <w:adjustRightInd w:val="0"/>
        <w:snapToGrid w:val="0"/>
        <w:spacing w:line="540" w:lineRule="exact"/>
        <w:ind w:firstLineChars="200" w:firstLine="420"/>
        <w:rPr>
          <w:rFonts w:ascii="仿宋_GB2312" w:eastAsia="仿宋_GB2312" w:hAnsi="仿宋_GB2312" w:cs="仿宋_GB2312"/>
          <w:sz w:val="32"/>
          <w:szCs w:val="32"/>
        </w:rPr>
      </w:pPr>
      <w:r>
        <w:rPr>
          <w:rFonts w:hint="eastAsia"/>
        </w:rPr>
        <w:t xml:space="preserve"> </w:t>
      </w:r>
      <w:r>
        <w:t xml:space="preserve">   </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024</w:t>
      </w:r>
      <w:r>
        <w:rPr>
          <w:rFonts w:ascii="仿宋_GB2312" w:eastAsia="仿宋_GB2312" w:hAnsi="仿宋_GB2312" w:cs="仿宋_GB2312" w:hint="eastAsia"/>
          <w:sz w:val="32"/>
          <w:szCs w:val="32"/>
        </w:rPr>
        <w:t>年“三公”经费预算总额为7</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万元，其中：一般公共预算安排“三公”经费3</w:t>
      </w:r>
      <w:r>
        <w:rPr>
          <w:rFonts w:ascii="仿宋_GB2312" w:eastAsia="仿宋_GB2312" w:hAnsi="仿宋_GB2312" w:cs="仿宋_GB2312"/>
          <w:sz w:val="32"/>
          <w:szCs w:val="32"/>
        </w:rPr>
        <w:t>5.20</w:t>
      </w:r>
      <w:r>
        <w:rPr>
          <w:rFonts w:ascii="仿宋_GB2312" w:eastAsia="仿宋_GB2312" w:hAnsi="仿宋_GB2312" w:cs="仿宋_GB2312" w:hint="eastAsia"/>
          <w:sz w:val="32"/>
          <w:szCs w:val="32"/>
        </w:rPr>
        <w:t>万元、财政专户管理资金安排“三公”经费3</w:t>
      </w:r>
      <w:r>
        <w:rPr>
          <w:rFonts w:ascii="仿宋_GB2312" w:eastAsia="仿宋_GB2312" w:hAnsi="仿宋_GB2312" w:cs="仿宋_GB2312"/>
          <w:sz w:val="32"/>
          <w:szCs w:val="32"/>
        </w:rPr>
        <w:t>9</w:t>
      </w:r>
      <w:r>
        <w:rPr>
          <w:rFonts w:ascii="仿宋_GB2312" w:eastAsia="仿宋_GB2312" w:hAnsi="仿宋_GB2312" w:cs="仿宋_GB2312" w:hint="eastAsia"/>
          <w:sz w:val="32"/>
          <w:szCs w:val="32"/>
        </w:rPr>
        <w:t>万元。具体如下：</w:t>
      </w:r>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（一）海南软件职业技术学院单位2024年一般公共预算“三公”经费预算数为35</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万元，其中：</w:t>
      </w:r>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因公出国（境）经费15万元，较上年预算增长100%，增长主要原因：2023年我校未开展出国境项目，2024年已向省外事办申报出国（境）计划，预算总支出3</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万元（其中一般公共预算安排1</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万元）。出国（境）计划团组：1.出访俄罗斯计划团组：天数5天，人数6人。主要任务:出访俄罗斯卡尔梅克国立大学，研究俄罗斯语言中心具体项目开展规划及推进措施，了解俄罗斯来华留学政策，洽谈招收俄罗斯来华留学生招生事宜；洽谈双方校</w:t>
      </w:r>
      <w:proofErr w:type="gramStart"/>
      <w:r>
        <w:rPr>
          <w:rFonts w:ascii="仿宋_GB2312" w:eastAsia="仿宋_GB2312" w:hAnsi="仿宋_GB2312" w:cs="仿宋_GB2312" w:hint="eastAsia"/>
          <w:sz w:val="32"/>
          <w:szCs w:val="32"/>
        </w:rPr>
        <w:t>校</w:t>
      </w:r>
      <w:proofErr w:type="gramEnd"/>
      <w:r>
        <w:rPr>
          <w:rFonts w:ascii="仿宋_GB2312" w:eastAsia="仿宋_GB2312" w:hAnsi="仿宋_GB2312" w:cs="仿宋_GB2312" w:hint="eastAsia"/>
          <w:sz w:val="32"/>
          <w:szCs w:val="32"/>
        </w:rPr>
        <w:t>合作战略合作事宜等；2.出访马来西亚、泰国计划团组：天数8天，人数6人。主要任务：赴马来西亚理工大学、马来西亚沙巴大学、马来西亚思特雅大学、泰国东南亚大学等四所高校访问交流，洽谈合作，学习几所院校在国际交流方面的经验，推动学校与东盟及一带</w:t>
      </w:r>
      <w:proofErr w:type="gramStart"/>
      <w:r>
        <w:rPr>
          <w:rFonts w:ascii="仿宋_GB2312" w:eastAsia="仿宋_GB2312" w:hAnsi="仿宋_GB2312" w:cs="仿宋_GB2312" w:hint="eastAsia"/>
          <w:sz w:val="32"/>
          <w:szCs w:val="32"/>
        </w:rPr>
        <w:t>一路国家</w:t>
      </w:r>
      <w:proofErr w:type="gramEnd"/>
      <w:r>
        <w:rPr>
          <w:rFonts w:ascii="仿宋_GB2312" w:eastAsia="仿宋_GB2312" w:hAnsi="仿宋_GB2312" w:cs="仿宋_GB2312" w:hint="eastAsia"/>
          <w:sz w:val="32"/>
          <w:szCs w:val="32"/>
        </w:rPr>
        <w:t>校际与校企合作等事宜。</w:t>
      </w:r>
      <w:r>
        <w:rPr>
          <w:rFonts w:ascii="仿宋_GB2312" w:eastAsia="仿宋_GB2312" w:hAnsi="仿宋_GB2312" w:cs="仿宋_GB2312"/>
          <w:sz w:val="32"/>
          <w:szCs w:val="32"/>
        </w:rPr>
        <w:t>公务用车购置及运行费12.20</w:t>
      </w:r>
      <w:r>
        <w:rPr>
          <w:rFonts w:ascii="仿宋_GB2312" w:eastAsia="仿宋_GB2312" w:hAnsi="仿宋_GB2312" w:cs="仿宋_GB2312" w:hint="eastAsia"/>
          <w:sz w:val="32"/>
          <w:szCs w:val="32"/>
        </w:rPr>
        <w:t>万元，其中：</w:t>
      </w:r>
      <w:r>
        <w:rPr>
          <w:rFonts w:ascii="仿宋_GB2312" w:eastAsia="仿宋_GB2312" w:hAnsi="仿宋_GB2312" w:cs="仿宋_GB2312"/>
          <w:sz w:val="32"/>
          <w:szCs w:val="32"/>
        </w:rPr>
        <w:t>公务用车购置</w:t>
      </w:r>
      <w:r>
        <w:rPr>
          <w:rFonts w:ascii="仿宋_GB2312" w:eastAsia="仿宋_GB2312" w:hAnsi="仿宋_GB2312" w:cs="仿宋_GB2312" w:hint="eastAsia"/>
          <w:sz w:val="32"/>
          <w:szCs w:val="32"/>
        </w:rPr>
        <w:t>费0万元、公务用车</w:t>
      </w:r>
      <w:r>
        <w:rPr>
          <w:rFonts w:ascii="仿宋_GB2312" w:eastAsia="仿宋_GB2312" w:hAnsi="仿宋_GB2312" w:cs="仿宋_GB2312"/>
          <w:sz w:val="32"/>
          <w:szCs w:val="32"/>
        </w:rPr>
        <w:t>运行费</w:t>
      </w:r>
      <w:r>
        <w:rPr>
          <w:rFonts w:ascii="仿宋_GB2312" w:eastAsia="仿宋_GB2312" w:hAnsi="仿宋_GB2312" w:cs="仿宋_GB2312" w:hint="eastAsia"/>
          <w:sz w:val="32"/>
          <w:szCs w:val="32"/>
        </w:rPr>
        <w:t>12.20万元</w:t>
      </w:r>
      <w:r>
        <w:rPr>
          <w:rFonts w:ascii="仿宋_GB2312" w:eastAsia="仿宋_GB2312" w:hAnsi="仿宋_GB2312" w:cs="仿宋_GB2312"/>
          <w:sz w:val="32"/>
          <w:szCs w:val="32"/>
        </w:rPr>
        <w:t>，与</w:t>
      </w:r>
      <w:r>
        <w:rPr>
          <w:rFonts w:ascii="仿宋_GB2312" w:eastAsia="仿宋_GB2312" w:hAnsi="仿宋_GB2312" w:cs="仿宋_GB2312" w:hint="eastAsia"/>
          <w:sz w:val="32"/>
          <w:szCs w:val="32"/>
        </w:rPr>
        <w:t>上</w:t>
      </w:r>
      <w:r>
        <w:rPr>
          <w:rFonts w:ascii="仿宋_GB2312" w:eastAsia="仿宋_GB2312" w:hAnsi="仿宋_GB2312" w:cs="仿宋_GB2312"/>
          <w:sz w:val="32"/>
          <w:szCs w:val="32"/>
        </w:rPr>
        <w:t>年预算持平</w:t>
      </w:r>
      <w:r>
        <w:rPr>
          <w:rFonts w:ascii="仿宋_GB2312" w:eastAsia="仿宋_GB2312" w:hAnsi="仿宋_GB2312" w:cs="仿宋_GB2312" w:hint="eastAsia"/>
          <w:sz w:val="32"/>
          <w:szCs w:val="32"/>
        </w:rPr>
        <w:t>。公务用车保有量</w:t>
      </w:r>
      <w:r>
        <w:rPr>
          <w:rFonts w:ascii="仿宋_GB2312" w:eastAsia="仿宋_GB2312" w:hAnsi="仿宋_GB2312" w:cs="仿宋_GB2312" w:hint="eastAsia"/>
          <w:sz w:val="32"/>
          <w:szCs w:val="32"/>
        </w:rPr>
        <w:lastRenderedPageBreak/>
        <w:t>共6辆，已报废一辆，计划新购置1辆公务车，拟从财政</w:t>
      </w:r>
      <w:r w:rsidR="00FD74F3">
        <w:rPr>
          <w:rFonts w:ascii="仿宋_GB2312" w:eastAsia="仿宋_GB2312" w:hAnsi="仿宋_GB2312" w:cs="仿宋_GB2312" w:hint="eastAsia"/>
          <w:sz w:val="32"/>
          <w:szCs w:val="32"/>
        </w:rPr>
        <w:t>专户</w:t>
      </w:r>
      <w:r>
        <w:rPr>
          <w:rFonts w:ascii="仿宋_GB2312" w:eastAsia="仿宋_GB2312" w:hAnsi="仿宋_GB2312" w:cs="仿宋_GB2312" w:hint="eastAsia"/>
          <w:sz w:val="32"/>
          <w:szCs w:val="32"/>
        </w:rPr>
        <w:t>管理资金安排车辆购置。公务接待费8万元，</w:t>
      </w:r>
      <w:r>
        <w:rPr>
          <w:rFonts w:ascii="仿宋_GB2312" w:eastAsia="仿宋_GB2312" w:hAnsi="仿宋_GB2312" w:cs="仿宋_GB2312"/>
          <w:sz w:val="32"/>
          <w:szCs w:val="32"/>
        </w:rPr>
        <w:t>与</w:t>
      </w:r>
      <w:r>
        <w:rPr>
          <w:rFonts w:ascii="仿宋_GB2312" w:eastAsia="仿宋_GB2312" w:hAnsi="仿宋_GB2312" w:cs="仿宋_GB2312" w:hint="eastAsia"/>
          <w:sz w:val="32"/>
          <w:szCs w:val="32"/>
        </w:rPr>
        <w:t>上</w:t>
      </w:r>
      <w:r>
        <w:rPr>
          <w:rFonts w:ascii="仿宋_GB2312" w:eastAsia="仿宋_GB2312" w:hAnsi="仿宋_GB2312" w:cs="仿宋_GB2312"/>
          <w:sz w:val="32"/>
          <w:szCs w:val="32"/>
        </w:rPr>
        <w:t>年预算持平。</w:t>
      </w:r>
      <w:r>
        <w:rPr>
          <w:rFonts w:ascii="仿宋_GB2312" w:eastAsia="仿宋_GB2312" w:hAnsi="仿宋_GB2312" w:cs="仿宋_GB2312" w:hint="eastAsia"/>
          <w:sz w:val="32"/>
          <w:szCs w:val="32"/>
        </w:rPr>
        <w:t>本年计划接待60批550人。</w:t>
      </w:r>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（二）海南软件职业技术学院单位2024年政府性基金预算“三公”经费预算数为0万元，其中：</w:t>
      </w:r>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因公出国（境）经费0万元，与上年预算持平。根据安排的2024年出国计划，拟安排出国（境）组0次，出国（境）0人。公务用车购置及运行费0万元（其中，公务用车购置费0万元，公务用车运行费0万元），与上年预算持平；公务车保有量0辆，计划购置0辆。公务接待费0万元，与上年预算持平，计划接待0批0人。</w:t>
      </w:r>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（三）海南软件职业技术学院2024年财政专户管理资金“三公”经费预算数为39万元，其中：因公出国（境）经费15万元，公车用车购置</w:t>
      </w:r>
      <w:r>
        <w:rPr>
          <w:rFonts w:ascii="仿宋_GB2312" w:eastAsia="仿宋_GB2312" w:hAnsi="仿宋_GB2312" w:cs="仿宋_GB2312"/>
          <w:sz w:val="32"/>
          <w:szCs w:val="32"/>
        </w:rPr>
        <w:t>18.00</w:t>
      </w:r>
      <w:r>
        <w:rPr>
          <w:rFonts w:ascii="仿宋_GB2312" w:eastAsia="仿宋_GB2312" w:hAnsi="仿宋_GB2312" w:cs="仿宋_GB2312" w:hint="eastAsia"/>
          <w:sz w:val="32"/>
          <w:szCs w:val="32"/>
        </w:rPr>
        <w:t>万元，公务接待费</w:t>
      </w:r>
      <w:r>
        <w:rPr>
          <w:rFonts w:ascii="仿宋_GB2312" w:eastAsia="仿宋_GB2312" w:hAnsi="仿宋_GB2312" w:cs="仿宋_GB2312"/>
          <w:sz w:val="32"/>
          <w:szCs w:val="32"/>
        </w:rPr>
        <w:t>6.00</w:t>
      </w:r>
      <w:r>
        <w:rPr>
          <w:rFonts w:ascii="仿宋_GB2312" w:eastAsia="仿宋_GB2312" w:hAnsi="仿宋_GB2312" w:cs="仿宋_GB2312" w:hint="eastAsia"/>
          <w:sz w:val="32"/>
          <w:szCs w:val="32"/>
        </w:rPr>
        <w:t>万元。</w:t>
      </w:r>
    </w:p>
    <w:p w:rsidR="00376C6A" w:rsidRDefault="00704888">
      <w:pPr>
        <w:pStyle w:val="2"/>
        <w:spacing w:before="0" w:after="0" w:line="540" w:lineRule="exact"/>
        <w:ind w:firstLineChars="200" w:firstLine="640"/>
        <w:jc w:val="left"/>
        <w:rPr>
          <w:rFonts w:ascii="仿宋_GB2312" w:eastAsia="仿宋_GB2312" w:hAnsi="仿宋_GB2312" w:cs="仿宋_GB2312"/>
        </w:rPr>
      </w:pPr>
      <w:r>
        <w:rPr>
          <w:rFonts w:ascii="黑体" w:eastAsia="黑体" w:hAnsi="黑体" w:cs="Times New Roman" w:hint="eastAsia"/>
          <w:b w:val="0"/>
          <w:shd w:val="clear" w:color="auto" w:fill="FFFFFF"/>
        </w:rPr>
        <w:t>五、</w:t>
      </w:r>
      <w:r>
        <w:rPr>
          <w:rFonts w:ascii="黑体" w:eastAsia="黑体" w:hAnsi="黑体" w:hint="eastAsia"/>
          <w:b w:val="0"/>
        </w:rPr>
        <w:t>海南软件职业技术学院单位2024年政府性基金预算当年拨款情况说明</w:t>
      </w:r>
    </w:p>
    <w:p w:rsidR="00376C6A" w:rsidRDefault="00704888">
      <w:pPr>
        <w:ind w:firstLine="640"/>
        <w:jc w:val="left"/>
        <w:rPr>
          <w:rFonts w:ascii="楷体" w:eastAsia="楷体" w:hAnsi="楷体"/>
          <w:sz w:val="32"/>
          <w:szCs w:val="32"/>
        </w:rPr>
      </w:pPr>
      <w:r>
        <w:rPr>
          <w:rFonts w:ascii="楷体" w:eastAsia="楷体" w:hAnsi="楷体" w:hint="eastAsia"/>
          <w:sz w:val="32"/>
          <w:szCs w:val="32"/>
        </w:rPr>
        <w:t>（一）政府性基金预算当年规模变化情况</w:t>
      </w:r>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海南软件职业技术学院单位2024年政府性基金预算当年拨款0万元，与上年持平。</w:t>
      </w:r>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楷体" w:eastAsia="楷体" w:hAnsi="楷体" w:hint="eastAsia"/>
          <w:sz w:val="32"/>
          <w:szCs w:val="32"/>
        </w:rPr>
        <w:t>（二）政府性基金预算当年拨款结构情况</w:t>
      </w:r>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海南软件职业技术学院单位2024年无政府性基金预算拨款。</w:t>
      </w:r>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楷体" w:eastAsia="楷体" w:hAnsi="楷体" w:hint="eastAsia"/>
          <w:sz w:val="32"/>
          <w:szCs w:val="32"/>
        </w:rPr>
        <w:t>（三）政府性基金预算当年拨款具体使用情况</w:t>
      </w:r>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海南软件职业技术学院单位2024年无政府性基金预算拨款。</w:t>
      </w:r>
    </w:p>
    <w:p w:rsidR="00376C6A" w:rsidRDefault="00704888">
      <w:pPr>
        <w:pStyle w:val="2"/>
        <w:spacing w:before="0" w:after="0" w:line="540" w:lineRule="exact"/>
        <w:ind w:firstLineChars="200" w:firstLine="640"/>
        <w:jc w:val="left"/>
        <w:rPr>
          <w:rFonts w:ascii="黑体" w:eastAsia="黑体" w:hAnsi="黑体" w:cs="Times New Roman"/>
          <w:b w:val="0"/>
          <w:shd w:val="clear" w:color="auto" w:fill="FFFFFF"/>
        </w:rPr>
      </w:pPr>
      <w:bookmarkStart w:id="23" w:name="_Toc64945735"/>
      <w:bookmarkStart w:id="24" w:name="_Toc64949162"/>
      <w:r>
        <w:rPr>
          <w:rFonts w:ascii="黑体" w:eastAsia="黑体" w:hAnsi="黑体" w:cs="Times New Roman" w:hint="eastAsia"/>
          <w:b w:val="0"/>
          <w:shd w:val="clear" w:color="auto" w:fill="FFFFFF"/>
        </w:rPr>
        <w:lastRenderedPageBreak/>
        <w:t>六、</w:t>
      </w:r>
      <w:r>
        <w:rPr>
          <w:rFonts w:ascii="黑体" w:eastAsia="黑体" w:hAnsi="黑体" w:hint="eastAsia"/>
          <w:b w:val="0"/>
        </w:rPr>
        <w:t>海南软件职业技术学院单位2024年</w:t>
      </w:r>
      <w:r>
        <w:rPr>
          <w:rFonts w:ascii="黑体" w:eastAsia="黑体" w:hAnsi="黑体" w:cs="Times New Roman" w:hint="eastAsia"/>
          <w:b w:val="0"/>
          <w:shd w:val="clear" w:color="auto" w:fill="FFFFFF"/>
        </w:rPr>
        <w:t>收支预算情况的总体说明</w:t>
      </w:r>
      <w:bookmarkEnd w:id="23"/>
      <w:bookmarkEnd w:id="24"/>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sectPr w:rsidR="00376C6A">
          <w:type w:val="oddPage"/>
          <w:pgSz w:w="11906" w:h="16838"/>
          <w:pgMar w:top="1440" w:right="1797" w:bottom="1440" w:left="1797" w:header="851" w:footer="992" w:gutter="0"/>
          <w:pgNumType w:fmt="numberInDash" w:start="4"/>
          <w:cols w:space="720"/>
          <w:titlePg/>
          <w:docGrid w:linePitch="312"/>
        </w:sectPr>
      </w:pPr>
      <w:r>
        <w:rPr>
          <w:rFonts w:ascii="仿宋_GB2312" w:eastAsia="仿宋_GB2312" w:hAnsi="仿宋_GB2312" w:cs="仿宋_GB2312" w:hint="eastAsia"/>
          <w:sz w:val="32"/>
          <w:szCs w:val="32"/>
        </w:rPr>
        <w:t>按照综合预算管理原则，海南软件职业技术学院单位</w:t>
      </w:r>
    </w:p>
    <w:p w:rsidR="00376C6A" w:rsidRDefault="00704888">
      <w:pPr>
        <w:adjustRightInd w:val="0"/>
        <w:snapToGrid w:val="0"/>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所有收入和支出均纳入部门预算管理。收入包括：一般公共预算收入、财政专户管理资金收入、其他收入。支出包括：教育支出、科学技术支出、社会保障和就业支出、卫生健康支出、住房保障支出。2024年海南软件职业技术学院部门预算收支总额</w:t>
      </w:r>
      <w:r>
        <w:rPr>
          <w:rFonts w:ascii="仿宋_GB2312" w:eastAsia="仿宋_GB2312" w:hAnsi="仿宋_GB2312" w:cs="仿宋_GB2312"/>
          <w:sz w:val="32"/>
          <w:szCs w:val="32"/>
        </w:rPr>
        <w:t>26,191.0</w:t>
      </w:r>
      <w:r>
        <w:rPr>
          <w:rFonts w:ascii="仿宋_GB2312" w:eastAsia="仿宋_GB2312" w:hAnsi="仿宋_GB2312" w:cs="仿宋_GB2312" w:hint="eastAsia"/>
          <w:sz w:val="32"/>
          <w:szCs w:val="32"/>
        </w:rPr>
        <w:t>9万元。</w:t>
      </w:r>
    </w:p>
    <w:p w:rsidR="00376C6A" w:rsidRDefault="00704888">
      <w:pPr>
        <w:pStyle w:val="2"/>
        <w:spacing w:before="0" w:after="0" w:line="540" w:lineRule="exact"/>
        <w:ind w:firstLineChars="200" w:firstLine="640"/>
        <w:jc w:val="left"/>
        <w:rPr>
          <w:rFonts w:ascii="黑体" w:eastAsia="黑体" w:hAnsi="黑体" w:cs="Times New Roman"/>
          <w:b w:val="0"/>
          <w:shd w:val="clear" w:color="auto" w:fill="FFFFFF"/>
        </w:rPr>
      </w:pPr>
      <w:bookmarkStart w:id="25" w:name="_Toc64945736"/>
      <w:bookmarkStart w:id="26" w:name="_Toc64949163"/>
      <w:r>
        <w:rPr>
          <w:rFonts w:ascii="黑体" w:eastAsia="黑体" w:hAnsi="黑体" w:cs="Times New Roman" w:hint="eastAsia"/>
          <w:b w:val="0"/>
          <w:shd w:val="clear" w:color="auto" w:fill="FFFFFF"/>
        </w:rPr>
        <w:t>七、</w:t>
      </w:r>
      <w:r>
        <w:rPr>
          <w:rFonts w:ascii="黑体" w:eastAsia="黑体" w:hAnsi="黑体" w:hint="eastAsia"/>
          <w:b w:val="0"/>
        </w:rPr>
        <w:t>海南软件职业技术学院单位2024年</w:t>
      </w:r>
      <w:r>
        <w:rPr>
          <w:rFonts w:ascii="黑体" w:eastAsia="黑体" w:hAnsi="黑体" w:cs="Times New Roman" w:hint="eastAsia"/>
          <w:b w:val="0"/>
          <w:shd w:val="clear" w:color="auto" w:fill="FFFFFF"/>
        </w:rPr>
        <w:t>收入预算情况说明</w:t>
      </w:r>
      <w:bookmarkEnd w:id="25"/>
      <w:bookmarkEnd w:id="26"/>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海南软件职业技术学院单位2024年收入预算总额</w:t>
      </w:r>
      <w:r>
        <w:rPr>
          <w:rFonts w:ascii="仿宋_GB2312" w:eastAsia="仿宋_GB2312" w:hAnsi="仿宋_GB2312" w:cs="仿宋_GB2312"/>
          <w:sz w:val="32"/>
          <w:szCs w:val="32"/>
        </w:rPr>
        <w:t>26,191.0</w:t>
      </w:r>
      <w:r>
        <w:rPr>
          <w:rFonts w:ascii="仿宋_GB2312" w:eastAsia="仿宋_GB2312" w:hAnsi="仿宋_GB2312" w:cs="仿宋_GB2312" w:hint="eastAsia"/>
          <w:sz w:val="32"/>
          <w:szCs w:val="32"/>
        </w:rPr>
        <w:t>9万元，其中：一般公共预算拨款收入</w:t>
      </w:r>
      <w:r>
        <w:rPr>
          <w:rFonts w:ascii="仿宋_GB2312" w:eastAsia="仿宋_GB2312" w:hAnsi="仿宋_GB2312" w:cs="仿宋_GB2312"/>
          <w:sz w:val="32"/>
          <w:szCs w:val="32"/>
        </w:rPr>
        <w:t>16,900.80</w:t>
      </w:r>
      <w:r>
        <w:rPr>
          <w:rFonts w:ascii="仿宋_GB2312" w:eastAsia="仿宋_GB2312" w:hAnsi="仿宋_GB2312" w:cs="仿宋_GB2312" w:hint="eastAsia"/>
          <w:sz w:val="32"/>
          <w:szCs w:val="32"/>
        </w:rPr>
        <w:t>万元，占预算</w:t>
      </w:r>
      <w:r>
        <w:rPr>
          <w:rFonts w:ascii="仿宋_GB2312" w:eastAsia="仿宋_GB2312" w:hAnsi="仿宋_GB2312" w:cs="仿宋_GB2312"/>
          <w:sz w:val="32"/>
          <w:szCs w:val="32"/>
        </w:rPr>
        <w:t>64.53%</w:t>
      </w:r>
      <w:r>
        <w:rPr>
          <w:rFonts w:ascii="仿宋_GB2312" w:eastAsia="仿宋_GB2312" w:hAnsi="仿宋_GB2312" w:cs="仿宋_GB2312" w:hint="eastAsia"/>
          <w:sz w:val="32"/>
          <w:szCs w:val="32"/>
        </w:rPr>
        <w:t>；财政专户管理资金收入</w:t>
      </w:r>
      <w:r>
        <w:rPr>
          <w:rFonts w:ascii="仿宋_GB2312" w:eastAsia="仿宋_GB2312" w:hAnsi="仿宋_GB2312" w:cs="仿宋_GB2312"/>
          <w:sz w:val="32"/>
          <w:szCs w:val="32"/>
        </w:rPr>
        <w:t>5,820.00</w:t>
      </w:r>
      <w:r>
        <w:rPr>
          <w:rFonts w:ascii="仿宋_GB2312" w:eastAsia="仿宋_GB2312" w:hAnsi="仿宋_GB2312" w:cs="仿宋_GB2312" w:hint="eastAsia"/>
          <w:sz w:val="32"/>
          <w:szCs w:val="32"/>
        </w:rPr>
        <w:t>万元，占预算</w:t>
      </w:r>
      <w:r>
        <w:rPr>
          <w:rFonts w:ascii="仿宋_GB2312" w:eastAsia="仿宋_GB2312" w:hAnsi="仿宋_GB2312" w:cs="仿宋_GB2312"/>
          <w:sz w:val="32"/>
          <w:szCs w:val="32"/>
        </w:rPr>
        <w:t>22.22%</w:t>
      </w:r>
      <w:r>
        <w:rPr>
          <w:rFonts w:ascii="仿宋_GB2312" w:eastAsia="仿宋_GB2312" w:hAnsi="仿宋_GB2312" w:cs="仿宋_GB2312" w:hint="eastAsia"/>
          <w:sz w:val="32"/>
          <w:szCs w:val="32"/>
        </w:rPr>
        <w:t>；其他收入</w:t>
      </w:r>
      <w:r>
        <w:rPr>
          <w:rFonts w:ascii="仿宋_GB2312" w:eastAsia="仿宋_GB2312" w:hAnsi="仿宋_GB2312" w:cs="仿宋_GB2312"/>
          <w:sz w:val="32"/>
          <w:szCs w:val="32"/>
        </w:rPr>
        <w:t>691.50</w:t>
      </w:r>
      <w:r>
        <w:rPr>
          <w:rFonts w:ascii="仿宋_GB2312" w:eastAsia="仿宋_GB2312" w:hAnsi="仿宋_GB2312" w:cs="仿宋_GB2312" w:hint="eastAsia"/>
          <w:sz w:val="32"/>
          <w:szCs w:val="32"/>
        </w:rPr>
        <w:t>万元，占预算</w:t>
      </w:r>
      <w:r>
        <w:rPr>
          <w:rFonts w:ascii="仿宋_GB2312" w:eastAsia="仿宋_GB2312" w:hAnsi="仿宋_GB2312" w:cs="仿宋_GB2312"/>
          <w:sz w:val="32"/>
          <w:szCs w:val="32"/>
        </w:rPr>
        <w:t>2.64%</w:t>
      </w:r>
      <w:r>
        <w:rPr>
          <w:rFonts w:ascii="仿宋_GB2312" w:eastAsia="仿宋_GB2312" w:hAnsi="仿宋_GB2312" w:cs="仿宋_GB2312" w:hint="eastAsia"/>
          <w:sz w:val="32"/>
          <w:szCs w:val="32"/>
        </w:rPr>
        <w:t>；上年结转资金</w:t>
      </w:r>
      <w:r>
        <w:rPr>
          <w:rFonts w:ascii="仿宋_GB2312" w:eastAsia="仿宋_GB2312" w:hAnsi="仿宋_GB2312" w:cs="仿宋_GB2312"/>
          <w:sz w:val="32"/>
          <w:szCs w:val="32"/>
        </w:rPr>
        <w:t>2,778.79</w:t>
      </w:r>
      <w:r>
        <w:rPr>
          <w:rFonts w:ascii="仿宋_GB2312" w:eastAsia="仿宋_GB2312" w:hAnsi="仿宋_GB2312" w:cs="仿宋_GB2312" w:hint="eastAsia"/>
          <w:sz w:val="32"/>
          <w:szCs w:val="32"/>
        </w:rPr>
        <w:t>万元，占预算</w:t>
      </w:r>
      <w:r>
        <w:rPr>
          <w:rFonts w:ascii="仿宋_GB2312" w:eastAsia="仿宋_GB2312" w:hAnsi="仿宋_GB2312" w:cs="仿宋_GB2312"/>
          <w:sz w:val="32"/>
          <w:szCs w:val="32"/>
        </w:rPr>
        <w:t>10.61%</w:t>
      </w:r>
      <w:r>
        <w:rPr>
          <w:rFonts w:ascii="仿宋_GB2312" w:eastAsia="仿宋_GB2312" w:hAnsi="仿宋_GB2312" w:cs="仿宋_GB2312" w:hint="eastAsia"/>
          <w:sz w:val="32"/>
          <w:szCs w:val="32"/>
        </w:rPr>
        <w:t>；财政政府性基金收入0万元，专项收入0万元。同比上年预算总数增加764.82万元，主要是结转资金同比上年增加379.96万元、一般公共预算拨款收入增加129.36万元、财政专户管理资金收入增加414.00万元、其他收入减少158.5</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376C6A" w:rsidRDefault="00704888">
      <w:pPr>
        <w:pStyle w:val="2"/>
        <w:spacing w:before="0" w:after="0" w:line="540" w:lineRule="exact"/>
        <w:ind w:firstLineChars="200" w:firstLine="640"/>
        <w:jc w:val="left"/>
        <w:rPr>
          <w:rFonts w:ascii="黑体" w:eastAsia="黑体" w:hAnsi="黑体" w:cs="Times New Roman"/>
          <w:b w:val="0"/>
          <w:shd w:val="clear" w:color="auto" w:fill="FFFFFF"/>
        </w:rPr>
      </w:pPr>
      <w:bookmarkStart w:id="27" w:name="_Toc64949164"/>
      <w:bookmarkStart w:id="28" w:name="_Toc64945737"/>
      <w:r>
        <w:rPr>
          <w:rFonts w:ascii="黑体" w:eastAsia="黑体" w:hAnsi="黑体" w:cs="Times New Roman" w:hint="eastAsia"/>
          <w:b w:val="0"/>
          <w:shd w:val="clear" w:color="auto" w:fill="FFFFFF"/>
        </w:rPr>
        <w:t>八、海南软件职业技术学院单位2024</w:t>
      </w:r>
      <w:r>
        <w:rPr>
          <w:rFonts w:ascii="黑体" w:eastAsia="黑体" w:hAnsi="黑体" w:cs="Times New Roman"/>
          <w:b w:val="0"/>
          <w:shd w:val="clear" w:color="auto" w:fill="FFFFFF"/>
        </w:rPr>
        <w:t>年</w:t>
      </w:r>
      <w:r>
        <w:rPr>
          <w:rFonts w:ascii="黑体" w:eastAsia="黑体" w:hAnsi="黑体" w:cs="Times New Roman" w:hint="eastAsia"/>
          <w:b w:val="0"/>
          <w:shd w:val="clear" w:color="auto" w:fill="FFFFFF"/>
        </w:rPr>
        <w:t>支出预算情况说明</w:t>
      </w:r>
      <w:bookmarkEnd w:id="27"/>
      <w:bookmarkEnd w:id="28"/>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2024年海南软件职业技术学院支出预算总额</w:t>
      </w:r>
      <w:r>
        <w:rPr>
          <w:rFonts w:ascii="仿宋_GB2312" w:eastAsia="仿宋_GB2312" w:hAnsi="仿宋_GB2312" w:cs="仿宋_GB2312"/>
          <w:sz w:val="32"/>
          <w:szCs w:val="32"/>
        </w:rPr>
        <w:t>26,191.0</w:t>
      </w:r>
      <w:r>
        <w:rPr>
          <w:rFonts w:ascii="仿宋_GB2312" w:eastAsia="仿宋_GB2312" w:hAnsi="仿宋_GB2312" w:cs="仿宋_GB2312" w:hint="eastAsia"/>
          <w:sz w:val="32"/>
          <w:szCs w:val="32"/>
        </w:rPr>
        <w:t>9万元，其中：基本支出</w:t>
      </w:r>
      <w:r>
        <w:rPr>
          <w:rFonts w:ascii="仿宋_GB2312" w:eastAsia="仿宋_GB2312" w:hAnsi="仿宋_GB2312" w:cs="仿宋_GB2312"/>
          <w:sz w:val="32"/>
          <w:szCs w:val="32"/>
        </w:rPr>
        <w:t>17,030.8</w:t>
      </w:r>
      <w:r>
        <w:rPr>
          <w:rFonts w:ascii="仿宋_GB2312" w:eastAsia="仿宋_GB2312" w:hAnsi="仿宋_GB2312" w:cs="仿宋_GB2312" w:hint="eastAsia"/>
          <w:sz w:val="32"/>
          <w:szCs w:val="32"/>
        </w:rPr>
        <w:t>4万元，占预算65.03%；项目支出</w:t>
      </w:r>
      <w:r>
        <w:rPr>
          <w:rFonts w:ascii="仿宋_GB2312" w:eastAsia="仿宋_GB2312" w:hAnsi="仿宋_GB2312" w:cs="仿宋_GB2312"/>
          <w:sz w:val="32"/>
          <w:szCs w:val="32"/>
        </w:rPr>
        <w:t>9,160.25</w:t>
      </w:r>
      <w:r>
        <w:rPr>
          <w:rFonts w:ascii="仿宋_GB2312" w:eastAsia="仿宋_GB2312" w:hAnsi="仿宋_GB2312" w:cs="仿宋_GB2312" w:hint="eastAsia"/>
          <w:sz w:val="32"/>
          <w:szCs w:val="32"/>
        </w:rPr>
        <w:t>万元，占预算34.97%。同比上年预算总数增加764.85万元，主要是基本支出增加</w:t>
      </w:r>
      <w:r>
        <w:rPr>
          <w:rFonts w:ascii="仿宋_GB2312" w:eastAsia="仿宋_GB2312" w:hAnsi="仿宋_GB2312" w:cs="仿宋_GB2312"/>
          <w:sz w:val="32"/>
          <w:szCs w:val="32"/>
        </w:rPr>
        <w:t>1,856.</w:t>
      </w:r>
      <w:r>
        <w:rPr>
          <w:rFonts w:ascii="仿宋_GB2312" w:eastAsia="仿宋_GB2312" w:hAnsi="仿宋_GB2312" w:cs="仿宋_GB2312" w:hint="eastAsia"/>
          <w:sz w:val="32"/>
          <w:szCs w:val="32"/>
        </w:rPr>
        <w:t>4</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万元、项</w:t>
      </w:r>
      <w:r>
        <w:rPr>
          <w:rFonts w:ascii="仿宋_GB2312" w:eastAsia="仿宋_GB2312" w:hAnsi="仿宋_GB2312" w:cs="仿宋_GB2312" w:hint="eastAsia"/>
          <w:sz w:val="32"/>
          <w:szCs w:val="32"/>
        </w:rPr>
        <w:lastRenderedPageBreak/>
        <w:t>目支出减少</w:t>
      </w:r>
      <w:r>
        <w:rPr>
          <w:rFonts w:ascii="仿宋_GB2312" w:eastAsia="仿宋_GB2312" w:hAnsi="仿宋_GB2312" w:cs="仿宋_GB2312"/>
          <w:sz w:val="32"/>
          <w:szCs w:val="32"/>
        </w:rPr>
        <w:t>1,091.55</w:t>
      </w:r>
      <w:r>
        <w:rPr>
          <w:rFonts w:ascii="仿宋_GB2312" w:eastAsia="仿宋_GB2312" w:hAnsi="仿宋_GB2312" w:cs="仿宋_GB2312" w:hint="eastAsia"/>
          <w:sz w:val="32"/>
          <w:szCs w:val="32"/>
        </w:rPr>
        <w:t>万元。</w:t>
      </w:r>
    </w:p>
    <w:p w:rsidR="00376C6A" w:rsidRDefault="00704888">
      <w:pPr>
        <w:pStyle w:val="2"/>
        <w:numPr>
          <w:ilvl w:val="0"/>
          <w:numId w:val="1"/>
        </w:numPr>
        <w:spacing w:before="0" w:after="0" w:line="540" w:lineRule="exact"/>
        <w:ind w:firstLineChars="200" w:firstLine="640"/>
        <w:jc w:val="left"/>
        <w:rPr>
          <w:rFonts w:ascii="黑体" w:eastAsia="黑体" w:hAnsi="黑体" w:cs="Times New Roman"/>
          <w:b w:val="0"/>
          <w:shd w:val="clear" w:color="auto" w:fill="FFFFFF"/>
        </w:rPr>
      </w:pPr>
      <w:bookmarkStart w:id="29" w:name="_Toc64949165"/>
      <w:bookmarkStart w:id="30" w:name="_Toc64945738"/>
      <w:r>
        <w:rPr>
          <w:rFonts w:ascii="黑体" w:eastAsia="黑体" w:hAnsi="黑体" w:cs="Times New Roman" w:hint="eastAsia"/>
          <w:b w:val="0"/>
          <w:shd w:val="clear" w:color="auto" w:fill="FFFFFF"/>
        </w:rPr>
        <w:t>其他重要事项的情况说明</w:t>
      </w:r>
      <w:bookmarkEnd w:id="29"/>
      <w:bookmarkEnd w:id="30"/>
    </w:p>
    <w:p w:rsidR="00376C6A" w:rsidRPr="00FD2154" w:rsidRDefault="00704888" w:rsidP="00FD2154">
      <w:pPr>
        <w:pStyle w:val="3"/>
        <w:spacing w:before="0" w:after="0" w:line="540" w:lineRule="exact"/>
        <w:ind w:firstLineChars="200" w:firstLine="640"/>
        <w:jc w:val="left"/>
        <w:rPr>
          <w:rFonts w:ascii="楷体" w:eastAsia="楷体" w:hAnsi="楷体"/>
          <w:b w:val="0"/>
          <w:color w:val="000000" w:themeColor="text1"/>
        </w:rPr>
      </w:pPr>
      <w:r w:rsidRPr="00FD2154">
        <w:rPr>
          <w:rFonts w:ascii="楷体" w:eastAsia="楷体" w:hAnsi="楷体" w:hint="eastAsia"/>
          <w:b w:val="0"/>
          <w:color w:val="000000" w:themeColor="text1"/>
        </w:rPr>
        <w:t>（一）机关运行经费</w:t>
      </w:r>
    </w:p>
    <w:p w:rsidR="00376C6A" w:rsidRDefault="00704888">
      <w:pPr>
        <w:spacing w:line="560" w:lineRule="exact"/>
        <w:ind w:firstLineChars="200" w:firstLine="640"/>
      </w:pPr>
      <w:r>
        <w:rPr>
          <w:rFonts w:ascii="仿宋_GB2312" w:eastAsia="仿宋_GB2312" w:hAnsi="黑体" w:cs="仿宋_GB2312" w:hint="eastAsia"/>
          <w:color w:val="000000" w:themeColor="text1"/>
          <w:sz w:val="32"/>
          <w:szCs w:val="32"/>
        </w:rPr>
        <w:t>无此项经费。</w:t>
      </w:r>
    </w:p>
    <w:p w:rsidR="00376C6A" w:rsidRDefault="00704888">
      <w:pPr>
        <w:pStyle w:val="3"/>
        <w:spacing w:before="0" w:after="0" w:line="540" w:lineRule="exact"/>
        <w:ind w:firstLineChars="200" w:firstLine="640"/>
        <w:jc w:val="left"/>
        <w:rPr>
          <w:rFonts w:ascii="楷体" w:eastAsia="楷体" w:hAnsi="楷体"/>
          <w:b w:val="0"/>
          <w:color w:val="000000" w:themeColor="text1"/>
        </w:rPr>
      </w:pPr>
      <w:bookmarkStart w:id="31" w:name="_Toc64949166"/>
      <w:bookmarkStart w:id="32" w:name="_Toc64945739"/>
      <w:r>
        <w:rPr>
          <w:rFonts w:ascii="楷体" w:eastAsia="楷体" w:hAnsi="楷体" w:hint="eastAsia"/>
          <w:b w:val="0"/>
          <w:color w:val="000000" w:themeColor="text1"/>
        </w:rPr>
        <w:t>（二）政府采购情况</w:t>
      </w:r>
      <w:bookmarkEnd w:id="31"/>
      <w:bookmarkEnd w:id="32"/>
    </w:p>
    <w:p w:rsidR="00376C6A" w:rsidRDefault="00704888">
      <w:pPr>
        <w:adjustRightInd w:val="0"/>
        <w:snapToGrid w:val="0"/>
        <w:spacing w:line="540" w:lineRule="exact"/>
        <w:ind w:firstLineChars="200" w:firstLine="640"/>
        <w:rPr>
          <w:rFonts w:ascii="仿宋_GB2312" w:eastAsia="仿宋_GB2312" w:hAnsi="黑体"/>
          <w:color w:val="000000" w:themeColor="text1"/>
          <w:sz w:val="32"/>
          <w:szCs w:val="32"/>
        </w:rPr>
      </w:pPr>
      <w:r>
        <w:rPr>
          <w:rFonts w:ascii="仿宋_GB2312" w:eastAsia="仿宋_GB2312" w:hAnsi="仿宋_GB2312" w:cs="仿宋_GB2312" w:hint="eastAsia"/>
          <w:sz w:val="32"/>
          <w:szCs w:val="32"/>
        </w:rPr>
        <w:t>2024年海南软件职业技术学院单位政府采购预算总额</w:t>
      </w:r>
      <w:r>
        <w:rPr>
          <w:rFonts w:ascii="仿宋_GB2312" w:eastAsia="仿宋_GB2312" w:hAnsi="仿宋_GB2312" w:cs="仿宋_GB2312"/>
          <w:sz w:val="32"/>
          <w:szCs w:val="32"/>
        </w:rPr>
        <w:t>4,152</w:t>
      </w:r>
      <w:r>
        <w:rPr>
          <w:rFonts w:ascii="仿宋_GB2312" w:eastAsia="仿宋_GB2312" w:hAnsi="仿宋_GB2312" w:cs="仿宋_GB2312" w:hint="eastAsia"/>
          <w:sz w:val="32"/>
          <w:szCs w:val="32"/>
        </w:rPr>
        <w:t>.87万元，其中：政府采购货物预算</w:t>
      </w:r>
      <w:r>
        <w:rPr>
          <w:rFonts w:ascii="仿宋_GB2312" w:eastAsia="仿宋_GB2312" w:hAnsi="仿宋_GB2312" w:cs="仿宋_GB2312"/>
          <w:sz w:val="32"/>
          <w:szCs w:val="32"/>
        </w:rPr>
        <w:t>3,445.87</w:t>
      </w:r>
      <w:r>
        <w:rPr>
          <w:rFonts w:ascii="仿宋_GB2312" w:eastAsia="仿宋_GB2312" w:hAnsi="仿宋_GB2312" w:cs="仿宋_GB2312" w:hint="eastAsia"/>
          <w:sz w:val="32"/>
          <w:szCs w:val="32"/>
        </w:rPr>
        <w:t>万元，政府采购工程预算0万元，政府采购服务预算</w:t>
      </w:r>
      <w:r>
        <w:rPr>
          <w:rFonts w:ascii="仿宋_GB2312" w:eastAsia="仿宋_GB2312" w:hAnsi="仿宋_GB2312" w:cs="仿宋_GB2312"/>
          <w:sz w:val="32"/>
          <w:szCs w:val="32"/>
        </w:rPr>
        <w:t>706.00</w:t>
      </w:r>
      <w:r>
        <w:rPr>
          <w:rFonts w:ascii="仿宋_GB2312" w:eastAsia="仿宋_GB2312" w:hAnsi="仿宋_GB2312" w:cs="仿宋_GB2312" w:hint="eastAsia"/>
          <w:sz w:val="32"/>
          <w:szCs w:val="32"/>
        </w:rPr>
        <w:t>万元。</w:t>
      </w:r>
      <w:bookmarkStart w:id="33" w:name="_Toc64945740"/>
    </w:p>
    <w:p w:rsidR="00376C6A" w:rsidRDefault="00704888">
      <w:pPr>
        <w:pStyle w:val="3"/>
        <w:spacing w:before="0" w:after="0" w:line="540" w:lineRule="exact"/>
        <w:ind w:firstLineChars="200" w:firstLine="640"/>
        <w:jc w:val="left"/>
        <w:rPr>
          <w:rFonts w:ascii="楷体" w:eastAsia="楷体" w:hAnsi="楷体"/>
          <w:b w:val="0"/>
          <w:color w:val="000000" w:themeColor="text1"/>
        </w:rPr>
      </w:pPr>
      <w:bookmarkStart w:id="34" w:name="_Toc64949167"/>
      <w:r>
        <w:rPr>
          <w:rFonts w:ascii="楷体" w:eastAsia="楷体" w:hAnsi="楷体" w:hint="eastAsia"/>
          <w:b w:val="0"/>
          <w:color w:val="000000" w:themeColor="text1"/>
        </w:rPr>
        <w:t>（三）国有资产占有使用情况</w:t>
      </w:r>
      <w:bookmarkEnd w:id="33"/>
      <w:bookmarkEnd w:id="34"/>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截至2023年12月31日，海南软件职业技术学院单位实有公务用车5辆，其中:领导干部用车2辆，机要通信应急用车1辆、其他用车2辆。单位价值100万元以上设备0台（套）。</w:t>
      </w:r>
    </w:p>
    <w:p w:rsidR="00376C6A" w:rsidRDefault="00704888">
      <w:pPr>
        <w:pStyle w:val="3"/>
        <w:spacing w:before="0" w:after="0" w:line="540" w:lineRule="exact"/>
        <w:ind w:firstLineChars="200" w:firstLine="640"/>
        <w:jc w:val="left"/>
        <w:rPr>
          <w:rFonts w:ascii="楷体" w:eastAsia="楷体" w:hAnsi="楷体"/>
          <w:b w:val="0"/>
          <w:color w:val="000000" w:themeColor="text1"/>
        </w:rPr>
      </w:pPr>
      <w:bookmarkStart w:id="35" w:name="_Toc64945741"/>
      <w:bookmarkStart w:id="36" w:name="_Toc64949168"/>
      <w:r>
        <w:rPr>
          <w:rFonts w:ascii="楷体" w:eastAsia="楷体" w:hAnsi="楷体" w:hint="eastAsia"/>
          <w:b w:val="0"/>
          <w:color w:val="000000" w:themeColor="text1"/>
        </w:rPr>
        <w:t>（四）绩效目标设置情况</w:t>
      </w:r>
      <w:bookmarkEnd w:id="35"/>
      <w:bookmarkEnd w:id="36"/>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2024年海南软件职业技术学院单位27个项目实行绩效目标管理，涉及一般公共预算</w:t>
      </w:r>
      <w:r>
        <w:rPr>
          <w:rFonts w:ascii="仿宋_GB2312" w:eastAsia="仿宋_GB2312" w:hAnsi="仿宋_GB2312" w:cs="仿宋_GB2312"/>
          <w:sz w:val="32"/>
          <w:szCs w:val="32"/>
        </w:rPr>
        <w:t>16,900.80</w:t>
      </w:r>
      <w:r>
        <w:rPr>
          <w:rFonts w:ascii="仿宋_GB2312" w:eastAsia="仿宋_GB2312" w:hAnsi="仿宋_GB2312" w:cs="仿宋_GB2312" w:hint="eastAsia"/>
          <w:sz w:val="32"/>
          <w:szCs w:val="32"/>
        </w:rPr>
        <w:t>万元、政府性基金0万元、财政专户管理资金收入8</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194.6</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万元（其中：预算当年收入5</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820.00万元、历年结转资金2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374.60万元），其他收入</w:t>
      </w:r>
      <w:r>
        <w:rPr>
          <w:rFonts w:ascii="仿宋_GB2312" w:eastAsia="仿宋_GB2312" w:hAnsi="仿宋_GB2312" w:cs="仿宋_GB2312"/>
          <w:sz w:val="32"/>
          <w:szCs w:val="32"/>
        </w:rPr>
        <w:t>691.50</w:t>
      </w:r>
      <w:r>
        <w:rPr>
          <w:rFonts w:ascii="仿宋_GB2312" w:eastAsia="仿宋_GB2312" w:hAnsi="仿宋_GB2312" w:cs="仿宋_GB2312" w:hint="eastAsia"/>
          <w:sz w:val="32"/>
          <w:szCs w:val="32"/>
        </w:rPr>
        <w:t>万元。</w:t>
      </w:r>
      <w:bookmarkStart w:id="37" w:name="_Toc64945742"/>
      <w:r>
        <w:rPr>
          <w:rFonts w:ascii="仿宋_GB2312" w:eastAsia="仿宋_GB2312" w:hAnsi="仿宋_GB2312" w:cs="仿宋_GB2312" w:hint="eastAsia"/>
          <w:sz w:val="32"/>
          <w:szCs w:val="32"/>
        </w:rPr>
        <w:t>其中：重点项目（1000万元以上的特定目标类项目）预算绩效情况：</w:t>
      </w:r>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1.学生资助补助项目（高校）</w:t>
      </w:r>
      <w:r>
        <w:rPr>
          <w:rFonts w:ascii="仿宋_GB2312" w:eastAsia="仿宋_GB2312" w:hAnsi="仿宋_GB2312" w:cs="仿宋_GB2312"/>
          <w:sz w:val="32"/>
          <w:szCs w:val="32"/>
        </w:rPr>
        <w:t>1,291.80</w:t>
      </w:r>
      <w:r>
        <w:rPr>
          <w:rFonts w:ascii="仿宋_GB2312" w:eastAsia="仿宋_GB2312" w:hAnsi="仿宋_GB2312" w:cs="仿宋_GB2312" w:hint="eastAsia"/>
          <w:sz w:val="32"/>
          <w:szCs w:val="32"/>
        </w:rPr>
        <w:t>万元，主要用于本专科生国家奖学金、国家助学金、国家励志奖学金、省优秀贫困大学生奖学金、学校资助资金、国家助学</w:t>
      </w:r>
      <w:proofErr w:type="gramStart"/>
      <w:r>
        <w:rPr>
          <w:rFonts w:ascii="仿宋_GB2312" w:eastAsia="仿宋_GB2312" w:hAnsi="仿宋_GB2312" w:cs="仿宋_GB2312" w:hint="eastAsia"/>
          <w:sz w:val="32"/>
          <w:szCs w:val="32"/>
        </w:rPr>
        <w:t>贷款奖补</w:t>
      </w:r>
      <w:proofErr w:type="gramEnd"/>
      <w:r>
        <w:rPr>
          <w:rFonts w:ascii="仿宋_GB2312" w:eastAsia="仿宋_GB2312" w:hAnsi="仿宋_GB2312" w:cs="仿宋_GB2312" w:hint="eastAsia"/>
          <w:sz w:val="32"/>
          <w:szCs w:val="32"/>
        </w:rPr>
        <w:t>资金、服兵役国家资助资金-服义务兵资助等高校学生资助方面，绩效目标是及时有效的发放奖助学金，保证学校资助发</w:t>
      </w:r>
      <w:r>
        <w:rPr>
          <w:rFonts w:ascii="仿宋_GB2312" w:eastAsia="仿宋_GB2312" w:hAnsi="仿宋_GB2312" w:cs="仿宋_GB2312" w:hint="eastAsia"/>
          <w:sz w:val="32"/>
          <w:szCs w:val="32"/>
        </w:rPr>
        <w:lastRenderedPageBreak/>
        <w:t>展，提高服务对象满意度。</w:t>
      </w:r>
    </w:p>
    <w:p w:rsidR="00376C6A"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2.双高计划项目</w:t>
      </w:r>
      <w:r>
        <w:rPr>
          <w:rFonts w:ascii="仿宋_GB2312" w:eastAsia="仿宋_GB2312" w:hAnsi="仿宋_GB2312" w:cs="仿宋_GB2312"/>
          <w:sz w:val="32"/>
          <w:szCs w:val="32"/>
        </w:rPr>
        <w:t>3,118.00</w:t>
      </w:r>
      <w:r>
        <w:rPr>
          <w:rFonts w:ascii="仿宋_GB2312" w:eastAsia="仿宋_GB2312" w:hAnsi="仿宋_GB2312" w:cs="仿宋_GB2312" w:hint="eastAsia"/>
          <w:sz w:val="32"/>
          <w:szCs w:val="32"/>
        </w:rPr>
        <w:t>万元，主要用于2024年全国职业院校技能大赛大数据应用开发赛项、校级精品在线开放课程技术服务、校内SPOC服务、职业院校技能大赛教师教学能力比赛技术服务项目、人工智能技术应用专业“AI+”产教融合实践基地建设、学科专业建设项目等。绩效目标做好双高项目保障工作、促进学校专业建设发展等。</w:t>
      </w:r>
    </w:p>
    <w:p w:rsidR="00FD2154" w:rsidRDefault="00704888">
      <w:pPr>
        <w:adjustRightInd w:val="0"/>
        <w:snapToGri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3.教学条件改善</w:t>
      </w:r>
      <w:r>
        <w:rPr>
          <w:rFonts w:ascii="仿宋_GB2312" w:eastAsia="仿宋_GB2312" w:hAnsi="仿宋_GB2312" w:cs="仿宋_GB2312"/>
          <w:sz w:val="32"/>
          <w:szCs w:val="32"/>
        </w:rPr>
        <w:t>2,566.00</w:t>
      </w:r>
      <w:r>
        <w:rPr>
          <w:rFonts w:ascii="仿宋_GB2312" w:eastAsia="仿宋_GB2312" w:hAnsi="仿宋_GB2312" w:cs="仿宋_GB2312" w:hint="eastAsia"/>
          <w:sz w:val="32"/>
          <w:szCs w:val="32"/>
        </w:rPr>
        <w:t>万元，主要用于财务云共享项目、新能源汽车检测与维修技术专业升级项目（新能源汽车实训室）、通识课程资源服务、教学设备购置项目、教学专业耗材项目、电子商务专业扩建（设备）项目、网络技术专业实训</w:t>
      </w:r>
      <w:proofErr w:type="gramStart"/>
      <w:r>
        <w:rPr>
          <w:rFonts w:ascii="仿宋_GB2312" w:eastAsia="仿宋_GB2312" w:hAnsi="仿宋_GB2312" w:cs="仿宋_GB2312" w:hint="eastAsia"/>
          <w:sz w:val="32"/>
          <w:szCs w:val="32"/>
        </w:rPr>
        <w:t>室电脑</w:t>
      </w:r>
      <w:proofErr w:type="gramEnd"/>
      <w:r>
        <w:rPr>
          <w:rFonts w:ascii="仿宋_GB2312" w:eastAsia="仿宋_GB2312" w:hAnsi="仿宋_GB2312" w:cs="仿宋_GB2312" w:hint="eastAsia"/>
          <w:sz w:val="32"/>
          <w:szCs w:val="32"/>
        </w:rPr>
        <w:t>升级项目、计算机应用技术专业实训室升级项目等。绩效目标是完成学校教学条件改善工作，实现学校高质量发展。</w:t>
      </w:r>
    </w:p>
    <w:p w:rsidR="00376C6A" w:rsidRDefault="00FD2154" w:rsidP="00FD2154">
      <w:pPr>
        <w:widowControl/>
        <w:jc w:val="left"/>
        <w:rPr>
          <w:rFonts w:ascii="仿宋_GB2312" w:eastAsia="仿宋_GB2312" w:hAnsi="仿宋_GB2312" w:cs="仿宋_GB2312"/>
          <w:sz w:val="32"/>
          <w:szCs w:val="32"/>
        </w:rPr>
      </w:pPr>
      <w:r>
        <w:rPr>
          <w:rFonts w:ascii="仿宋_GB2312" w:eastAsia="仿宋_GB2312" w:hAnsi="仿宋_GB2312" w:cs="仿宋_GB2312"/>
          <w:sz w:val="32"/>
          <w:szCs w:val="32"/>
        </w:rPr>
        <w:br w:type="page"/>
      </w:r>
    </w:p>
    <w:p w:rsidR="00376C6A" w:rsidRDefault="00704888">
      <w:pPr>
        <w:pStyle w:val="11"/>
        <w:numPr>
          <w:ilvl w:val="0"/>
          <w:numId w:val="2"/>
        </w:numPr>
        <w:spacing w:beforeLines="50" w:before="120" w:afterLines="50" w:after="120" w:line="560" w:lineRule="exact"/>
        <w:ind w:firstLineChars="0" w:firstLine="0"/>
        <w:jc w:val="center"/>
        <w:outlineLvl w:val="0"/>
        <w:rPr>
          <w:rFonts w:ascii="黑体" w:eastAsia="黑体" w:hAnsi="黑体"/>
          <w:sz w:val="32"/>
          <w:szCs w:val="32"/>
        </w:rPr>
      </w:pPr>
      <w:bookmarkStart w:id="38" w:name="_Toc64949169"/>
      <w:r>
        <w:rPr>
          <w:rFonts w:ascii="黑体" w:eastAsia="黑体" w:hAnsi="黑体" w:hint="eastAsia"/>
          <w:sz w:val="32"/>
          <w:szCs w:val="32"/>
        </w:rPr>
        <w:lastRenderedPageBreak/>
        <w:t>名词解释</w:t>
      </w:r>
      <w:bookmarkEnd w:id="37"/>
      <w:bookmarkEnd w:id="38"/>
    </w:p>
    <w:p w:rsidR="00376C6A" w:rsidRDefault="00376C6A">
      <w:pPr>
        <w:pStyle w:val="11"/>
        <w:spacing w:beforeLines="50" w:before="120" w:afterLines="50" w:after="120" w:line="560" w:lineRule="exact"/>
        <w:ind w:firstLineChars="0" w:firstLine="0"/>
        <w:outlineLvl w:val="0"/>
        <w:rPr>
          <w:rFonts w:ascii="黑体" w:eastAsia="黑体" w:hAnsi="黑体"/>
          <w:sz w:val="32"/>
          <w:szCs w:val="32"/>
        </w:rPr>
      </w:pPr>
    </w:p>
    <w:p w:rsidR="00376C6A" w:rsidRDefault="00704888">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一、财政拨款收入：指本级财政当年拨付的资金。</w:t>
      </w:r>
    </w:p>
    <w:p w:rsidR="00376C6A" w:rsidRDefault="00704888">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二、一般公共预算拨款收入：指用于反映税收收入、专项收入、行政事业性收费收入、罚没收入、国有资源（资产）有偿使用收入、政府住房基金收入、捐赠收入等财政收入。</w:t>
      </w:r>
    </w:p>
    <w:p w:rsidR="00376C6A" w:rsidRDefault="00704888">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三、政府性基金预算拨款收入：指是用于反映政府为支持某项事业发展或特定基础设施建设，依法依规向公民、法人和其他组织征收的以及出让土地、发行彩票等方式取得的具有专门用途的资金</w:t>
      </w:r>
    </w:p>
    <w:p w:rsidR="00376C6A" w:rsidRDefault="00704888">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 xml:space="preserve">四、事业收入：指用于反映事业单位开展专业业务活动及辅助活动所取得的收入。 </w:t>
      </w:r>
    </w:p>
    <w:p w:rsidR="00376C6A" w:rsidRDefault="00704888">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五、事业单位经营收入：指用于反映事业单位在专业活动及辅助活动之外开展非独立核算经营活动取得的收入。</w:t>
      </w:r>
    </w:p>
    <w:p w:rsidR="00376C6A" w:rsidRDefault="00704888">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六、其他收入：指除上述“财政拨款收入”“事业收入”“经营收入”等以外的收入。</w:t>
      </w:r>
    </w:p>
    <w:p w:rsidR="00376C6A" w:rsidRDefault="00704888">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七、上年结转：指以前年度尚未完成、结转到本年按有关规定继续使用的资金。</w:t>
      </w:r>
    </w:p>
    <w:p w:rsidR="00376C6A" w:rsidRDefault="00704888">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八、基本支出：指行政事业单位用于为保障其机构正常运转、完成日常工作任务而发生的人员支出和公用支出。</w:t>
      </w:r>
    </w:p>
    <w:p w:rsidR="00376C6A" w:rsidRDefault="00704888">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九、工资福利支出：反映单位开支的在职职工和编制</w:t>
      </w:r>
      <w:proofErr w:type="gramStart"/>
      <w:r>
        <w:rPr>
          <w:rFonts w:ascii="仿宋_GB2312" w:eastAsia="仿宋_GB2312" w:hAnsi="黑体" w:hint="eastAsia"/>
          <w:sz w:val="32"/>
          <w:szCs w:val="32"/>
        </w:rPr>
        <w:t>外长期</w:t>
      </w:r>
      <w:proofErr w:type="gramEnd"/>
      <w:r>
        <w:rPr>
          <w:rFonts w:ascii="仿宋_GB2312" w:eastAsia="仿宋_GB2312" w:hAnsi="黑体" w:hint="eastAsia"/>
          <w:sz w:val="32"/>
          <w:szCs w:val="32"/>
        </w:rPr>
        <w:t>聘用人员的各类劳动报酬，以及为上述人员缴纳的各项社会保险费等。</w:t>
      </w:r>
    </w:p>
    <w:p w:rsidR="00376C6A" w:rsidRDefault="00704888">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十、对个人和家庭的补助支出：反映政府用于对个人和</w:t>
      </w:r>
      <w:r>
        <w:rPr>
          <w:rFonts w:ascii="仿宋_GB2312" w:eastAsia="仿宋_GB2312" w:hAnsi="黑体" w:hint="eastAsia"/>
          <w:sz w:val="32"/>
          <w:szCs w:val="32"/>
        </w:rPr>
        <w:lastRenderedPageBreak/>
        <w:t>家庭的补助支出，包括离休费、退休费、退职（役）费、抚恤金、生活补助、救济费、医疗费补助、助学金、独生子女奖励金、其他等。</w:t>
      </w:r>
    </w:p>
    <w:p w:rsidR="00376C6A" w:rsidRDefault="00704888">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376C6A" w:rsidRDefault="00704888">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十二、项目支出：指各部门、各单位为完成其特定的工作任务和事业发展目标所发生的支出。</w:t>
      </w:r>
    </w:p>
    <w:p w:rsidR="00376C6A" w:rsidRDefault="00704888">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黑体" w:hint="eastAsia"/>
          <w:sz w:val="32"/>
          <w:szCs w:val="32"/>
        </w:rPr>
        <w:t>含车辆</w:t>
      </w:r>
      <w:proofErr w:type="gramEnd"/>
      <w:r>
        <w:rPr>
          <w:rFonts w:ascii="仿宋_GB2312" w:eastAsia="仿宋_GB2312" w:hAnsi="黑体" w:hint="eastAsia"/>
          <w:sz w:val="32"/>
          <w:szCs w:val="32"/>
        </w:rPr>
        <w:t>购置税）及燃料费、维修费、过路过桥费、保险费、安全奖励费用等支出；公务接待费指单位按规定开支的各类公务接待（含外宾接待）支出。</w:t>
      </w:r>
    </w:p>
    <w:sectPr w:rsidR="00376C6A">
      <w:headerReference w:type="default" r:id="rId9"/>
      <w:type w:val="continuous"/>
      <w:pgSz w:w="11906" w:h="16838"/>
      <w:pgMar w:top="1440" w:right="1797" w:bottom="1440" w:left="1797" w:header="851" w:footer="992" w:gutter="0"/>
      <w:pgNumType w:fmt="numberInDash"/>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35B" w:rsidRDefault="0016535B">
      <w:r>
        <w:separator/>
      </w:r>
    </w:p>
  </w:endnote>
  <w:endnote w:type="continuationSeparator" w:id="0">
    <w:p w:rsidR="0016535B" w:rsidRDefault="0016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35B" w:rsidRDefault="0016535B">
      <w:r>
        <w:separator/>
      </w:r>
    </w:p>
  </w:footnote>
  <w:footnote w:type="continuationSeparator" w:id="0">
    <w:p w:rsidR="0016535B" w:rsidRDefault="00165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C6A" w:rsidRDefault="00376C6A">
    <w:pPr>
      <w:pStyle w:val="a6"/>
      <w:pBdr>
        <w:bottom w:val="none" w:sz="0" w:space="1"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981CA5"/>
    <w:multiLevelType w:val="singleLevel"/>
    <w:tmpl w:val="AA981CA5"/>
    <w:lvl w:ilvl="0">
      <w:start w:val="9"/>
      <w:numFmt w:val="chineseCounting"/>
      <w:suff w:val="nothing"/>
      <w:lvlText w:val="%1、"/>
      <w:lvlJc w:val="left"/>
      <w:rPr>
        <w:rFonts w:hint="eastAsia"/>
      </w:rPr>
    </w:lvl>
  </w:abstractNum>
  <w:abstractNum w:abstractNumId="1">
    <w:nsid w:val="4FFC1BE7"/>
    <w:multiLevelType w:val="singleLevel"/>
    <w:tmpl w:val="4FFC1BE7"/>
    <w:lvl w:ilvl="0">
      <w:start w:val="4"/>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mNTgwOGEwYjNmN2MzZDMwYmNjNWQ2NDgwNWZjMzYifQ=="/>
  </w:docVars>
  <w:rsids>
    <w:rsidRoot w:val="00234A83"/>
    <w:rsid w:val="000018A9"/>
    <w:rsid w:val="00001FBE"/>
    <w:rsid w:val="0000422A"/>
    <w:rsid w:val="00006EEF"/>
    <w:rsid w:val="000161BD"/>
    <w:rsid w:val="00027381"/>
    <w:rsid w:val="00027955"/>
    <w:rsid w:val="00030E4B"/>
    <w:rsid w:val="00031129"/>
    <w:rsid w:val="00037A46"/>
    <w:rsid w:val="00044B9F"/>
    <w:rsid w:val="000464BD"/>
    <w:rsid w:val="000514B0"/>
    <w:rsid w:val="000523F0"/>
    <w:rsid w:val="00052CEF"/>
    <w:rsid w:val="00053CCE"/>
    <w:rsid w:val="00065F7A"/>
    <w:rsid w:val="000738B0"/>
    <w:rsid w:val="00086608"/>
    <w:rsid w:val="00093463"/>
    <w:rsid w:val="0009602C"/>
    <w:rsid w:val="000A1B64"/>
    <w:rsid w:val="000A7420"/>
    <w:rsid w:val="000A7BD6"/>
    <w:rsid w:val="000B3C52"/>
    <w:rsid w:val="000D27C1"/>
    <w:rsid w:val="000D3C57"/>
    <w:rsid w:val="000D6B0B"/>
    <w:rsid w:val="000E1ED6"/>
    <w:rsid w:val="001013C0"/>
    <w:rsid w:val="001042D5"/>
    <w:rsid w:val="00121AAE"/>
    <w:rsid w:val="00122194"/>
    <w:rsid w:val="00126377"/>
    <w:rsid w:val="00144168"/>
    <w:rsid w:val="00145D9B"/>
    <w:rsid w:val="0016535B"/>
    <w:rsid w:val="00166AC5"/>
    <w:rsid w:val="00167B86"/>
    <w:rsid w:val="00170A79"/>
    <w:rsid w:val="00173886"/>
    <w:rsid w:val="001761A4"/>
    <w:rsid w:val="001842FB"/>
    <w:rsid w:val="00184B97"/>
    <w:rsid w:val="00193704"/>
    <w:rsid w:val="00196163"/>
    <w:rsid w:val="001A27FD"/>
    <w:rsid w:val="001A6697"/>
    <w:rsid w:val="001A727B"/>
    <w:rsid w:val="001B0270"/>
    <w:rsid w:val="001C00B8"/>
    <w:rsid w:val="001C2698"/>
    <w:rsid w:val="001D1517"/>
    <w:rsid w:val="001E0007"/>
    <w:rsid w:val="001E0C73"/>
    <w:rsid w:val="001F246B"/>
    <w:rsid w:val="001F63B5"/>
    <w:rsid w:val="001F75DC"/>
    <w:rsid w:val="001F7E29"/>
    <w:rsid w:val="0020020C"/>
    <w:rsid w:val="002045AC"/>
    <w:rsid w:val="00211072"/>
    <w:rsid w:val="00213B65"/>
    <w:rsid w:val="00221AE8"/>
    <w:rsid w:val="00224D6D"/>
    <w:rsid w:val="0023004A"/>
    <w:rsid w:val="00234A83"/>
    <w:rsid w:val="00234D30"/>
    <w:rsid w:val="00240A4E"/>
    <w:rsid w:val="00250582"/>
    <w:rsid w:val="0025080B"/>
    <w:rsid w:val="00250BF8"/>
    <w:rsid w:val="00255F92"/>
    <w:rsid w:val="00256790"/>
    <w:rsid w:val="00265CF9"/>
    <w:rsid w:val="00267049"/>
    <w:rsid w:val="002701EB"/>
    <w:rsid w:val="00272854"/>
    <w:rsid w:val="00275DFB"/>
    <w:rsid w:val="002763C5"/>
    <w:rsid w:val="00276BA6"/>
    <w:rsid w:val="0028426D"/>
    <w:rsid w:val="002872DB"/>
    <w:rsid w:val="00291AD9"/>
    <w:rsid w:val="002B0EF0"/>
    <w:rsid w:val="002C05FA"/>
    <w:rsid w:val="002C4FCE"/>
    <w:rsid w:val="002D00D2"/>
    <w:rsid w:val="002D3DA0"/>
    <w:rsid w:val="002D6895"/>
    <w:rsid w:val="002D6ACE"/>
    <w:rsid w:val="002F52DA"/>
    <w:rsid w:val="00301D17"/>
    <w:rsid w:val="0030396C"/>
    <w:rsid w:val="00304BC1"/>
    <w:rsid w:val="00316B9F"/>
    <w:rsid w:val="003210B3"/>
    <w:rsid w:val="003258E4"/>
    <w:rsid w:val="00336678"/>
    <w:rsid w:val="00337EAA"/>
    <w:rsid w:val="00347F60"/>
    <w:rsid w:val="003548E0"/>
    <w:rsid w:val="00371D8D"/>
    <w:rsid w:val="00373E95"/>
    <w:rsid w:val="0037443D"/>
    <w:rsid w:val="00374F57"/>
    <w:rsid w:val="00376C6A"/>
    <w:rsid w:val="00377ECA"/>
    <w:rsid w:val="003A0D49"/>
    <w:rsid w:val="003A0E2D"/>
    <w:rsid w:val="003A3A11"/>
    <w:rsid w:val="003B388D"/>
    <w:rsid w:val="003C3FDE"/>
    <w:rsid w:val="003D710E"/>
    <w:rsid w:val="003E7686"/>
    <w:rsid w:val="00404916"/>
    <w:rsid w:val="004156F9"/>
    <w:rsid w:val="004219D3"/>
    <w:rsid w:val="00424ED3"/>
    <w:rsid w:val="0042716C"/>
    <w:rsid w:val="00437685"/>
    <w:rsid w:val="0044490B"/>
    <w:rsid w:val="004465DC"/>
    <w:rsid w:val="00446956"/>
    <w:rsid w:val="00453FE2"/>
    <w:rsid w:val="00454743"/>
    <w:rsid w:val="00460E03"/>
    <w:rsid w:val="00462C29"/>
    <w:rsid w:val="00473FB4"/>
    <w:rsid w:val="00474DBE"/>
    <w:rsid w:val="00475D4A"/>
    <w:rsid w:val="00480749"/>
    <w:rsid w:val="004831FA"/>
    <w:rsid w:val="004841B6"/>
    <w:rsid w:val="004842A4"/>
    <w:rsid w:val="00484FFE"/>
    <w:rsid w:val="0049175B"/>
    <w:rsid w:val="004958E3"/>
    <w:rsid w:val="00496F14"/>
    <w:rsid w:val="004A2D25"/>
    <w:rsid w:val="004A2F89"/>
    <w:rsid w:val="004A3D54"/>
    <w:rsid w:val="004A4116"/>
    <w:rsid w:val="004A4576"/>
    <w:rsid w:val="004B1E44"/>
    <w:rsid w:val="004C2034"/>
    <w:rsid w:val="004C32AE"/>
    <w:rsid w:val="004C5575"/>
    <w:rsid w:val="004D1EE2"/>
    <w:rsid w:val="004D3624"/>
    <w:rsid w:val="004D3723"/>
    <w:rsid w:val="004D41AD"/>
    <w:rsid w:val="004D6F5E"/>
    <w:rsid w:val="004F4521"/>
    <w:rsid w:val="004F7083"/>
    <w:rsid w:val="005003C2"/>
    <w:rsid w:val="0050309B"/>
    <w:rsid w:val="005133F9"/>
    <w:rsid w:val="0051634E"/>
    <w:rsid w:val="005245ED"/>
    <w:rsid w:val="0054454A"/>
    <w:rsid w:val="00551032"/>
    <w:rsid w:val="00551745"/>
    <w:rsid w:val="00556D84"/>
    <w:rsid w:val="00582DFF"/>
    <w:rsid w:val="005A1D71"/>
    <w:rsid w:val="005B695F"/>
    <w:rsid w:val="005C14CB"/>
    <w:rsid w:val="005C586E"/>
    <w:rsid w:val="005C638C"/>
    <w:rsid w:val="005D14B7"/>
    <w:rsid w:val="005D3374"/>
    <w:rsid w:val="005D6F72"/>
    <w:rsid w:val="005E226B"/>
    <w:rsid w:val="005E423D"/>
    <w:rsid w:val="005E5231"/>
    <w:rsid w:val="006066B9"/>
    <w:rsid w:val="00606D8F"/>
    <w:rsid w:val="00611D71"/>
    <w:rsid w:val="0061748C"/>
    <w:rsid w:val="0063731E"/>
    <w:rsid w:val="006521AB"/>
    <w:rsid w:val="006525B6"/>
    <w:rsid w:val="00653192"/>
    <w:rsid w:val="00654338"/>
    <w:rsid w:val="00655BFA"/>
    <w:rsid w:val="00660648"/>
    <w:rsid w:val="0067168B"/>
    <w:rsid w:val="00676B1F"/>
    <w:rsid w:val="00683616"/>
    <w:rsid w:val="00685F66"/>
    <w:rsid w:val="00691D20"/>
    <w:rsid w:val="00692459"/>
    <w:rsid w:val="006927EF"/>
    <w:rsid w:val="006A7801"/>
    <w:rsid w:val="006B14CF"/>
    <w:rsid w:val="006C0D31"/>
    <w:rsid w:val="006C1BA7"/>
    <w:rsid w:val="006C24C9"/>
    <w:rsid w:val="006C420C"/>
    <w:rsid w:val="006D2466"/>
    <w:rsid w:val="006F02B1"/>
    <w:rsid w:val="006F2059"/>
    <w:rsid w:val="006F70EB"/>
    <w:rsid w:val="006F78A7"/>
    <w:rsid w:val="00703645"/>
    <w:rsid w:val="00704888"/>
    <w:rsid w:val="00710950"/>
    <w:rsid w:val="00720CEB"/>
    <w:rsid w:val="00722201"/>
    <w:rsid w:val="007267E8"/>
    <w:rsid w:val="00730D37"/>
    <w:rsid w:val="00734934"/>
    <w:rsid w:val="0076307A"/>
    <w:rsid w:val="007665C6"/>
    <w:rsid w:val="00777AD4"/>
    <w:rsid w:val="0078010B"/>
    <w:rsid w:val="00797150"/>
    <w:rsid w:val="007A3230"/>
    <w:rsid w:val="007A39BD"/>
    <w:rsid w:val="007A43E6"/>
    <w:rsid w:val="007A5934"/>
    <w:rsid w:val="007A6D75"/>
    <w:rsid w:val="007B0604"/>
    <w:rsid w:val="007B4574"/>
    <w:rsid w:val="007B7921"/>
    <w:rsid w:val="007D514A"/>
    <w:rsid w:val="007F5CA7"/>
    <w:rsid w:val="007F670A"/>
    <w:rsid w:val="00804F1E"/>
    <w:rsid w:val="00806496"/>
    <w:rsid w:val="00811DE4"/>
    <w:rsid w:val="0081460E"/>
    <w:rsid w:val="008258A6"/>
    <w:rsid w:val="00830637"/>
    <w:rsid w:val="008338E7"/>
    <w:rsid w:val="008404DF"/>
    <w:rsid w:val="0084280D"/>
    <w:rsid w:val="008439D6"/>
    <w:rsid w:val="008458F8"/>
    <w:rsid w:val="008504B9"/>
    <w:rsid w:val="00850C37"/>
    <w:rsid w:val="008617B7"/>
    <w:rsid w:val="00867F03"/>
    <w:rsid w:val="00874160"/>
    <w:rsid w:val="00893808"/>
    <w:rsid w:val="00894913"/>
    <w:rsid w:val="008A3152"/>
    <w:rsid w:val="008C25AF"/>
    <w:rsid w:val="008C51ED"/>
    <w:rsid w:val="008D319E"/>
    <w:rsid w:val="008E5377"/>
    <w:rsid w:val="008E53ED"/>
    <w:rsid w:val="008F091B"/>
    <w:rsid w:val="008F7032"/>
    <w:rsid w:val="008F7E52"/>
    <w:rsid w:val="0090078A"/>
    <w:rsid w:val="00912440"/>
    <w:rsid w:val="00915F0C"/>
    <w:rsid w:val="00917F57"/>
    <w:rsid w:val="00925A74"/>
    <w:rsid w:val="00925B9E"/>
    <w:rsid w:val="00927B30"/>
    <w:rsid w:val="009501B4"/>
    <w:rsid w:val="00955619"/>
    <w:rsid w:val="00956603"/>
    <w:rsid w:val="009579B7"/>
    <w:rsid w:val="0097771F"/>
    <w:rsid w:val="00985491"/>
    <w:rsid w:val="00985600"/>
    <w:rsid w:val="009922F4"/>
    <w:rsid w:val="00994A6C"/>
    <w:rsid w:val="009C198C"/>
    <w:rsid w:val="009C5893"/>
    <w:rsid w:val="009D6DA5"/>
    <w:rsid w:val="009E0940"/>
    <w:rsid w:val="009E294D"/>
    <w:rsid w:val="009E378A"/>
    <w:rsid w:val="009F32AF"/>
    <w:rsid w:val="00A02974"/>
    <w:rsid w:val="00A031D7"/>
    <w:rsid w:val="00A22B9B"/>
    <w:rsid w:val="00A238FD"/>
    <w:rsid w:val="00A34D5A"/>
    <w:rsid w:val="00A35279"/>
    <w:rsid w:val="00A57BA0"/>
    <w:rsid w:val="00A646AD"/>
    <w:rsid w:val="00A71AB0"/>
    <w:rsid w:val="00A72099"/>
    <w:rsid w:val="00A732D1"/>
    <w:rsid w:val="00A7447F"/>
    <w:rsid w:val="00A76006"/>
    <w:rsid w:val="00A961C5"/>
    <w:rsid w:val="00AA33F8"/>
    <w:rsid w:val="00AB26C9"/>
    <w:rsid w:val="00AC5993"/>
    <w:rsid w:val="00AC6222"/>
    <w:rsid w:val="00AD0D3A"/>
    <w:rsid w:val="00AD124B"/>
    <w:rsid w:val="00AD6C38"/>
    <w:rsid w:val="00AD7476"/>
    <w:rsid w:val="00AD7649"/>
    <w:rsid w:val="00AE0D0D"/>
    <w:rsid w:val="00AE4742"/>
    <w:rsid w:val="00AF583B"/>
    <w:rsid w:val="00AF6422"/>
    <w:rsid w:val="00AF6782"/>
    <w:rsid w:val="00B021F2"/>
    <w:rsid w:val="00B1728E"/>
    <w:rsid w:val="00B249E4"/>
    <w:rsid w:val="00B44D9E"/>
    <w:rsid w:val="00B53BE4"/>
    <w:rsid w:val="00B57203"/>
    <w:rsid w:val="00B66EAA"/>
    <w:rsid w:val="00B73332"/>
    <w:rsid w:val="00B750B1"/>
    <w:rsid w:val="00B764D8"/>
    <w:rsid w:val="00B76E6C"/>
    <w:rsid w:val="00B772DC"/>
    <w:rsid w:val="00B84FF0"/>
    <w:rsid w:val="00B860AB"/>
    <w:rsid w:val="00B874DC"/>
    <w:rsid w:val="00B94C85"/>
    <w:rsid w:val="00BA794F"/>
    <w:rsid w:val="00BB28B3"/>
    <w:rsid w:val="00BC22FA"/>
    <w:rsid w:val="00BC73E4"/>
    <w:rsid w:val="00BD07B6"/>
    <w:rsid w:val="00BE22DF"/>
    <w:rsid w:val="00BE602D"/>
    <w:rsid w:val="00BF2A56"/>
    <w:rsid w:val="00C023C0"/>
    <w:rsid w:val="00C14971"/>
    <w:rsid w:val="00C22AC2"/>
    <w:rsid w:val="00C272ED"/>
    <w:rsid w:val="00C30118"/>
    <w:rsid w:val="00C3377B"/>
    <w:rsid w:val="00C40098"/>
    <w:rsid w:val="00C47B09"/>
    <w:rsid w:val="00C604F6"/>
    <w:rsid w:val="00C66FC9"/>
    <w:rsid w:val="00C7282F"/>
    <w:rsid w:val="00C775CA"/>
    <w:rsid w:val="00C82B84"/>
    <w:rsid w:val="00C9045D"/>
    <w:rsid w:val="00C966DB"/>
    <w:rsid w:val="00C96704"/>
    <w:rsid w:val="00CA26E0"/>
    <w:rsid w:val="00CA3A4C"/>
    <w:rsid w:val="00CA6889"/>
    <w:rsid w:val="00CA7B63"/>
    <w:rsid w:val="00CB3C15"/>
    <w:rsid w:val="00CB7365"/>
    <w:rsid w:val="00CD6E85"/>
    <w:rsid w:val="00CE2D00"/>
    <w:rsid w:val="00CE7B5D"/>
    <w:rsid w:val="00CF32EC"/>
    <w:rsid w:val="00CF3525"/>
    <w:rsid w:val="00D0593B"/>
    <w:rsid w:val="00D077FD"/>
    <w:rsid w:val="00D11413"/>
    <w:rsid w:val="00D127D4"/>
    <w:rsid w:val="00D159E8"/>
    <w:rsid w:val="00D16F8B"/>
    <w:rsid w:val="00D24FE2"/>
    <w:rsid w:val="00D24FF4"/>
    <w:rsid w:val="00D34EBC"/>
    <w:rsid w:val="00D41FD1"/>
    <w:rsid w:val="00D475DB"/>
    <w:rsid w:val="00D54B44"/>
    <w:rsid w:val="00D55BB6"/>
    <w:rsid w:val="00D641BC"/>
    <w:rsid w:val="00D8618D"/>
    <w:rsid w:val="00D878B4"/>
    <w:rsid w:val="00D9053F"/>
    <w:rsid w:val="00D9554E"/>
    <w:rsid w:val="00DA2013"/>
    <w:rsid w:val="00DA6EA2"/>
    <w:rsid w:val="00DA77FA"/>
    <w:rsid w:val="00DB65AD"/>
    <w:rsid w:val="00DB6661"/>
    <w:rsid w:val="00DB746C"/>
    <w:rsid w:val="00DC188F"/>
    <w:rsid w:val="00DC4966"/>
    <w:rsid w:val="00DD2995"/>
    <w:rsid w:val="00DF2891"/>
    <w:rsid w:val="00E10D0E"/>
    <w:rsid w:val="00E15359"/>
    <w:rsid w:val="00E156F4"/>
    <w:rsid w:val="00E232DC"/>
    <w:rsid w:val="00E428B9"/>
    <w:rsid w:val="00E4445E"/>
    <w:rsid w:val="00E44498"/>
    <w:rsid w:val="00E44E05"/>
    <w:rsid w:val="00E450AF"/>
    <w:rsid w:val="00E52A48"/>
    <w:rsid w:val="00E57145"/>
    <w:rsid w:val="00E74076"/>
    <w:rsid w:val="00E96C53"/>
    <w:rsid w:val="00E97D18"/>
    <w:rsid w:val="00EA784E"/>
    <w:rsid w:val="00EC0378"/>
    <w:rsid w:val="00EC194F"/>
    <w:rsid w:val="00ED142A"/>
    <w:rsid w:val="00EE1981"/>
    <w:rsid w:val="00EE42F0"/>
    <w:rsid w:val="00EE4A47"/>
    <w:rsid w:val="00F03AA4"/>
    <w:rsid w:val="00F05935"/>
    <w:rsid w:val="00F07021"/>
    <w:rsid w:val="00F078BF"/>
    <w:rsid w:val="00F118B4"/>
    <w:rsid w:val="00F14F2E"/>
    <w:rsid w:val="00F16915"/>
    <w:rsid w:val="00F174A6"/>
    <w:rsid w:val="00F17579"/>
    <w:rsid w:val="00F26CD6"/>
    <w:rsid w:val="00F314DB"/>
    <w:rsid w:val="00F336B5"/>
    <w:rsid w:val="00F4012F"/>
    <w:rsid w:val="00F40E37"/>
    <w:rsid w:val="00F552FB"/>
    <w:rsid w:val="00F66244"/>
    <w:rsid w:val="00F7215B"/>
    <w:rsid w:val="00F75DE1"/>
    <w:rsid w:val="00F821FF"/>
    <w:rsid w:val="00F87063"/>
    <w:rsid w:val="00FA0F73"/>
    <w:rsid w:val="00FA305F"/>
    <w:rsid w:val="00FA40B1"/>
    <w:rsid w:val="00FA4CB7"/>
    <w:rsid w:val="00FA56AD"/>
    <w:rsid w:val="00FA750D"/>
    <w:rsid w:val="00FB389B"/>
    <w:rsid w:val="00FC09A0"/>
    <w:rsid w:val="00FC66BC"/>
    <w:rsid w:val="00FD2154"/>
    <w:rsid w:val="00FD74F3"/>
    <w:rsid w:val="00FF13A5"/>
    <w:rsid w:val="00FF6F7F"/>
    <w:rsid w:val="0112363F"/>
    <w:rsid w:val="01B5051F"/>
    <w:rsid w:val="03125895"/>
    <w:rsid w:val="07B92A66"/>
    <w:rsid w:val="0DE4681E"/>
    <w:rsid w:val="1001473F"/>
    <w:rsid w:val="178C102A"/>
    <w:rsid w:val="181D494B"/>
    <w:rsid w:val="1C2E5379"/>
    <w:rsid w:val="1D646B79"/>
    <w:rsid w:val="1EB63404"/>
    <w:rsid w:val="205828D0"/>
    <w:rsid w:val="2322550C"/>
    <w:rsid w:val="237A2CCE"/>
    <w:rsid w:val="278C564A"/>
    <w:rsid w:val="29AC1FD3"/>
    <w:rsid w:val="2B177920"/>
    <w:rsid w:val="31E3230A"/>
    <w:rsid w:val="323B0398"/>
    <w:rsid w:val="334359B5"/>
    <w:rsid w:val="37E82428"/>
    <w:rsid w:val="3A200021"/>
    <w:rsid w:val="3FDE7829"/>
    <w:rsid w:val="3FF73B50"/>
    <w:rsid w:val="41D61543"/>
    <w:rsid w:val="43170CDF"/>
    <w:rsid w:val="43AF64F0"/>
    <w:rsid w:val="4BC13264"/>
    <w:rsid w:val="4D1D271C"/>
    <w:rsid w:val="4D834C75"/>
    <w:rsid w:val="4E151645"/>
    <w:rsid w:val="4EBD0722"/>
    <w:rsid w:val="51085543"/>
    <w:rsid w:val="52354064"/>
    <w:rsid w:val="55D241A0"/>
    <w:rsid w:val="56785870"/>
    <w:rsid w:val="5698466F"/>
    <w:rsid w:val="570D3802"/>
    <w:rsid w:val="59396B6B"/>
    <w:rsid w:val="5B1054D7"/>
    <w:rsid w:val="5B7C2D04"/>
    <w:rsid w:val="5C4001D5"/>
    <w:rsid w:val="5D6D6DA8"/>
    <w:rsid w:val="5F4F0E5B"/>
    <w:rsid w:val="61A46B11"/>
    <w:rsid w:val="669F1927"/>
    <w:rsid w:val="67A05FCC"/>
    <w:rsid w:val="699F653B"/>
    <w:rsid w:val="6A2904FB"/>
    <w:rsid w:val="6A8D4C80"/>
    <w:rsid w:val="6AF1726A"/>
    <w:rsid w:val="6B5670CE"/>
    <w:rsid w:val="72640322"/>
    <w:rsid w:val="72D54D7C"/>
    <w:rsid w:val="7C9643BE"/>
    <w:rsid w:val="7CB26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footnote text" w:qFormat="1"/>
    <w:lsdException w:name="header" w:semiHidden="0" w:qFormat="1"/>
    <w:lsdException w:name="footer" w:semiHidden="0" w:qFormat="1"/>
    <w:lsdException w:name="caption" w:uiPriority="35" w:qFormat="1"/>
    <w:lsdException w:name="footnote reference" w:qFormat="1"/>
    <w:lsdException w:name="endnote text"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Calibri" w:eastAsia="宋体" w:hAnsi="Calibri" w:cs="黑体"/>
      <w:kern w:val="2"/>
      <w:sz w:val="21"/>
      <w:szCs w:val="22"/>
    </w:rPr>
  </w:style>
  <w:style w:type="paragraph" w:styleId="1">
    <w:name w:val="heading 1"/>
    <w:basedOn w:val="a"/>
    <w:next w:val="a"/>
    <w:link w:val="1Char"/>
    <w:autoRedefine/>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39"/>
    <w:unhideWhenUsed/>
    <w:qFormat/>
    <w:pPr>
      <w:ind w:left="1260"/>
      <w:jc w:val="left"/>
    </w:pPr>
    <w:rPr>
      <w:rFonts w:asciiTheme="minorHAnsi" w:hAnsiTheme="minorHAnsi"/>
      <w:sz w:val="18"/>
      <w:szCs w:val="18"/>
    </w:rPr>
  </w:style>
  <w:style w:type="paragraph" w:styleId="5">
    <w:name w:val="toc 5"/>
    <w:basedOn w:val="a"/>
    <w:next w:val="a"/>
    <w:autoRedefine/>
    <w:uiPriority w:val="39"/>
    <w:unhideWhenUsed/>
    <w:qFormat/>
    <w:pPr>
      <w:ind w:left="840"/>
      <w:jc w:val="left"/>
    </w:pPr>
    <w:rPr>
      <w:rFonts w:asciiTheme="minorHAnsi" w:hAnsiTheme="minorHAnsi"/>
      <w:sz w:val="18"/>
      <w:szCs w:val="18"/>
    </w:rPr>
  </w:style>
  <w:style w:type="paragraph" w:styleId="30">
    <w:name w:val="toc 3"/>
    <w:basedOn w:val="a"/>
    <w:next w:val="a"/>
    <w:autoRedefine/>
    <w:uiPriority w:val="39"/>
    <w:unhideWhenUsed/>
    <w:qFormat/>
    <w:pPr>
      <w:ind w:left="420"/>
      <w:jc w:val="left"/>
    </w:pPr>
    <w:rPr>
      <w:rFonts w:asciiTheme="minorHAnsi" w:hAnsiTheme="minorHAnsi"/>
      <w:i/>
      <w:iCs/>
      <w:sz w:val="20"/>
      <w:szCs w:val="20"/>
    </w:rPr>
  </w:style>
  <w:style w:type="paragraph" w:styleId="8">
    <w:name w:val="toc 8"/>
    <w:basedOn w:val="a"/>
    <w:next w:val="a"/>
    <w:autoRedefine/>
    <w:uiPriority w:val="39"/>
    <w:unhideWhenUsed/>
    <w:qFormat/>
    <w:pPr>
      <w:ind w:left="1470"/>
      <w:jc w:val="left"/>
    </w:pPr>
    <w:rPr>
      <w:rFonts w:asciiTheme="minorHAnsi" w:hAnsiTheme="minorHAnsi"/>
      <w:sz w:val="18"/>
      <w:szCs w:val="18"/>
    </w:rPr>
  </w:style>
  <w:style w:type="paragraph" w:styleId="a3">
    <w:name w:val="endnote text"/>
    <w:basedOn w:val="a"/>
    <w:link w:val="Char"/>
    <w:autoRedefine/>
    <w:uiPriority w:val="99"/>
    <w:semiHidden/>
    <w:unhideWhenUsed/>
    <w:qFormat/>
    <w:pPr>
      <w:snapToGrid w:val="0"/>
      <w:jc w:val="left"/>
    </w:pPr>
  </w:style>
  <w:style w:type="paragraph" w:styleId="a4">
    <w:name w:val="Balloon Text"/>
    <w:basedOn w:val="a"/>
    <w:link w:val="Char0"/>
    <w:autoRedefine/>
    <w:uiPriority w:val="99"/>
    <w:semiHidden/>
    <w:unhideWhenUsed/>
    <w:qFormat/>
    <w:rPr>
      <w:sz w:val="18"/>
      <w:szCs w:val="18"/>
    </w:rPr>
  </w:style>
  <w:style w:type="paragraph" w:styleId="a5">
    <w:name w:val="footer"/>
    <w:basedOn w:val="a"/>
    <w:link w:val="Char1"/>
    <w:autoRedefine/>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pPr>
      <w:spacing w:before="120" w:after="120"/>
      <w:jc w:val="left"/>
    </w:pPr>
    <w:rPr>
      <w:rFonts w:asciiTheme="minorHAnsi" w:hAnsiTheme="minorHAnsi"/>
      <w:b/>
      <w:bCs/>
      <w:caps/>
      <w:sz w:val="20"/>
      <w:szCs w:val="20"/>
    </w:rPr>
  </w:style>
  <w:style w:type="paragraph" w:styleId="40">
    <w:name w:val="toc 4"/>
    <w:basedOn w:val="a"/>
    <w:next w:val="a"/>
    <w:autoRedefine/>
    <w:uiPriority w:val="39"/>
    <w:unhideWhenUsed/>
    <w:qFormat/>
    <w:pPr>
      <w:ind w:left="630"/>
      <w:jc w:val="left"/>
    </w:pPr>
    <w:rPr>
      <w:rFonts w:asciiTheme="minorHAnsi" w:hAnsiTheme="minorHAnsi"/>
      <w:sz w:val="18"/>
      <w:szCs w:val="18"/>
    </w:rPr>
  </w:style>
  <w:style w:type="paragraph" w:styleId="a7">
    <w:name w:val="footnote text"/>
    <w:basedOn w:val="a"/>
    <w:link w:val="Char3"/>
    <w:autoRedefine/>
    <w:uiPriority w:val="99"/>
    <w:semiHidden/>
    <w:unhideWhenUsed/>
    <w:qFormat/>
    <w:pPr>
      <w:snapToGrid w:val="0"/>
      <w:jc w:val="left"/>
    </w:pPr>
    <w:rPr>
      <w:sz w:val="18"/>
      <w:szCs w:val="18"/>
    </w:rPr>
  </w:style>
  <w:style w:type="paragraph" w:styleId="6">
    <w:name w:val="toc 6"/>
    <w:basedOn w:val="a"/>
    <w:next w:val="a"/>
    <w:autoRedefine/>
    <w:uiPriority w:val="39"/>
    <w:unhideWhenUsed/>
    <w:qFormat/>
    <w:pPr>
      <w:ind w:left="1050"/>
      <w:jc w:val="left"/>
    </w:pPr>
    <w:rPr>
      <w:rFonts w:asciiTheme="minorHAnsi" w:hAnsiTheme="minorHAnsi"/>
      <w:sz w:val="18"/>
      <w:szCs w:val="18"/>
    </w:rPr>
  </w:style>
  <w:style w:type="paragraph" w:styleId="20">
    <w:name w:val="toc 2"/>
    <w:basedOn w:val="a"/>
    <w:next w:val="a"/>
    <w:autoRedefine/>
    <w:uiPriority w:val="39"/>
    <w:unhideWhenUsed/>
    <w:qFormat/>
    <w:pPr>
      <w:ind w:left="210"/>
      <w:jc w:val="left"/>
    </w:pPr>
    <w:rPr>
      <w:rFonts w:asciiTheme="minorHAnsi" w:hAnsiTheme="minorHAnsi"/>
      <w:smallCaps/>
      <w:sz w:val="20"/>
      <w:szCs w:val="20"/>
    </w:rPr>
  </w:style>
  <w:style w:type="paragraph" w:styleId="9">
    <w:name w:val="toc 9"/>
    <w:basedOn w:val="a"/>
    <w:next w:val="a"/>
    <w:uiPriority w:val="39"/>
    <w:unhideWhenUsed/>
    <w:qFormat/>
    <w:pPr>
      <w:ind w:left="1680"/>
      <w:jc w:val="left"/>
    </w:pPr>
    <w:rPr>
      <w:rFonts w:asciiTheme="minorHAnsi" w:hAnsiTheme="minorHAnsi"/>
      <w:sz w:val="18"/>
      <w:szCs w:val="18"/>
    </w:rPr>
  </w:style>
  <w:style w:type="paragraph" w:styleId="a8">
    <w:name w:val="Normal (Web)"/>
    <w:basedOn w:val="a"/>
    <w:autoRedefine/>
    <w:uiPriority w:val="99"/>
    <w:qFormat/>
    <w:pPr>
      <w:widowControl/>
      <w:jc w:val="left"/>
    </w:pPr>
    <w:rPr>
      <w:rFonts w:ascii="宋体" w:hAnsi="宋体" w:cs="宋体"/>
      <w:kern w:val="0"/>
      <w:sz w:val="24"/>
      <w:szCs w:val="24"/>
    </w:rPr>
  </w:style>
  <w:style w:type="character" w:styleId="a9">
    <w:name w:val="endnote reference"/>
    <w:basedOn w:val="a0"/>
    <w:autoRedefine/>
    <w:uiPriority w:val="99"/>
    <w:semiHidden/>
    <w:unhideWhenUsed/>
    <w:rPr>
      <w:vertAlign w:val="superscript"/>
    </w:rPr>
  </w:style>
  <w:style w:type="character" w:styleId="aa">
    <w:name w:val="Hyperlink"/>
    <w:basedOn w:val="a0"/>
    <w:autoRedefine/>
    <w:uiPriority w:val="99"/>
    <w:unhideWhenUsed/>
    <w:qFormat/>
    <w:rPr>
      <w:color w:val="0000FF" w:themeColor="hyperlink"/>
      <w:u w:val="single"/>
    </w:rPr>
  </w:style>
  <w:style w:type="character" w:styleId="ab">
    <w:name w:val="footnote reference"/>
    <w:basedOn w:val="a0"/>
    <w:autoRedefine/>
    <w:uiPriority w:val="99"/>
    <w:semiHidden/>
    <w:unhideWhenUsed/>
    <w:qFormat/>
    <w:rPr>
      <w:vertAlign w:val="superscript"/>
    </w:rPr>
  </w:style>
  <w:style w:type="paragraph" w:customStyle="1" w:styleId="11">
    <w:name w:val="列出段落1"/>
    <w:basedOn w:val="a"/>
    <w:autoRedefine/>
    <w:uiPriority w:val="34"/>
    <w:qFormat/>
    <w:pPr>
      <w:ind w:firstLineChars="200" w:firstLine="420"/>
    </w:pPr>
  </w:style>
  <w:style w:type="character" w:customStyle="1" w:styleId="Char2">
    <w:name w:val="页眉 Char"/>
    <w:basedOn w:val="a0"/>
    <w:link w:val="a6"/>
    <w:uiPriority w:val="99"/>
    <w:qFormat/>
    <w:rPr>
      <w:rFonts w:ascii="Calibri" w:eastAsia="宋体" w:hAnsi="Calibri" w:cs="黑体"/>
      <w:sz w:val="18"/>
      <w:szCs w:val="18"/>
    </w:rPr>
  </w:style>
  <w:style w:type="character" w:customStyle="1" w:styleId="Char1">
    <w:name w:val="页脚 Char"/>
    <w:basedOn w:val="a0"/>
    <w:link w:val="a5"/>
    <w:autoRedefine/>
    <w:uiPriority w:val="99"/>
    <w:qFormat/>
    <w:rPr>
      <w:rFonts w:ascii="Calibri" w:eastAsia="宋体" w:hAnsi="Calibri" w:cs="黑体"/>
      <w:sz w:val="18"/>
      <w:szCs w:val="18"/>
    </w:rPr>
  </w:style>
  <w:style w:type="character" w:customStyle="1" w:styleId="2Char">
    <w:name w:val="标题 2 Char"/>
    <w:basedOn w:val="a0"/>
    <w:link w:val="2"/>
    <w:autoRedefine/>
    <w:uiPriority w:val="9"/>
    <w:qFormat/>
    <w:rPr>
      <w:rFonts w:asciiTheme="majorHAnsi" w:eastAsiaTheme="majorEastAsia" w:hAnsiTheme="majorHAnsi" w:cstheme="majorBidi"/>
      <w:b/>
      <w:bCs/>
      <w:sz w:val="32"/>
      <w:szCs w:val="32"/>
    </w:rPr>
  </w:style>
  <w:style w:type="character" w:customStyle="1" w:styleId="1Char">
    <w:name w:val="标题 1 Char"/>
    <w:basedOn w:val="a0"/>
    <w:link w:val="1"/>
    <w:autoRedefine/>
    <w:uiPriority w:val="9"/>
    <w:qFormat/>
    <w:rPr>
      <w:rFonts w:ascii="Calibri" w:eastAsia="宋体" w:hAnsi="Calibri" w:cs="黑体"/>
      <w:b/>
      <w:bCs/>
      <w:kern w:val="44"/>
      <w:sz w:val="44"/>
      <w:szCs w:val="44"/>
    </w:rPr>
  </w:style>
  <w:style w:type="character" w:customStyle="1" w:styleId="3Char">
    <w:name w:val="标题 3 Char"/>
    <w:basedOn w:val="a0"/>
    <w:link w:val="3"/>
    <w:autoRedefine/>
    <w:uiPriority w:val="9"/>
    <w:semiHidden/>
    <w:qFormat/>
    <w:rPr>
      <w:rFonts w:ascii="Calibri" w:eastAsia="宋体" w:hAnsi="Calibri" w:cs="黑体"/>
      <w:b/>
      <w:bCs/>
      <w:sz w:val="32"/>
      <w:szCs w:val="32"/>
    </w:rPr>
  </w:style>
  <w:style w:type="character" w:customStyle="1" w:styleId="4Char">
    <w:name w:val="标题 4 Char"/>
    <w:basedOn w:val="a0"/>
    <w:link w:val="4"/>
    <w:autoRedefine/>
    <w:uiPriority w:val="9"/>
    <w:qFormat/>
    <w:rPr>
      <w:rFonts w:asciiTheme="majorHAnsi" w:eastAsiaTheme="majorEastAsia" w:hAnsiTheme="majorHAnsi" w:cstheme="majorBidi"/>
      <w:b/>
      <w:bCs/>
      <w:sz w:val="28"/>
      <w:szCs w:val="28"/>
    </w:rPr>
  </w:style>
  <w:style w:type="paragraph" w:customStyle="1" w:styleId="TOC1">
    <w:name w:val="TOC 标题1"/>
    <w:basedOn w:val="1"/>
    <w:next w:val="a"/>
    <w:autoRedefine/>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autoRedefine/>
    <w:uiPriority w:val="99"/>
    <w:semiHidden/>
    <w:qFormat/>
    <w:rPr>
      <w:rFonts w:ascii="Calibri" w:eastAsia="宋体" w:hAnsi="Calibri" w:cs="黑体"/>
      <w:sz w:val="18"/>
      <w:szCs w:val="18"/>
    </w:rPr>
  </w:style>
  <w:style w:type="character" w:customStyle="1" w:styleId="Char">
    <w:name w:val="尾注文本 Char"/>
    <w:basedOn w:val="a0"/>
    <w:link w:val="a3"/>
    <w:autoRedefine/>
    <w:uiPriority w:val="99"/>
    <w:semiHidden/>
    <w:qFormat/>
    <w:rPr>
      <w:rFonts w:ascii="Calibri" w:eastAsia="宋体" w:hAnsi="Calibri" w:cs="黑体"/>
      <w:kern w:val="2"/>
      <w:sz w:val="21"/>
      <w:szCs w:val="22"/>
    </w:rPr>
  </w:style>
  <w:style w:type="character" w:customStyle="1" w:styleId="Char3">
    <w:name w:val="脚注文本 Char"/>
    <w:basedOn w:val="a0"/>
    <w:link w:val="a7"/>
    <w:autoRedefine/>
    <w:uiPriority w:val="99"/>
    <w:semiHidden/>
    <w:qFormat/>
    <w:rPr>
      <w:rFonts w:ascii="Calibri" w:eastAsia="宋体" w:hAnsi="Calibri" w:cs="黑体"/>
      <w:kern w:val="2"/>
      <w:sz w:val="18"/>
      <w:szCs w:val="18"/>
    </w:rPr>
  </w:style>
  <w:style w:type="paragraph" w:customStyle="1" w:styleId="21">
    <w:name w:val="列出段落2"/>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footnote text" w:qFormat="1"/>
    <w:lsdException w:name="header" w:semiHidden="0" w:qFormat="1"/>
    <w:lsdException w:name="footer" w:semiHidden="0" w:qFormat="1"/>
    <w:lsdException w:name="caption" w:uiPriority="35" w:qFormat="1"/>
    <w:lsdException w:name="footnote reference" w:qFormat="1"/>
    <w:lsdException w:name="endnote text"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Calibri" w:eastAsia="宋体" w:hAnsi="Calibri" w:cs="黑体"/>
      <w:kern w:val="2"/>
      <w:sz w:val="21"/>
      <w:szCs w:val="22"/>
    </w:rPr>
  </w:style>
  <w:style w:type="paragraph" w:styleId="1">
    <w:name w:val="heading 1"/>
    <w:basedOn w:val="a"/>
    <w:next w:val="a"/>
    <w:link w:val="1Char"/>
    <w:autoRedefine/>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39"/>
    <w:unhideWhenUsed/>
    <w:qFormat/>
    <w:pPr>
      <w:ind w:left="1260"/>
      <w:jc w:val="left"/>
    </w:pPr>
    <w:rPr>
      <w:rFonts w:asciiTheme="minorHAnsi" w:hAnsiTheme="minorHAnsi"/>
      <w:sz w:val="18"/>
      <w:szCs w:val="18"/>
    </w:rPr>
  </w:style>
  <w:style w:type="paragraph" w:styleId="5">
    <w:name w:val="toc 5"/>
    <w:basedOn w:val="a"/>
    <w:next w:val="a"/>
    <w:autoRedefine/>
    <w:uiPriority w:val="39"/>
    <w:unhideWhenUsed/>
    <w:qFormat/>
    <w:pPr>
      <w:ind w:left="840"/>
      <w:jc w:val="left"/>
    </w:pPr>
    <w:rPr>
      <w:rFonts w:asciiTheme="minorHAnsi" w:hAnsiTheme="minorHAnsi"/>
      <w:sz w:val="18"/>
      <w:szCs w:val="18"/>
    </w:rPr>
  </w:style>
  <w:style w:type="paragraph" w:styleId="30">
    <w:name w:val="toc 3"/>
    <w:basedOn w:val="a"/>
    <w:next w:val="a"/>
    <w:autoRedefine/>
    <w:uiPriority w:val="39"/>
    <w:unhideWhenUsed/>
    <w:qFormat/>
    <w:pPr>
      <w:ind w:left="420"/>
      <w:jc w:val="left"/>
    </w:pPr>
    <w:rPr>
      <w:rFonts w:asciiTheme="minorHAnsi" w:hAnsiTheme="minorHAnsi"/>
      <w:i/>
      <w:iCs/>
      <w:sz w:val="20"/>
      <w:szCs w:val="20"/>
    </w:rPr>
  </w:style>
  <w:style w:type="paragraph" w:styleId="8">
    <w:name w:val="toc 8"/>
    <w:basedOn w:val="a"/>
    <w:next w:val="a"/>
    <w:autoRedefine/>
    <w:uiPriority w:val="39"/>
    <w:unhideWhenUsed/>
    <w:qFormat/>
    <w:pPr>
      <w:ind w:left="1470"/>
      <w:jc w:val="left"/>
    </w:pPr>
    <w:rPr>
      <w:rFonts w:asciiTheme="minorHAnsi" w:hAnsiTheme="minorHAnsi"/>
      <w:sz w:val="18"/>
      <w:szCs w:val="18"/>
    </w:rPr>
  </w:style>
  <w:style w:type="paragraph" w:styleId="a3">
    <w:name w:val="endnote text"/>
    <w:basedOn w:val="a"/>
    <w:link w:val="Char"/>
    <w:autoRedefine/>
    <w:uiPriority w:val="99"/>
    <w:semiHidden/>
    <w:unhideWhenUsed/>
    <w:qFormat/>
    <w:pPr>
      <w:snapToGrid w:val="0"/>
      <w:jc w:val="left"/>
    </w:pPr>
  </w:style>
  <w:style w:type="paragraph" w:styleId="a4">
    <w:name w:val="Balloon Text"/>
    <w:basedOn w:val="a"/>
    <w:link w:val="Char0"/>
    <w:autoRedefine/>
    <w:uiPriority w:val="99"/>
    <w:semiHidden/>
    <w:unhideWhenUsed/>
    <w:qFormat/>
    <w:rPr>
      <w:sz w:val="18"/>
      <w:szCs w:val="18"/>
    </w:rPr>
  </w:style>
  <w:style w:type="paragraph" w:styleId="a5">
    <w:name w:val="footer"/>
    <w:basedOn w:val="a"/>
    <w:link w:val="Char1"/>
    <w:autoRedefine/>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pPr>
      <w:spacing w:before="120" w:after="120"/>
      <w:jc w:val="left"/>
    </w:pPr>
    <w:rPr>
      <w:rFonts w:asciiTheme="minorHAnsi" w:hAnsiTheme="minorHAnsi"/>
      <w:b/>
      <w:bCs/>
      <w:caps/>
      <w:sz w:val="20"/>
      <w:szCs w:val="20"/>
    </w:rPr>
  </w:style>
  <w:style w:type="paragraph" w:styleId="40">
    <w:name w:val="toc 4"/>
    <w:basedOn w:val="a"/>
    <w:next w:val="a"/>
    <w:autoRedefine/>
    <w:uiPriority w:val="39"/>
    <w:unhideWhenUsed/>
    <w:qFormat/>
    <w:pPr>
      <w:ind w:left="630"/>
      <w:jc w:val="left"/>
    </w:pPr>
    <w:rPr>
      <w:rFonts w:asciiTheme="minorHAnsi" w:hAnsiTheme="minorHAnsi"/>
      <w:sz w:val="18"/>
      <w:szCs w:val="18"/>
    </w:rPr>
  </w:style>
  <w:style w:type="paragraph" w:styleId="a7">
    <w:name w:val="footnote text"/>
    <w:basedOn w:val="a"/>
    <w:link w:val="Char3"/>
    <w:autoRedefine/>
    <w:uiPriority w:val="99"/>
    <w:semiHidden/>
    <w:unhideWhenUsed/>
    <w:qFormat/>
    <w:pPr>
      <w:snapToGrid w:val="0"/>
      <w:jc w:val="left"/>
    </w:pPr>
    <w:rPr>
      <w:sz w:val="18"/>
      <w:szCs w:val="18"/>
    </w:rPr>
  </w:style>
  <w:style w:type="paragraph" w:styleId="6">
    <w:name w:val="toc 6"/>
    <w:basedOn w:val="a"/>
    <w:next w:val="a"/>
    <w:autoRedefine/>
    <w:uiPriority w:val="39"/>
    <w:unhideWhenUsed/>
    <w:qFormat/>
    <w:pPr>
      <w:ind w:left="1050"/>
      <w:jc w:val="left"/>
    </w:pPr>
    <w:rPr>
      <w:rFonts w:asciiTheme="minorHAnsi" w:hAnsiTheme="minorHAnsi"/>
      <w:sz w:val="18"/>
      <w:szCs w:val="18"/>
    </w:rPr>
  </w:style>
  <w:style w:type="paragraph" w:styleId="20">
    <w:name w:val="toc 2"/>
    <w:basedOn w:val="a"/>
    <w:next w:val="a"/>
    <w:autoRedefine/>
    <w:uiPriority w:val="39"/>
    <w:unhideWhenUsed/>
    <w:qFormat/>
    <w:pPr>
      <w:ind w:left="210"/>
      <w:jc w:val="left"/>
    </w:pPr>
    <w:rPr>
      <w:rFonts w:asciiTheme="minorHAnsi" w:hAnsiTheme="minorHAnsi"/>
      <w:smallCaps/>
      <w:sz w:val="20"/>
      <w:szCs w:val="20"/>
    </w:rPr>
  </w:style>
  <w:style w:type="paragraph" w:styleId="9">
    <w:name w:val="toc 9"/>
    <w:basedOn w:val="a"/>
    <w:next w:val="a"/>
    <w:uiPriority w:val="39"/>
    <w:unhideWhenUsed/>
    <w:qFormat/>
    <w:pPr>
      <w:ind w:left="1680"/>
      <w:jc w:val="left"/>
    </w:pPr>
    <w:rPr>
      <w:rFonts w:asciiTheme="minorHAnsi" w:hAnsiTheme="minorHAnsi"/>
      <w:sz w:val="18"/>
      <w:szCs w:val="18"/>
    </w:rPr>
  </w:style>
  <w:style w:type="paragraph" w:styleId="a8">
    <w:name w:val="Normal (Web)"/>
    <w:basedOn w:val="a"/>
    <w:autoRedefine/>
    <w:uiPriority w:val="99"/>
    <w:qFormat/>
    <w:pPr>
      <w:widowControl/>
      <w:jc w:val="left"/>
    </w:pPr>
    <w:rPr>
      <w:rFonts w:ascii="宋体" w:hAnsi="宋体" w:cs="宋体"/>
      <w:kern w:val="0"/>
      <w:sz w:val="24"/>
      <w:szCs w:val="24"/>
    </w:rPr>
  </w:style>
  <w:style w:type="character" w:styleId="a9">
    <w:name w:val="endnote reference"/>
    <w:basedOn w:val="a0"/>
    <w:autoRedefine/>
    <w:uiPriority w:val="99"/>
    <w:semiHidden/>
    <w:unhideWhenUsed/>
    <w:rPr>
      <w:vertAlign w:val="superscript"/>
    </w:rPr>
  </w:style>
  <w:style w:type="character" w:styleId="aa">
    <w:name w:val="Hyperlink"/>
    <w:basedOn w:val="a0"/>
    <w:autoRedefine/>
    <w:uiPriority w:val="99"/>
    <w:unhideWhenUsed/>
    <w:qFormat/>
    <w:rPr>
      <w:color w:val="0000FF" w:themeColor="hyperlink"/>
      <w:u w:val="single"/>
    </w:rPr>
  </w:style>
  <w:style w:type="character" w:styleId="ab">
    <w:name w:val="footnote reference"/>
    <w:basedOn w:val="a0"/>
    <w:autoRedefine/>
    <w:uiPriority w:val="99"/>
    <w:semiHidden/>
    <w:unhideWhenUsed/>
    <w:qFormat/>
    <w:rPr>
      <w:vertAlign w:val="superscript"/>
    </w:rPr>
  </w:style>
  <w:style w:type="paragraph" w:customStyle="1" w:styleId="11">
    <w:name w:val="列出段落1"/>
    <w:basedOn w:val="a"/>
    <w:autoRedefine/>
    <w:uiPriority w:val="34"/>
    <w:qFormat/>
    <w:pPr>
      <w:ind w:firstLineChars="200" w:firstLine="420"/>
    </w:pPr>
  </w:style>
  <w:style w:type="character" w:customStyle="1" w:styleId="Char2">
    <w:name w:val="页眉 Char"/>
    <w:basedOn w:val="a0"/>
    <w:link w:val="a6"/>
    <w:uiPriority w:val="99"/>
    <w:qFormat/>
    <w:rPr>
      <w:rFonts w:ascii="Calibri" w:eastAsia="宋体" w:hAnsi="Calibri" w:cs="黑体"/>
      <w:sz w:val="18"/>
      <w:szCs w:val="18"/>
    </w:rPr>
  </w:style>
  <w:style w:type="character" w:customStyle="1" w:styleId="Char1">
    <w:name w:val="页脚 Char"/>
    <w:basedOn w:val="a0"/>
    <w:link w:val="a5"/>
    <w:autoRedefine/>
    <w:uiPriority w:val="99"/>
    <w:qFormat/>
    <w:rPr>
      <w:rFonts w:ascii="Calibri" w:eastAsia="宋体" w:hAnsi="Calibri" w:cs="黑体"/>
      <w:sz w:val="18"/>
      <w:szCs w:val="18"/>
    </w:rPr>
  </w:style>
  <w:style w:type="character" w:customStyle="1" w:styleId="2Char">
    <w:name w:val="标题 2 Char"/>
    <w:basedOn w:val="a0"/>
    <w:link w:val="2"/>
    <w:autoRedefine/>
    <w:uiPriority w:val="9"/>
    <w:qFormat/>
    <w:rPr>
      <w:rFonts w:asciiTheme="majorHAnsi" w:eastAsiaTheme="majorEastAsia" w:hAnsiTheme="majorHAnsi" w:cstheme="majorBidi"/>
      <w:b/>
      <w:bCs/>
      <w:sz w:val="32"/>
      <w:szCs w:val="32"/>
    </w:rPr>
  </w:style>
  <w:style w:type="character" w:customStyle="1" w:styleId="1Char">
    <w:name w:val="标题 1 Char"/>
    <w:basedOn w:val="a0"/>
    <w:link w:val="1"/>
    <w:autoRedefine/>
    <w:uiPriority w:val="9"/>
    <w:qFormat/>
    <w:rPr>
      <w:rFonts w:ascii="Calibri" w:eastAsia="宋体" w:hAnsi="Calibri" w:cs="黑体"/>
      <w:b/>
      <w:bCs/>
      <w:kern w:val="44"/>
      <w:sz w:val="44"/>
      <w:szCs w:val="44"/>
    </w:rPr>
  </w:style>
  <w:style w:type="character" w:customStyle="1" w:styleId="3Char">
    <w:name w:val="标题 3 Char"/>
    <w:basedOn w:val="a0"/>
    <w:link w:val="3"/>
    <w:autoRedefine/>
    <w:uiPriority w:val="9"/>
    <w:semiHidden/>
    <w:qFormat/>
    <w:rPr>
      <w:rFonts w:ascii="Calibri" w:eastAsia="宋体" w:hAnsi="Calibri" w:cs="黑体"/>
      <w:b/>
      <w:bCs/>
      <w:sz w:val="32"/>
      <w:szCs w:val="32"/>
    </w:rPr>
  </w:style>
  <w:style w:type="character" w:customStyle="1" w:styleId="4Char">
    <w:name w:val="标题 4 Char"/>
    <w:basedOn w:val="a0"/>
    <w:link w:val="4"/>
    <w:autoRedefine/>
    <w:uiPriority w:val="9"/>
    <w:qFormat/>
    <w:rPr>
      <w:rFonts w:asciiTheme="majorHAnsi" w:eastAsiaTheme="majorEastAsia" w:hAnsiTheme="majorHAnsi" w:cstheme="majorBidi"/>
      <w:b/>
      <w:bCs/>
      <w:sz w:val="28"/>
      <w:szCs w:val="28"/>
    </w:rPr>
  </w:style>
  <w:style w:type="paragraph" w:customStyle="1" w:styleId="TOC1">
    <w:name w:val="TOC 标题1"/>
    <w:basedOn w:val="1"/>
    <w:next w:val="a"/>
    <w:autoRedefine/>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autoRedefine/>
    <w:uiPriority w:val="99"/>
    <w:semiHidden/>
    <w:qFormat/>
    <w:rPr>
      <w:rFonts w:ascii="Calibri" w:eastAsia="宋体" w:hAnsi="Calibri" w:cs="黑体"/>
      <w:sz w:val="18"/>
      <w:szCs w:val="18"/>
    </w:rPr>
  </w:style>
  <w:style w:type="character" w:customStyle="1" w:styleId="Char">
    <w:name w:val="尾注文本 Char"/>
    <w:basedOn w:val="a0"/>
    <w:link w:val="a3"/>
    <w:autoRedefine/>
    <w:uiPriority w:val="99"/>
    <w:semiHidden/>
    <w:qFormat/>
    <w:rPr>
      <w:rFonts w:ascii="Calibri" w:eastAsia="宋体" w:hAnsi="Calibri" w:cs="黑体"/>
      <w:kern w:val="2"/>
      <w:sz w:val="21"/>
      <w:szCs w:val="22"/>
    </w:rPr>
  </w:style>
  <w:style w:type="character" w:customStyle="1" w:styleId="Char3">
    <w:name w:val="脚注文本 Char"/>
    <w:basedOn w:val="a0"/>
    <w:link w:val="a7"/>
    <w:autoRedefine/>
    <w:uiPriority w:val="99"/>
    <w:semiHidden/>
    <w:qFormat/>
    <w:rPr>
      <w:rFonts w:ascii="Calibri" w:eastAsia="宋体" w:hAnsi="Calibri" w:cs="黑体"/>
      <w:kern w:val="2"/>
      <w:sz w:val="18"/>
      <w:szCs w:val="18"/>
    </w:rPr>
  </w:style>
  <w:style w:type="paragraph" w:customStyle="1" w:styleId="21">
    <w:name w:val="列出段落2"/>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0B8F2-CF14-44F9-8E2F-CF9CA1C7D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967</Words>
  <Characters>5512</Characters>
  <Application>Microsoft Office Word</Application>
  <DocSecurity>0</DocSecurity>
  <Lines>45</Lines>
  <Paragraphs>12</Paragraphs>
  <ScaleCrop>false</ScaleCrop>
  <Company>微软中国</Company>
  <LinksUpToDate>false</LinksUpToDate>
  <CharactersWithSpaces>6467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hpproone400x64</cp:lastModifiedBy>
  <cp:revision>243</cp:revision>
  <cp:lastPrinted>2021-02-08T12:02:00Z</cp:lastPrinted>
  <dcterms:created xsi:type="dcterms:W3CDTF">2022-02-23T00:25:00Z</dcterms:created>
  <dcterms:modified xsi:type="dcterms:W3CDTF">2024-07-15T08:56:00Z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92F67DA3A7A6476593C5F8D34E7B1636</vt:lpwstr>
  </property>
</Properties>
</file>