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C70BF" w:rsidRDefault="000C70BF">
      <w:pPr>
        <w:rPr>
          <w:rFonts w:ascii="黑体" w:eastAsia="黑体" w:hAnsi="黑体" w:hint="eastAsia"/>
          <w:sz w:val="52"/>
          <w:szCs w:val="52"/>
        </w:rPr>
      </w:pPr>
    </w:p>
    <w:p w:rsidR="000C70BF" w:rsidRDefault="000C70BF">
      <w:pPr>
        <w:rPr>
          <w:rFonts w:ascii="黑体" w:eastAsia="黑体" w:hAnsi="黑体" w:hint="eastAsia"/>
          <w:sz w:val="52"/>
          <w:szCs w:val="52"/>
        </w:rPr>
      </w:pPr>
    </w:p>
    <w:p w:rsidR="000C70BF" w:rsidRDefault="000C70BF">
      <w:pPr>
        <w:rPr>
          <w:rFonts w:ascii="黑体" w:eastAsia="黑体" w:hAnsi="黑体" w:hint="eastAsia"/>
          <w:sz w:val="52"/>
          <w:szCs w:val="52"/>
        </w:rPr>
      </w:pPr>
    </w:p>
    <w:p w:rsidR="000C70BF" w:rsidRDefault="000C70BF">
      <w:pPr>
        <w:rPr>
          <w:rFonts w:ascii="黑体" w:eastAsia="黑体" w:hAnsi="黑体" w:hint="eastAsia"/>
          <w:sz w:val="52"/>
          <w:szCs w:val="52"/>
        </w:rPr>
      </w:pPr>
    </w:p>
    <w:p w:rsidR="000C70BF" w:rsidRDefault="000C70BF">
      <w:pPr>
        <w:jc w:val="center"/>
        <w:rPr>
          <w:rFonts w:ascii="黑体" w:eastAsia="黑体" w:hAnsi="黑体" w:hint="eastAsia"/>
          <w:sz w:val="52"/>
          <w:szCs w:val="52"/>
        </w:rPr>
      </w:pPr>
    </w:p>
    <w:p w:rsidR="000C70BF" w:rsidRDefault="00000000">
      <w:pPr>
        <w:jc w:val="center"/>
        <w:rPr>
          <w:rFonts w:ascii="黑体" w:eastAsia="黑体" w:hAnsi="黑体" w:hint="eastAsia"/>
          <w:sz w:val="72"/>
          <w:szCs w:val="72"/>
        </w:rPr>
      </w:pPr>
      <w:r>
        <w:rPr>
          <w:rFonts w:ascii="黑体" w:eastAsia="黑体" w:hAnsi="黑体" w:hint="eastAsia"/>
          <w:sz w:val="72"/>
          <w:szCs w:val="72"/>
        </w:rPr>
        <w:t>2024年海南省银行学校</w:t>
      </w:r>
    </w:p>
    <w:p w:rsidR="000C70BF" w:rsidRDefault="00000000">
      <w:pPr>
        <w:jc w:val="center"/>
        <w:rPr>
          <w:rFonts w:ascii="黑体" w:eastAsia="黑体" w:hAnsi="黑体" w:hint="eastAsia"/>
          <w:sz w:val="72"/>
          <w:szCs w:val="72"/>
        </w:rPr>
      </w:pPr>
      <w:r>
        <w:rPr>
          <w:rFonts w:ascii="黑体" w:eastAsia="黑体" w:hAnsi="黑体" w:hint="eastAsia"/>
          <w:sz w:val="72"/>
          <w:szCs w:val="72"/>
        </w:rPr>
        <w:t>预算</w:t>
      </w:r>
    </w:p>
    <w:p w:rsidR="000C70BF" w:rsidRDefault="000C70BF">
      <w:pPr>
        <w:ind w:firstLine="1680"/>
        <w:jc w:val="center"/>
        <w:rPr>
          <w:sz w:val="84"/>
          <w:szCs w:val="84"/>
        </w:rPr>
      </w:pPr>
    </w:p>
    <w:p w:rsidR="000C70BF" w:rsidRDefault="000C70BF">
      <w:pPr>
        <w:ind w:firstLine="1680"/>
        <w:jc w:val="center"/>
        <w:rPr>
          <w:sz w:val="84"/>
          <w:szCs w:val="84"/>
        </w:rPr>
      </w:pPr>
    </w:p>
    <w:p w:rsidR="000C70BF" w:rsidRDefault="000C70BF">
      <w:pPr>
        <w:ind w:firstLine="1680"/>
        <w:jc w:val="center"/>
        <w:rPr>
          <w:sz w:val="84"/>
          <w:szCs w:val="84"/>
        </w:rPr>
      </w:pPr>
    </w:p>
    <w:p w:rsidR="000C70BF" w:rsidRDefault="000C70BF">
      <w:pPr>
        <w:ind w:firstLine="1680"/>
        <w:jc w:val="center"/>
        <w:rPr>
          <w:sz w:val="84"/>
          <w:szCs w:val="84"/>
        </w:rPr>
      </w:pPr>
    </w:p>
    <w:p w:rsidR="000C70BF" w:rsidRDefault="000C70BF">
      <w:pPr>
        <w:ind w:firstLine="1680"/>
        <w:jc w:val="center"/>
        <w:rPr>
          <w:sz w:val="84"/>
          <w:szCs w:val="84"/>
        </w:rPr>
      </w:pPr>
    </w:p>
    <w:p w:rsidR="000C70BF" w:rsidRDefault="000C70BF">
      <w:pPr>
        <w:ind w:firstLine="1680"/>
        <w:jc w:val="center"/>
        <w:rPr>
          <w:sz w:val="84"/>
          <w:szCs w:val="84"/>
        </w:rPr>
      </w:pPr>
    </w:p>
    <w:p w:rsidR="000C70BF" w:rsidRDefault="00000000">
      <w:pPr>
        <w:jc w:val="center"/>
        <w:rPr>
          <w:rFonts w:ascii="黑体" w:eastAsia="黑体" w:hAnsi="黑体" w:hint="eastAsia"/>
          <w:sz w:val="52"/>
          <w:szCs w:val="52"/>
        </w:rPr>
      </w:pPr>
      <w:r>
        <w:rPr>
          <w:rFonts w:ascii="黑体" w:eastAsia="黑体" w:hAnsi="黑体" w:hint="eastAsia"/>
          <w:sz w:val="52"/>
          <w:szCs w:val="52"/>
        </w:rPr>
        <w:lastRenderedPageBreak/>
        <w:t>目 录</w:t>
      </w:r>
    </w:p>
    <w:p w:rsidR="000C70BF" w:rsidRDefault="000C70BF">
      <w:pPr>
        <w:jc w:val="center"/>
        <w:rPr>
          <w:rFonts w:ascii="黑体" w:eastAsia="黑体" w:hAnsi="黑体" w:hint="eastAsia"/>
          <w:sz w:val="52"/>
          <w:szCs w:val="52"/>
        </w:rPr>
      </w:pPr>
    </w:p>
    <w:p w:rsidR="000C70BF"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海南省银行学校概况</w:t>
      </w:r>
    </w:p>
    <w:p w:rsidR="000C70BF" w:rsidRDefault="00000000">
      <w:pPr>
        <w:pStyle w:val="1"/>
        <w:ind w:firstLine="640"/>
        <w:jc w:val="left"/>
        <w:rPr>
          <w:rFonts w:ascii="宋体" w:hAnsi="宋体" w:cs="宋体" w:hint="eastAsia"/>
          <w:sz w:val="32"/>
          <w:szCs w:val="32"/>
        </w:rPr>
      </w:pPr>
      <w:r>
        <w:rPr>
          <w:rFonts w:ascii="宋体" w:hAnsi="宋体" w:cs="宋体" w:hint="eastAsia"/>
          <w:sz w:val="32"/>
          <w:szCs w:val="32"/>
        </w:rPr>
        <w:t>一、主要职能</w:t>
      </w:r>
    </w:p>
    <w:p w:rsidR="000C70BF" w:rsidRDefault="00000000">
      <w:pPr>
        <w:pStyle w:val="1"/>
        <w:ind w:firstLine="640"/>
        <w:jc w:val="left"/>
        <w:rPr>
          <w:rFonts w:ascii="宋体" w:hAnsi="宋体" w:cs="宋体" w:hint="eastAsia"/>
          <w:sz w:val="32"/>
          <w:szCs w:val="32"/>
        </w:rPr>
      </w:pPr>
      <w:r>
        <w:rPr>
          <w:rFonts w:ascii="宋体" w:hAnsi="宋体" w:cs="宋体" w:hint="eastAsia"/>
          <w:sz w:val="32"/>
          <w:szCs w:val="32"/>
        </w:rPr>
        <w:t>二、预算单位构成</w:t>
      </w:r>
    </w:p>
    <w:p w:rsidR="000C70BF" w:rsidRDefault="00000000">
      <w:pPr>
        <w:pStyle w:val="1"/>
        <w:numPr>
          <w:ilvl w:val="0"/>
          <w:numId w:val="1"/>
        </w:numPr>
        <w:ind w:firstLineChars="0"/>
        <w:rPr>
          <w:rFonts w:ascii="黑体" w:eastAsia="黑体" w:hAnsi="黑体" w:hint="eastAsia"/>
          <w:sz w:val="32"/>
          <w:szCs w:val="32"/>
        </w:rPr>
      </w:pPr>
      <w:r>
        <w:rPr>
          <w:rFonts w:ascii="仿宋_GB2312" w:eastAsia="仿宋_GB2312" w:hAnsi="黑体" w:cs="仿宋_GB2312" w:hint="eastAsia"/>
          <w:sz w:val="32"/>
          <w:szCs w:val="32"/>
        </w:rPr>
        <w:t xml:space="preserve">  </w:t>
      </w:r>
      <w:r>
        <w:rPr>
          <w:rFonts w:ascii="黑体" w:eastAsia="黑体" w:hAnsi="黑体" w:hint="eastAsia"/>
          <w:sz w:val="32"/>
          <w:szCs w:val="32"/>
        </w:rPr>
        <w:t>海南省银行学校</w:t>
      </w:r>
      <w:r>
        <w:rPr>
          <w:rFonts w:ascii="仿宋_GB2312" w:eastAsia="仿宋_GB2312" w:hAnsi="黑体" w:cs="仿宋_GB2312" w:hint="eastAsia"/>
          <w:sz w:val="32"/>
          <w:szCs w:val="32"/>
        </w:rPr>
        <w:t>2024</w:t>
      </w:r>
      <w:r>
        <w:rPr>
          <w:rFonts w:ascii="黑体" w:eastAsia="黑体" w:hAnsi="黑体" w:hint="eastAsia"/>
          <w:sz w:val="32"/>
          <w:szCs w:val="32"/>
        </w:rPr>
        <w:t>年单位预算表</w:t>
      </w:r>
    </w:p>
    <w:p w:rsidR="000C70BF" w:rsidRDefault="00000000">
      <w:pPr>
        <w:pStyle w:val="1"/>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一、财政拨款收支总表</w:t>
      </w:r>
    </w:p>
    <w:p w:rsidR="000C70BF" w:rsidRDefault="00000000">
      <w:pPr>
        <w:pStyle w:val="1"/>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二、一般公共预算支出表</w:t>
      </w:r>
    </w:p>
    <w:p w:rsidR="000C70BF" w:rsidRDefault="00000000">
      <w:pPr>
        <w:pStyle w:val="1"/>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三、一般公共预算基本支出表</w:t>
      </w:r>
    </w:p>
    <w:p w:rsidR="000C70BF" w:rsidRDefault="00000000">
      <w:pPr>
        <w:pStyle w:val="1"/>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四、一般公共预算“三公”经费支出表</w:t>
      </w:r>
    </w:p>
    <w:p w:rsidR="000C70BF" w:rsidRDefault="00000000">
      <w:pPr>
        <w:pStyle w:val="1"/>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五、政府性基金预算支出表。</w:t>
      </w:r>
    </w:p>
    <w:p w:rsidR="000C70BF" w:rsidRDefault="00000000">
      <w:pPr>
        <w:pStyle w:val="1"/>
        <w:ind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六、政府性基金预算“三公”经费支出表</w:t>
      </w:r>
    </w:p>
    <w:p w:rsidR="000C70BF" w:rsidRDefault="00000000">
      <w:pPr>
        <w:pStyle w:val="1"/>
        <w:ind w:firstLine="640"/>
        <w:jc w:val="left"/>
        <w:rPr>
          <w:rFonts w:ascii="黑体" w:eastAsia="黑体" w:hAnsi="黑体" w:hint="eastAsia"/>
          <w:sz w:val="32"/>
          <w:szCs w:val="32"/>
        </w:rPr>
      </w:pPr>
      <w:r>
        <w:rPr>
          <w:rFonts w:ascii="仿宋_GB2312" w:eastAsia="仿宋_GB2312" w:hAnsi="仿宋_GB2312" w:cs="仿宋_GB2312" w:hint="eastAsia"/>
          <w:sz w:val="32"/>
          <w:szCs w:val="32"/>
        </w:rPr>
        <w:t>七、部门（单位）收支总表</w:t>
      </w:r>
    </w:p>
    <w:p w:rsidR="000C70BF" w:rsidRDefault="00000000">
      <w:pPr>
        <w:pStyle w:val="1"/>
        <w:ind w:firstLine="640"/>
        <w:jc w:val="left"/>
        <w:rPr>
          <w:rFonts w:ascii="黑体" w:eastAsia="黑体" w:hAnsi="黑体" w:hint="eastAsia"/>
          <w:sz w:val="32"/>
          <w:szCs w:val="32"/>
        </w:rPr>
      </w:pPr>
      <w:r>
        <w:rPr>
          <w:rFonts w:ascii="仿宋_GB2312" w:eastAsia="仿宋_GB2312" w:hAnsi="仿宋_GB2312" w:cs="仿宋_GB2312" w:hint="eastAsia"/>
          <w:sz w:val="32"/>
          <w:szCs w:val="32"/>
        </w:rPr>
        <w:t>八、部门（单位）收入总表</w:t>
      </w:r>
    </w:p>
    <w:p w:rsidR="000C70BF" w:rsidRDefault="00000000">
      <w:pPr>
        <w:pStyle w:val="1"/>
        <w:ind w:firstLine="640"/>
        <w:jc w:val="left"/>
        <w:rPr>
          <w:rFonts w:ascii="黑体" w:eastAsia="黑体" w:hAnsi="黑体" w:hint="eastAsia"/>
          <w:sz w:val="32"/>
          <w:szCs w:val="32"/>
        </w:rPr>
      </w:pPr>
      <w:r>
        <w:rPr>
          <w:rFonts w:ascii="仿宋_GB2312" w:eastAsia="仿宋_GB2312" w:hAnsi="仿宋_GB2312" w:cs="仿宋_GB2312" w:hint="eastAsia"/>
          <w:sz w:val="32"/>
          <w:szCs w:val="32"/>
        </w:rPr>
        <w:t>九、部门（单位）支出总表</w:t>
      </w:r>
    </w:p>
    <w:p w:rsidR="000C70BF" w:rsidRDefault="00000000">
      <w:pPr>
        <w:pStyle w:val="1"/>
        <w:ind w:firstLine="640"/>
        <w:jc w:val="left"/>
        <w:rPr>
          <w:rFonts w:ascii="黑体" w:eastAsia="黑体" w:hAnsi="黑体" w:hint="eastAsia"/>
          <w:sz w:val="32"/>
          <w:szCs w:val="32"/>
        </w:rPr>
      </w:pPr>
      <w:r>
        <w:rPr>
          <w:rFonts w:ascii="仿宋_GB2312" w:eastAsia="仿宋_GB2312" w:hAnsi="仿宋_GB2312" w:cs="仿宋_GB2312" w:hint="eastAsia"/>
          <w:sz w:val="32"/>
          <w:szCs w:val="32"/>
        </w:rPr>
        <w:t>十、项目支出绩效信息表</w:t>
      </w:r>
    </w:p>
    <w:p w:rsidR="000C70BF" w:rsidRDefault="00000000">
      <w:pPr>
        <w:pStyle w:val="1"/>
        <w:numPr>
          <w:ilvl w:val="0"/>
          <w:numId w:val="1"/>
        </w:numPr>
        <w:ind w:firstLineChars="0"/>
        <w:jc w:val="left"/>
        <w:rPr>
          <w:rFonts w:ascii="仿宋_GB2312" w:eastAsia="仿宋_GB2312" w:hAnsi="仿宋_GB2312" w:cs="仿宋_GB2312" w:hint="eastAsia"/>
          <w:sz w:val="32"/>
          <w:szCs w:val="32"/>
        </w:rPr>
      </w:pPr>
      <w:r>
        <w:rPr>
          <w:rFonts w:ascii="仿宋_GB2312" w:eastAsia="仿宋_GB2312" w:hAnsi="黑体" w:cs="仿宋_GB2312" w:hint="eastAsia"/>
          <w:sz w:val="32"/>
          <w:szCs w:val="32"/>
        </w:rPr>
        <w:t xml:space="preserve">  </w:t>
      </w:r>
      <w:r>
        <w:rPr>
          <w:rFonts w:ascii="黑体" w:eastAsia="黑体" w:hAnsi="黑体" w:hint="eastAsia"/>
          <w:sz w:val="32"/>
          <w:szCs w:val="32"/>
        </w:rPr>
        <w:t>海南省银行学校</w:t>
      </w:r>
      <w:r>
        <w:rPr>
          <w:rFonts w:ascii="仿宋_GB2312" w:eastAsia="仿宋_GB2312" w:hAnsi="黑体" w:cs="仿宋_GB2312" w:hint="eastAsia"/>
          <w:sz w:val="32"/>
          <w:szCs w:val="32"/>
        </w:rPr>
        <w:t>2024</w:t>
      </w:r>
      <w:r>
        <w:rPr>
          <w:rFonts w:ascii="黑体" w:eastAsia="黑体" w:hAnsi="黑体" w:hint="eastAsia"/>
          <w:sz w:val="32"/>
          <w:szCs w:val="32"/>
        </w:rPr>
        <w:t>年预算情况说明</w:t>
      </w:r>
    </w:p>
    <w:p w:rsidR="000C70BF"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rsidR="000C70BF" w:rsidRDefault="000C70BF">
      <w:pPr>
        <w:pStyle w:val="1"/>
        <w:ind w:firstLineChars="0" w:firstLine="0"/>
        <w:jc w:val="left"/>
        <w:rPr>
          <w:rFonts w:ascii="黑体" w:eastAsia="黑体" w:hAnsi="黑体" w:hint="eastAsia"/>
          <w:sz w:val="32"/>
          <w:szCs w:val="32"/>
        </w:rPr>
      </w:pPr>
    </w:p>
    <w:p w:rsidR="000C70BF" w:rsidRDefault="000C70BF">
      <w:pPr>
        <w:pStyle w:val="1"/>
        <w:ind w:firstLineChars="0" w:firstLine="0"/>
        <w:jc w:val="left"/>
        <w:rPr>
          <w:rFonts w:ascii="黑体" w:eastAsia="黑体" w:hAnsi="黑体" w:hint="eastAsia"/>
          <w:sz w:val="32"/>
          <w:szCs w:val="32"/>
        </w:rPr>
      </w:pPr>
    </w:p>
    <w:p w:rsidR="000C70BF" w:rsidRDefault="000C70BF">
      <w:pPr>
        <w:pStyle w:val="1"/>
        <w:ind w:left="1320" w:firstLineChars="0" w:firstLine="0"/>
        <w:jc w:val="left"/>
        <w:rPr>
          <w:rFonts w:ascii="黑体" w:eastAsia="黑体" w:hAnsi="黑体" w:hint="eastAsia"/>
          <w:sz w:val="32"/>
          <w:szCs w:val="32"/>
        </w:rPr>
      </w:pPr>
    </w:p>
    <w:p w:rsidR="000C70BF" w:rsidRDefault="00000000">
      <w:pPr>
        <w:pStyle w:val="1"/>
        <w:numPr>
          <w:ilvl w:val="0"/>
          <w:numId w:val="2"/>
        </w:numPr>
        <w:ind w:firstLineChars="0"/>
        <w:jc w:val="left"/>
        <w:rPr>
          <w:rFonts w:ascii="黑体" w:eastAsia="黑体" w:hAnsi="黑体" w:hint="eastAsia"/>
          <w:sz w:val="36"/>
          <w:szCs w:val="36"/>
        </w:rPr>
      </w:pPr>
      <w:r>
        <w:rPr>
          <w:rFonts w:ascii="黑体" w:eastAsia="黑体" w:hAnsi="黑体" w:hint="eastAsia"/>
          <w:sz w:val="36"/>
          <w:szCs w:val="36"/>
        </w:rPr>
        <w:lastRenderedPageBreak/>
        <w:t xml:space="preserve">  海南省银行学校概况</w:t>
      </w:r>
    </w:p>
    <w:p w:rsidR="000C70BF"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按照预算管理有关规定，目前我单位预算编制实行综合预算制度，即全部收入和支出都反映在预算中。</w:t>
      </w:r>
    </w:p>
    <w:p w:rsidR="000C70BF" w:rsidRDefault="00000000">
      <w:pPr>
        <w:spacing w:line="600" w:lineRule="exact"/>
        <w:ind w:firstLineChars="200" w:firstLine="643"/>
        <w:jc w:val="left"/>
        <w:rPr>
          <w:rFonts w:ascii="仿宋" w:eastAsia="仿宋" w:hAnsi="仿宋" w:cs="仿宋" w:hint="eastAsia"/>
          <w:b/>
          <w:bCs/>
          <w:sz w:val="32"/>
          <w:szCs w:val="32"/>
        </w:rPr>
      </w:pPr>
      <w:r>
        <w:rPr>
          <w:rFonts w:ascii="仿宋" w:eastAsia="仿宋" w:hAnsi="仿宋" w:cs="仿宋" w:hint="eastAsia"/>
          <w:b/>
          <w:bCs/>
          <w:kern w:val="0"/>
          <w:sz w:val="32"/>
          <w:szCs w:val="30"/>
        </w:rPr>
        <w:t>一、</w:t>
      </w:r>
      <w:r>
        <w:rPr>
          <w:rFonts w:ascii="仿宋" w:eastAsia="仿宋" w:hAnsi="仿宋" w:cs="仿宋" w:hint="eastAsia"/>
          <w:b/>
          <w:bCs/>
          <w:sz w:val="32"/>
          <w:szCs w:val="32"/>
        </w:rPr>
        <w:t>主要职能</w:t>
      </w:r>
    </w:p>
    <w:p w:rsidR="000C70BF" w:rsidRDefault="00000000">
      <w:pPr>
        <w:pStyle w:val="a7"/>
        <w:ind w:firstLineChars="200" w:firstLine="640"/>
        <w:rPr>
          <w:rFonts w:ascii="仿宋_GB2312" w:eastAsia="仿宋_GB2312" w:hAnsi="黑体" w:cs="黑体" w:hint="eastAsia"/>
          <w:kern w:val="2"/>
          <w:sz w:val="32"/>
          <w:szCs w:val="32"/>
        </w:rPr>
      </w:pPr>
      <w:r>
        <w:rPr>
          <w:rFonts w:ascii="仿宋_GB2312" w:eastAsia="仿宋_GB2312" w:hAnsi="黑体" w:cs="黑体" w:hint="eastAsia"/>
          <w:kern w:val="2"/>
          <w:sz w:val="32"/>
          <w:szCs w:val="32"/>
        </w:rPr>
        <w:t>（一）贯彻落实党的教育方针、政策，依据全省教育改革与发展的政策、规划，研究制定本校在推进中国（海南）自由贸易试验区、中国特色自由贸易港建设教育工作方面的教育教学改革与发展规划。</w:t>
      </w:r>
    </w:p>
    <w:p w:rsidR="000C70BF" w:rsidRDefault="00000000">
      <w:pPr>
        <w:pStyle w:val="a7"/>
        <w:ind w:firstLineChars="200" w:firstLine="640"/>
        <w:rPr>
          <w:rFonts w:ascii="仿宋_GB2312" w:eastAsia="仿宋_GB2312" w:hAnsi="黑体" w:cs="黑体" w:hint="eastAsia"/>
          <w:kern w:val="2"/>
          <w:sz w:val="32"/>
          <w:szCs w:val="32"/>
        </w:rPr>
      </w:pPr>
      <w:r>
        <w:rPr>
          <w:rFonts w:ascii="仿宋_GB2312" w:eastAsia="仿宋_GB2312" w:hAnsi="黑体" w:cs="黑体" w:hint="eastAsia"/>
          <w:kern w:val="2"/>
          <w:sz w:val="32"/>
          <w:szCs w:val="32"/>
        </w:rPr>
        <w:t>（二）贯彻落实党中央关于加强党的建设和思想政治工作的方针政策和省委、省教育厅等有关上级党组织部署的各项工作。</w:t>
      </w:r>
    </w:p>
    <w:p w:rsidR="000C70BF" w:rsidRDefault="00000000">
      <w:pPr>
        <w:pStyle w:val="a7"/>
        <w:ind w:firstLineChars="200" w:firstLine="640"/>
        <w:rPr>
          <w:rFonts w:ascii="仿宋_GB2312" w:eastAsia="仿宋_GB2312" w:hAnsi="黑体" w:cs="黑体" w:hint="eastAsia"/>
          <w:kern w:val="2"/>
          <w:sz w:val="32"/>
          <w:szCs w:val="32"/>
        </w:rPr>
      </w:pPr>
      <w:r>
        <w:rPr>
          <w:rFonts w:ascii="仿宋_GB2312" w:eastAsia="仿宋_GB2312" w:hAnsi="黑体" w:cs="黑体" w:hint="eastAsia"/>
          <w:kern w:val="2"/>
          <w:sz w:val="32"/>
          <w:szCs w:val="32"/>
        </w:rPr>
        <w:t>（三）统筹规划本单位各级各类教育资源，按照上级有关规定完善机构设置。做好本单位教育信息化建设工作，完成本单位教育基本信息的统计、分析和发布。</w:t>
      </w:r>
    </w:p>
    <w:p w:rsidR="000C70BF" w:rsidRDefault="00000000">
      <w:pPr>
        <w:pStyle w:val="a7"/>
        <w:ind w:firstLineChars="200" w:firstLine="640"/>
        <w:rPr>
          <w:rFonts w:ascii="仿宋_GB2312" w:eastAsia="仿宋_GB2312" w:hAnsi="黑体" w:cs="黑体" w:hint="eastAsia"/>
          <w:kern w:val="2"/>
          <w:sz w:val="32"/>
          <w:szCs w:val="32"/>
        </w:rPr>
      </w:pPr>
      <w:r>
        <w:rPr>
          <w:rFonts w:ascii="仿宋_GB2312" w:eastAsia="仿宋_GB2312" w:hAnsi="黑体" w:cs="黑体" w:hint="eastAsia"/>
          <w:kern w:val="2"/>
          <w:sz w:val="32"/>
          <w:szCs w:val="32"/>
        </w:rPr>
        <w:t>（四）履行职业教育教学职责，按照主管部门要求组织实施教育教学督导、评估和检查工作，配合全省教育重大事项的专项督导。</w:t>
      </w:r>
    </w:p>
    <w:p w:rsidR="000C70BF" w:rsidRDefault="00000000">
      <w:pPr>
        <w:pStyle w:val="a7"/>
        <w:ind w:firstLineChars="200" w:firstLine="640"/>
        <w:rPr>
          <w:rFonts w:ascii="仿宋_GB2312" w:eastAsia="仿宋_GB2312" w:hAnsi="黑体" w:cs="黑体" w:hint="eastAsia"/>
          <w:kern w:val="2"/>
          <w:sz w:val="32"/>
          <w:szCs w:val="32"/>
        </w:rPr>
      </w:pPr>
      <w:r>
        <w:rPr>
          <w:rFonts w:ascii="仿宋_GB2312" w:eastAsia="仿宋_GB2312" w:hAnsi="黑体" w:cs="黑体" w:hint="eastAsia"/>
          <w:kern w:val="2"/>
          <w:sz w:val="32"/>
          <w:szCs w:val="32"/>
        </w:rPr>
        <w:t>（五）实施以就业为导向的职业教育发展与改革，加强素质教育，大力开展产教融合、校企合作。完善促进终身教育培训的体制的建设。</w:t>
      </w:r>
    </w:p>
    <w:p w:rsidR="000C70BF" w:rsidRDefault="00000000">
      <w:pPr>
        <w:pStyle w:val="a7"/>
        <w:ind w:firstLineChars="200" w:firstLine="640"/>
        <w:rPr>
          <w:rFonts w:ascii="仿宋_GB2312" w:eastAsia="仿宋_GB2312" w:hAnsi="黑体" w:cs="黑体" w:hint="eastAsia"/>
          <w:kern w:val="2"/>
          <w:sz w:val="32"/>
          <w:szCs w:val="32"/>
        </w:rPr>
      </w:pPr>
      <w:r>
        <w:rPr>
          <w:rFonts w:ascii="仿宋_GB2312" w:eastAsia="仿宋_GB2312" w:hAnsi="黑体" w:cs="黑体" w:hint="eastAsia"/>
          <w:kern w:val="2"/>
          <w:sz w:val="32"/>
          <w:szCs w:val="32"/>
        </w:rPr>
        <w:lastRenderedPageBreak/>
        <w:t>（六）统筹管理和使用本单位教育经费及教育拨款，严格执行教育收费政策，按财政部门规定购置和使用国有资产；组织管理学生各项资助工作；做好单位教育系统内部审计工作。</w:t>
      </w:r>
    </w:p>
    <w:p w:rsidR="000C70BF" w:rsidRDefault="00000000">
      <w:pPr>
        <w:pStyle w:val="a7"/>
        <w:ind w:firstLineChars="200" w:firstLine="640"/>
        <w:rPr>
          <w:rFonts w:ascii="仿宋_GB2312" w:eastAsia="仿宋_GB2312" w:hAnsi="黑体" w:cs="黑体" w:hint="eastAsia"/>
          <w:kern w:val="2"/>
          <w:sz w:val="32"/>
          <w:szCs w:val="32"/>
        </w:rPr>
      </w:pPr>
      <w:r>
        <w:rPr>
          <w:rFonts w:ascii="仿宋_GB2312" w:eastAsia="仿宋_GB2312" w:hAnsi="黑体" w:cs="黑体" w:hint="eastAsia"/>
          <w:kern w:val="2"/>
          <w:sz w:val="32"/>
          <w:szCs w:val="32"/>
        </w:rPr>
        <w:t>（七）积极做好本校师生思想政治、德育、法制宣传教育工作，以及学生的体育卫生与美育、劳动教育及国防教育工作。维护校园稳定，确保校园一方平安。</w:t>
      </w:r>
    </w:p>
    <w:p w:rsidR="000C70BF" w:rsidRDefault="00000000">
      <w:pPr>
        <w:pStyle w:val="a7"/>
        <w:ind w:firstLineChars="200" w:firstLine="640"/>
        <w:rPr>
          <w:rFonts w:ascii="仿宋_GB2312" w:eastAsia="仿宋_GB2312" w:hAnsi="黑体" w:cs="黑体" w:hint="eastAsia"/>
          <w:kern w:val="2"/>
          <w:sz w:val="32"/>
          <w:szCs w:val="32"/>
        </w:rPr>
      </w:pPr>
      <w:r>
        <w:rPr>
          <w:rFonts w:ascii="仿宋_GB2312" w:eastAsia="仿宋_GB2312" w:hAnsi="黑体" w:cs="黑体" w:hint="eastAsia"/>
          <w:kern w:val="2"/>
          <w:sz w:val="32"/>
          <w:szCs w:val="32"/>
        </w:rPr>
        <w:t>（八）积极开展教学研究工作，制定教师进修和培训教育计划，做好教师专业技术职务评聘工作和学校人事制度改革工作，加强教师人才队伍建设。</w:t>
      </w:r>
    </w:p>
    <w:p w:rsidR="000C70BF" w:rsidRDefault="00000000">
      <w:pPr>
        <w:pStyle w:val="a7"/>
        <w:ind w:firstLineChars="200" w:firstLine="640"/>
        <w:rPr>
          <w:rFonts w:ascii="仿宋_GB2312" w:eastAsia="仿宋_GB2312" w:hAnsi="黑体" w:cs="黑体" w:hint="eastAsia"/>
          <w:kern w:val="2"/>
          <w:sz w:val="32"/>
          <w:szCs w:val="32"/>
        </w:rPr>
      </w:pPr>
      <w:r>
        <w:rPr>
          <w:rFonts w:ascii="仿宋_GB2312" w:eastAsia="仿宋_GB2312" w:hAnsi="黑体" w:cs="黑体" w:hint="eastAsia"/>
          <w:kern w:val="2"/>
          <w:sz w:val="32"/>
          <w:szCs w:val="32"/>
        </w:rPr>
        <w:t>（九）做好学生的学籍和学历管理工作。制定本校招生计划，实施学生创新创业教育，做好毕业生升学、就业指导工作。</w:t>
      </w:r>
    </w:p>
    <w:p w:rsidR="000C70BF" w:rsidRDefault="00000000">
      <w:pPr>
        <w:pStyle w:val="a7"/>
        <w:ind w:firstLineChars="200" w:firstLine="640"/>
        <w:rPr>
          <w:rFonts w:ascii="仿宋_GB2312" w:eastAsia="仿宋_GB2312" w:hAnsi="黑体" w:cs="黑体" w:hint="eastAsia"/>
          <w:kern w:val="2"/>
          <w:sz w:val="32"/>
          <w:szCs w:val="32"/>
        </w:rPr>
      </w:pPr>
      <w:r>
        <w:rPr>
          <w:rFonts w:ascii="仿宋_GB2312" w:eastAsia="仿宋_GB2312" w:hAnsi="黑体" w:cs="黑体" w:hint="eastAsia"/>
          <w:kern w:val="2"/>
          <w:sz w:val="32"/>
          <w:szCs w:val="32"/>
        </w:rPr>
        <w:t>（十）完成省委、省政府和上级主管部门交办的其他任务。</w:t>
      </w:r>
    </w:p>
    <w:p w:rsidR="000C70BF" w:rsidRDefault="00000000">
      <w:pPr>
        <w:pStyle w:val="a7"/>
        <w:ind w:firstLineChars="200" w:firstLine="640"/>
        <w:rPr>
          <w:rFonts w:ascii="仿宋_GB2312" w:eastAsia="仿宋_GB2312" w:hAnsi="黑体" w:cs="黑体" w:hint="eastAsia"/>
          <w:kern w:val="2"/>
          <w:sz w:val="32"/>
          <w:szCs w:val="32"/>
        </w:rPr>
      </w:pPr>
      <w:r>
        <w:rPr>
          <w:rFonts w:ascii="仿宋_GB2312" w:eastAsia="仿宋_GB2312" w:hAnsi="黑体" w:cs="黑体" w:hint="eastAsia"/>
          <w:kern w:val="2"/>
          <w:sz w:val="32"/>
          <w:szCs w:val="32"/>
        </w:rPr>
        <w:t>机构设置情况：经海南省机构编制委员会办公室批复（琼编办〔2007〕114号文），海南省银行学校隶属省教育厅，为正处级事业单位，设置办公室、教务科、学生科、总务科、招生与就业指导科、财务科6个内部机构，配备财政预算管理事业编制98名。</w:t>
      </w:r>
    </w:p>
    <w:p w:rsidR="000C70BF" w:rsidRDefault="00000000">
      <w:pPr>
        <w:spacing w:line="600" w:lineRule="exact"/>
        <w:ind w:firstLineChars="200" w:firstLine="643"/>
        <w:jc w:val="left"/>
        <w:rPr>
          <w:rFonts w:ascii="仿宋" w:eastAsia="仿宋" w:hAnsi="仿宋" w:cs="仿宋" w:hint="eastAsia"/>
          <w:b/>
          <w:bCs/>
          <w:kern w:val="0"/>
          <w:sz w:val="32"/>
          <w:szCs w:val="30"/>
        </w:rPr>
      </w:pPr>
      <w:r>
        <w:rPr>
          <w:rFonts w:ascii="仿宋" w:eastAsia="仿宋" w:hAnsi="仿宋" w:cs="仿宋" w:hint="eastAsia"/>
          <w:b/>
          <w:bCs/>
          <w:kern w:val="0"/>
          <w:sz w:val="32"/>
          <w:szCs w:val="30"/>
        </w:rPr>
        <w:t>二、预算单位构成</w:t>
      </w:r>
    </w:p>
    <w:p w:rsidR="000C70BF" w:rsidRDefault="00000000">
      <w:pPr>
        <w:spacing w:line="60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海南省银行学校无下属预算单位，单位预算仅为单位本级预算。</w:t>
      </w:r>
    </w:p>
    <w:p w:rsidR="000C70BF" w:rsidRDefault="000C70BF">
      <w:pPr>
        <w:spacing w:line="600" w:lineRule="exact"/>
        <w:ind w:firstLineChars="200" w:firstLine="640"/>
        <w:jc w:val="left"/>
        <w:rPr>
          <w:rFonts w:ascii="仿宋_GB2312" w:eastAsia="仿宋_GB2312" w:hAnsi="黑体" w:hint="eastAsia"/>
          <w:sz w:val="32"/>
          <w:szCs w:val="32"/>
        </w:rPr>
      </w:pPr>
    </w:p>
    <w:p w:rsidR="000C70BF" w:rsidRDefault="00000000">
      <w:pPr>
        <w:jc w:val="left"/>
        <w:rPr>
          <w:rFonts w:ascii="黑体" w:eastAsia="黑体" w:hAnsi="黑体" w:hint="eastAsia"/>
          <w:sz w:val="36"/>
          <w:szCs w:val="36"/>
        </w:rPr>
      </w:pPr>
      <w:r>
        <w:rPr>
          <w:rFonts w:ascii="黑体" w:eastAsia="黑体" w:hAnsi="黑体" w:hint="eastAsia"/>
          <w:sz w:val="36"/>
          <w:szCs w:val="36"/>
        </w:rPr>
        <w:t>第二部分  海南省银行学校</w:t>
      </w:r>
      <w:r>
        <w:rPr>
          <w:rFonts w:ascii="仿宋_GB2312" w:eastAsia="仿宋_GB2312" w:hAnsi="黑体" w:cs="仿宋_GB2312" w:hint="eastAsia"/>
          <w:sz w:val="36"/>
          <w:szCs w:val="36"/>
        </w:rPr>
        <w:t>2024</w:t>
      </w:r>
      <w:r>
        <w:rPr>
          <w:rFonts w:ascii="黑体" w:eastAsia="黑体" w:hAnsi="黑体" w:hint="eastAsia"/>
          <w:sz w:val="36"/>
          <w:szCs w:val="36"/>
        </w:rPr>
        <w:t>年单位预算表</w:t>
      </w:r>
    </w:p>
    <w:p w:rsidR="000C70BF" w:rsidRDefault="00000000">
      <w:pPr>
        <w:ind w:firstLineChars="100" w:firstLine="320"/>
        <w:rPr>
          <w:rFonts w:ascii="仿宋_GB2312" w:eastAsia="仿宋_GB2312" w:hAnsi="黑体" w:hint="eastAsia"/>
          <w:sz w:val="32"/>
          <w:szCs w:val="32"/>
        </w:rPr>
      </w:pPr>
      <w:r>
        <w:rPr>
          <w:rFonts w:ascii="仿宋_GB2312" w:eastAsia="仿宋_GB2312" w:hAnsi="黑体" w:hint="eastAsia"/>
          <w:sz w:val="32"/>
          <w:szCs w:val="32"/>
        </w:rPr>
        <w:lastRenderedPageBreak/>
        <w:t>（此部分内容即为单位预算公开表，另见附件：表1至表10）</w:t>
      </w:r>
    </w:p>
    <w:p w:rsidR="000C70BF" w:rsidRDefault="000C70BF">
      <w:pPr>
        <w:rPr>
          <w:rFonts w:ascii="仿宋_GB2312" w:eastAsia="仿宋_GB2312" w:hAnsi="黑体" w:hint="eastAsia"/>
          <w:sz w:val="32"/>
          <w:szCs w:val="32"/>
        </w:rPr>
      </w:pPr>
    </w:p>
    <w:p w:rsidR="000C70BF" w:rsidRDefault="00000000">
      <w:pPr>
        <w:rPr>
          <w:rFonts w:ascii="黑体" w:eastAsia="黑体" w:hAnsi="黑体" w:hint="eastAsia"/>
          <w:sz w:val="36"/>
          <w:szCs w:val="36"/>
        </w:rPr>
      </w:pPr>
      <w:r>
        <w:rPr>
          <w:rFonts w:ascii="黑体" w:eastAsia="黑体" w:hAnsi="黑体" w:hint="eastAsia"/>
          <w:sz w:val="36"/>
          <w:szCs w:val="36"/>
        </w:rPr>
        <w:t>第三部分  海南省银行学校</w:t>
      </w:r>
      <w:r>
        <w:rPr>
          <w:rFonts w:ascii="仿宋_GB2312" w:eastAsia="仿宋_GB2312" w:hAnsi="黑体" w:cs="仿宋_GB2312" w:hint="eastAsia"/>
          <w:sz w:val="36"/>
          <w:szCs w:val="36"/>
        </w:rPr>
        <w:t>2024</w:t>
      </w:r>
      <w:r>
        <w:rPr>
          <w:rFonts w:ascii="黑体" w:eastAsia="黑体" w:hAnsi="黑体" w:hint="eastAsia"/>
          <w:sz w:val="36"/>
          <w:szCs w:val="36"/>
        </w:rPr>
        <w:t>年单位预算情况说明</w:t>
      </w:r>
    </w:p>
    <w:p w:rsidR="000C70BF" w:rsidRDefault="00000000">
      <w:pPr>
        <w:ind w:firstLineChars="200" w:firstLine="643"/>
        <w:jc w:val="left"/>
        <w:rPr>
          <w:rFonts w:ascii="仿宋" w:eastAsia="仿宋" w:hAnsi="仿宋" w:cs="仿宋" w:hint="eastAsia"/>
          <w:b/>
          <w:bCs/>
          <w:sz w:val="32"/>
          <w:szCs w:val="32"/>
        </w:rPr>
      </w:pPr>
      <w:r>
        <w:rPr>
          <w:rFonts w:ascii="仿宋" w:eastAsia="仿宋" w:hAnsi="仿宋" w:cs="仿宋" w:hint="eastAsia"/>
          <w:b/>
          <w:bCs/>
          <w:sz w:val="32"/>
          <w:szCs w:val="32"/>
        </w:rPr>
        <w:t>一、关于海南省银行学校2024年财政拨款收支预算情况的总体说明</w:t>
      </w:r>
    </w:p>
    <w:p w:rsidR="000C70BF" w:rsidRDefault="00000000">
      <w:pPr>
        <w:pStyle w:val="a7"/>
        <w:ind w:firstLineChars="200" w:firstLine="640"/>
        <w:rPr>
          <w:rFonts w:ascii="仿宋_GB2312" w:eastAsia="仿宋_GB2312" w:hAnsi="黑体" w:cs="黑体" w:hint="eastAsia"/>
          <w:kern w:val="2"/>
          <w:sz w:val="32"/>
          <w:szCs w:val="32"/>
        </w:rPr>
      </w:pPr>
      <w:r>
        <w:rPr>
          <w:rFonts w:ascii="仿宋_GB2312" w:eastAsia="仿宋_GB2312" w:hAnsi="黑体" w:cs="黑体" w:hint="eastAsia"/>
          <w:kern w:val="2"/>
          <w:sz w:val="32"/>
          <w:szCs w:val="32"/>
        </w:rPr>
        <w:t>海南省银行学校2024年财政拨款收支总预算3658.77万元（不含财政专户资金），比上年预算数增加277.33万元，增加原因主要有三：一是年度人员工资正常晋升、职称变动、自贸港津贴提高等变化情况导致人员工资福利预算增加了235.55万元；二是住房公积金缴费基数和基本养老保险缴费基数总量增加导致社保和住房公积金预算拨款比去年增加23.78万元；三是上年预算结转数增加18.58万元。其中，收入总计3658.77万元，包括：一般公共预算拨款收入3,612.91万元、上年结转45.86万元；支出总计3658.77万元，包括：教育支出3293.73万元、社会保障和就业支出196.12万元、卫生健康支出62.09万元、住房保障支出106.83万元。</w:t>
      </w:r>
    </w:p>
    <w:p w:rsidR="000C70BF" w:rsidRDefault="000C70BF">
      <w:pPr>
        <w:spacing w:line="600" w:lineRule="exact"/>
        <w:ind w:firstLineChars="200" w:firstLine="640"/>
        <w:jc w:val="left"/>
        <w:rPr>
          <w:rFonts w:ascii="仿宋_GB2312" w:eastAsia="仿宋_GB2312" w:hAnsi="黑体" w:hint="eastAsia"/>
          <w:sz w:val="32"/>
          <w:szCs w:val="32"/>
        </w:rPr>
      </w:pPr>
    </w:p>
    <w:p w:rsidR="000C70BF" w:rsidRDefault="00000000">
      <w:pPr>
        <w:ind w:firstLine="640"/>
        <w:jc w:val="left"/>
        <w:rPr>
          <w:rFonts w:ascii="仿宋" w:eastAsia="仿宋" w:hAnsi="仿宋" w:cs="仿宋" w:hint="eastAsia"/>
          <w:b/>
          <w:bCs/>
          <w:sz w:val="32"/>
          <w:szCs w:val="32"/>
        </w:rPr>
      </w:pPr>
      <w:r>
        <w:rPr>
          <w:rFonts w:ascii="仿宋" w:eastAsia="仿宋" w:hAnsi="仿宋" w:cs="仿宋" w:hint="eastAsia"/>
          <w:b/>
          <w:bCs/>
          <w:sz w:val="32"/>
          <w:szCs w:val="32"/>
        </w:rPr>
        <w:t>二、关于海南省银行学校2024年一般公共预算当年拨款情况说明</w:t>
      </w:r>
    </w:p>
    <w:p w:rsidR="000C70BF" w:rsidRDefault="00000000">
      <w:pPr>
        <w:ind w:firstLine="640"/>
        <w:jc w:val="left"/>
        <w:rPr>
          <w:rFonts w:ascii="仿宋_GB2312" w:eastAsia="仿宋_GB2312" w:hAnsi="黑体" w:hint="eastAsia"/>
          <w:sz w:val="32"/>
          <w:szCs w:val="32"/>
        </w:rPr>
      </w:pPr>
      <w:r>
        <w:rPr>
          <w:rFonts w:ascii="仿宋_GB2312" w:eastAsia="仿宋_GB2312" w:hAnsi="黑体" w:hint="eastAsia"/>
          <w:sz w:val="32"/>
          <w:szCs w:val="32"/>
        </w:rPr>
        <w:t>（一）一般公共预算当年规模变化情况</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海南省银行学校2024年一般公共预算当年拨款3658.77万元，比上年预算数增加277.33万元，主要原因是人员工资正常</w:t>
      </w:r>
      <w:r>
        <w:rPr>
          <w:rFonts w:ascii="仿宋_GB2312" w:eastAsia="仿宋_GB2312" w:hAnsi="黑体" w:hint="eastAsia"/>
          <w:sz w:val="32"/>
          <w:szCs w:val="32"/>
        </w:rPr>
        <w:lastRenderedPageBreak/>
        <w:t>晋升、职称变动、自贸港津贴提高等变化导致人员工资福利预算数增加；社保缴费基数和住房公积金缴费基数提高导致社保和住房公积金预算拨款数比去年有所增加；上年预算结转数增加。</w:t>
      </w:r>
    </w:p>
    <w:p w:rsidR="000C70BF" w:rsidRDefault="00000000">
      <w:pPr>
        <w:ind w:firstLine="640"/>
        <w:jc w:val="left"/>
        <w:rPr>
          <w:rFonts w:ascii="仿宋_GB2312" w:eastAsia="仿宋_GB2312" w:hAnsi="黑体" w:hint="eastAsia"/>
          <w:sz w:val="32"/>
          <w:szCs w:val="32"/>
        </w:rPr>
      </w:pPr>
      <w:r>
        <w:rPr>
          <w:rFonts w:ascii="仿宋_GB2312" w:eastAsia="仿宋_GB2312" w:hAnsi="黑体" w:hint="eastAsia"/>
          <w:sz w:val="32"/>
          <w:szCs w:val="32"/>
        </w:rPr>
        <w:t>（二）一般公共预算当年拨款结构情况</w:t>
      </w:r>
    </w:p>
    <w:p w:rsidR="000C70BF" w:rsidRDefault="00000000">
      <w:pPr>
        <w:ind w:firstLine="640"/>
        <w:jc w:val="left"/>
        <w:rPr>
          <w:rFonts w:ascii="仿宋_GB2312" w:eastAsia="仿宋_GB2312" w:hAnsi="黑体" w:hint="eastAsia"/>
          <w:sz w:val="32"/>
          <w:szCs w:val="32"/>
        </w:rPr>
      </w:pPr>
      <w:r>
        <w:rPr>
          <w:rFonts w:ascii="仿宋_GB2312" w:eastAsia="仿宋_GB2312" w:hAnsi="黑体" w:hint="eastAsia"/>
          <w:sz w:val="32"/>
          <w:szCs w:val="32"/>
        </w:rPr>
        <w:t>2024年一般公共预算当年拨款3658.77万元，其中：教育支出3293.73万元，占90.02%；社会保障和就业支出196.12万元，占5.36%；卫生健康支出62.09万元，占1.7%；住房保障支出106.83万元，占2.92%。</w:t>
      </w:r>
    </w:p>
    <w:p w:rsidR="000C70BF" w:rsidRDefault="00000000">
      <w:pPr>
        <w:ind w:firstLine="640"/>
        <w:jc w:val="left"/>
        <w:rPr>
          <w:rFonts w:ascii="仿宋_GB2312" w:eastAsia="仿宋_GB2312" w:hAnsi="黑体" w:hint="eastAsia"/>
          <w:sz w:val="32"/>
          <w:szCs w:val="32"/>
        </w:rPr>
      </w:pPr>
      <w:r>
        <w:rPr>
          <w:rFonts w:ascii="仿宋_GB2312" w:eastAsia="仿宋_GB2312" w:hAnsi="黑体" w:hint="eastAsia"/>
          <w:sz w:val="32"/>
          <w:szCs w:val="32"/>
        </w:rPr>
        <w:t>（三）一般公共预算当年拨款具体使用情况</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1.教育支出（类）职业教育（款）中等职业教育（项）2024年预算数为3293.73万元，比上年预算数增加253.55万元，主要是基本支出预算增加了55.95万元、项目支出预算增加了197.6万元。</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2.社会保障和就业支出（类）行政事业单位养老支出（款）机关事业单位基本养老保险缴费支出（项）2024年预算数为130.74万元，比上年预算数增加8.66万元，主要原因是单位人员养老保险缴费基数提高导致养老保险金预算拨款数比去年有所增加。</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3.社会保障和就业支出（类）行政事业单位养老支出（款）机关事业单位职业年金缴费支出（项）2024年预算数为65.37万元，比上年预算数增加4.33万元，主要原因是单位人员职业年金缴费基数（与养老保险缴费基数相同）提高导致职业年金</w:t>
      </w:r>
      <w:r>
        <w:rPr>
          <w:rFonts w:ascii="仿宋_GB2312" w:eastAsia="仿宋_GB2312" w:hAnsi="黑体" w:hint="eastAsia"/>
          <w:sz w:val="32"/>
          <w:szCs w:val="32"/>
        </w:rPr>
        <w:lastRenderedPageBreak/>
        <w:t>金预算拨款数比去年有所增加。</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4.卫生健康支出（类）行政事业单位医疗（款）事业单位医疗（项）2024年预算数为62.09万元，比上年增加4.57万元，主要是因为单位人员社保缴费基数提高导致医疗保险预算稍有增加。</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5.住房保障支出（类）住房改革支出（款）住房公积金（项）2024年预算数为106.83万元，比上年增加6.21万元，主要原因为住房公积金缴费基数提高导致年初住房公积金预算拨款比去年增加。</w:t>
      </w:r>
    </w:p>
    <w:p w:rsidR="000C70BF" w:rsidRDefault="000C70BF">
      <w:pPr>
        <w:spacing w:line="600" w:lineRule="exact"/>
        <w:ind w:firstLineChars="200" w:firstLine="640"/>
        <w:rPr>
          <w:rFonts w:ascii="仿宋_GB2312" w:eastAsia="仿宋_GB2312" w:hAnsi="黑体" w:hint="eastAsia"/>
          <w:sz w:val="32"/>
          <w:szCs w:val="32"/>
        </w:rPr>
      </w:pPr>
    </w:p>
    <w:p w:rsidR="000C70BF" w:rsidRDefault="00000000">
      <w:pPr>
        <w:ind w:firstLine="640"/>
        <w:rPr>
          <w:rFonts w:ascii="仿宋" w:eastAsia="仿宋" w:hAnsi="仿宋" w:cs="仿宋" w:hint="eastAsia"/>
          <w:b/>
          <w:bCs/>
          <w:sz w:val="32"/>
          <w:szCs w:val="32"/>
        </w:rPr>
      </w:pPr>
      <w:r>
        <w:rPr>
          <w:rFonts w:ascii="仿宋" w:eastAsia="仿宋" w:hAnsi="仿宋" w:cs="仿宋" w:hint="eastAsia"/>
          <w:b/>
          <w:bCs/>
          <w:sz w:val="32"/>
          <w:szCs w:val="32"/>
        </w:rPr>
        <w:t>三、关于海南省银行学校2024年一般公共预算基本支出情况说明</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海南省银行学校2024年一般公共预算基本支出为1927.49万元，其中：</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1390.22万元，主要包括：基本工资、津贴补贴、绩效工资、机关事业单位基本养老保险缴费、职业年金缴费、城镇职工基本医疗保险缴费、其他社会保障缴费、住房公积金、医疗费、其他工资福利支出、邮电费、其他对个人和家庭的补助。</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公用经费537.27万元，主要包括：其他工资福利支出、办公费、印刷费、咨询费、手续费、水费、电费、邮电费、物业管理费、差旅费、维修(护)费、租赁费、专用材料费、专用燃料费、委托业务费、工会经费、公务用车运行维护费、生活补</w:t>
      </w:r>
      <w:r>
        <w:rPr>
          <w:rFonts w:ascii="仿宋_GB2312" w:eastAsia="仿宋_GB2312" w:hAnsi="黑体" w:hint="eastAsia"/>
          <w:sz w:val="32"/>
          <w:szCs w:val="32"/>
        </w:rPr>
        <w:lastRenderedPageBreak/>
        <w:t>助、救济费、其他对个人和家庭的补助、办公设备购置。</w:t>
      </w:r>
    </w:p>
    <w:p w:rsidR="000C70BF" w:rsidRDefault="000C70BF">
      <w:pPr>
        <w:widowControl/>
        <w:ind w:firstLineChars="200" w:firstLine="640"/>
        <w:jc w:val="left"/>
        <w:rPr>
          <w:rFonts w:ascii="仿宋_GB2312" w:eastAsia="仿宋_GB2312" w:hAnsi="黑体" w:hint="eastAsia"/>
          <w:sz w:val="32"/>
          <w:szCs w:val="32"/>
        </w:rPr>
      </w:pPr>
    </w:p>
    <w:p w:rsidR="000C70BF" w:rsidRDefault="00000000">
      <w:pPr>
        <w:ind w:firstLineChars="200" w:firstLine="643"/>
        <w:rPr>
          <w:rFonts w:ascii="仿宋" w:eastAsia="仿宋" w:hAnsi="仿宋" w:cs="仿宋" w:hint="eastAsia"/>
          <w:b/>
          <w:bCs/>
          <w:sz w:val="32"/>
          <w:shd w:val="clear" w:color="auto" w:fill="FFFFFF"/>
        </w:rPr>
      </w:pPr>
      <w:r>
        <w:rPr>
          <w:rFonts w:ascii="仿宋" w:eastAsia="仿宋" w:hAnsi="仿宋" w:cs="仿宋" w:hint="eastAsia"/>
          <w:b/>
          <w:bCs/>
          <w:sz w:val="32"/>
          <w:shd w:val="clear" w:color="auto" w:fill="FFFFFF"/>
        </w:rPr>
        <w:t>四、</w:t>
      </w:r>
      <w:r>
        <w:rPr>
          <w:rFonts w:ascii="仿宋" w:eastAsia="仿宋" w:hAnsi="仿宋" w:cs="仿宋" w:hint="eastAsia"/>
          <w:b/>
          <w:bCs/>
          <w:sz w:val="32"/>
          <w:szCs w:val="32"/>
        </w:rPr>
        <w:t>海南省银行学校2024年</w:t>
      </w:r>
      <w:r>
        <w:rPr>
          <w:rFonts w:ascii="仿宋" w:eastAsia="仿宋" w:hAnsi="仿宋" w:cs="仿宋" w:hint="eastAsia"/>
          <w:b/>
          <w:bCs/>
          <w:sz w:val="32"/>
          <w:shd w:val="clear" w:color="auto" w:fill="FFFFFF"/>
        </w:rPr>
        <w:t>“三公”经费预算情况说明</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（一）海南省银行学校</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hint="eastAsia"/>
          <w:sz w:val="32"/>
          <w:szCs w:val="32"/>
        </w:rPr>
        <w:t>“三公”经费预算数为</w:t>
      </w:r>
      <w:r>
        <w:rPr>
          <w:rFonts w:ascii="仿宋_GB2312" w:eastAsia="仿宋_GB2312" w:hAnsi="黑体" w:cs="仿宋_GB2312" w:hint="eastAsia"/>
          <w:sz w:val="32"/>
          <w:szCs w:val="32"/>
        </w:rPr>
        <w:t>3</w:t>
      </w:r>
      <w:r>
        <w:rPr>
          <w:rFonts w:ascii="仿宋_GB2312" w:eastAsia="仿宋_GB2312" w:hAnsi="黑体" w:hint="eastAsia"/>
          <w:sz w:val="32"/>
          <w:szCs w:val="32"/>
        </w:rPr>
        <w:t>万元。其中：</w:t>
      </w:r>
    </w:p>
    <w:p w:rsidR="000C70BF" w:rsidRDefault="00000000">
      <w:pPr>
        <w:spacing w:line="600" w:lineRule="exact"/>
        <w:ind w:firstLine="630"/>
        <w:rPr>
          <w:rFonts w:ascii="仿宋_GB2312" w:eastAsia="仿宋" w:hAnsi="仿宋_GB2312" w:hint="eastAsia"/>
          <w:sz w:val="32"/>
          <w:shd w:val="clear" w:color="auto" w:fill="FFFFFF"/>
        </w:rPr>
      </w:pPr>
      <w:r>
        <w:rPr>
          <w:rFonts w:ascii="仿宋" w:eastAsia="仿宋" w:hAnsi="仿宋" w:cs="仿宋" w:hint="eastAsia"/>
          <w:sz w:val="32"/>
          <w:szCs w:val="32"/>
        </w:rPr>
        <w:t>1.因公出国（境）经费为0，与上年预算情况一致，本年度没安排该项预算。</w:t>
      </w:r>
    </w:p>
    <w:p w:rsidR="000C70BF" w:rsidRDefault="00000000">
      <w:pPr>
        <w:spacing w:line="600" w:lineRule="exact"/>
        <w:ind w:firstLineChars="200" w:firstLine="640"/>
        <w:rPr>
          <w:rFonts w:ascii="Times New Roman" w:eastAsia="仿宋_GB2312" w:hAnsi="Times New Roman"/>
          <w:sz w:val="32"/>
          <w:shd w:val="clear" w:color="auto" w:fill="FFFFFF"/>
        </w:rPr>
      </w:pPr>
      <w:r>
        <w:rPr>
          <w:rFonts w:ascii="Times New Roman" w:eastAsia="仿宋_GB2312" w:hAnsi="Times New Roman" w:hint="eastAsia"/>
          <w:sz w:val="32"/>
          <w:shd w:val="clear" w:color="auto" w:fill="FFFFFF"/>
        </w:rPr>
        <w:t>2.</w:t>
      </w:r>
      <w:r>
        <w:rPr>
          <w:rFonts w:ascii="Times New Roman" w:eastAsia="仿宋_GB2312" w:hAnsi="Times New Roman" w:hint="eastAsia"/>
          <w:sz w:val="32"/>
          <w:shd w:val="clear" w:color="auto" w:fill="FFFFFF"/>
        </w:rPr>
        <w:t>公务用车购置及运行费</w:t>
      </w:r>
      <w:r>
        <w:rPr>
          <w:rFonts w:ascii="仿宋_GB2312" w:eastAsia="仿宋_GB2312" w:hAnsi="黑体" w:cs="仿宋_GB2312" w:hint="eastAsia"/>
          <w:sz w:val="32"/>
          <w:szCs w:val="32"/>
        </w:rPr>
        <w:t>3</w:t>
      </w:r>
      <w:r>
        <w:rPr>
          <w:rFonts w:ascii="仿宋_GB2312" w:eastAsia="仿宋_GB2312" w:hAnsi="黑体" w:hint="eastAsia"/>
          <w:sz w:val="32"/>
          <w:szCs w:val="32"/>
        </w:rPr>
        <w:t>万元，为</w:t>
      </w:r>
      <w:r>
        <w:rPr>
          <w:rFonts w:ascii="Times New Roman" w:eastAsia="仿宋_GB2312" w:hAnsi="Times New Roman" w:hint="eastAsia"/>
          <w:sz w:val="32"/>
          <w:shd w:val="clear" w:color="auto" w:fill="FFFFFF"/>
        </w:rPr>
        <w:t>公务用车</w:t>
      </w:r>
      <w:r>
        <w:rPr>
          <w:rFonts w:ascii="仿宋_GB2312" w:eastAsia="仿宋_GB2312" w:hint="eastAsia"/>
          <w:sz w:val="32"/>
          <w:shd w:val="clear" w:color="auto" w:fill="FFFFFF"/>
        </w:rPr>
        <w:t>运行维护费，</w:t>
      </w:r>
      <w:r>
        <w:rPr>
          <w:rFonts w:ascii="Times New Roman" w:eastAsia="仿宋_GB2312" w:hAnsi="Times New Roman" w:hint="eastAsia"/>
          <w:sz w:val="32"/>
          <w:shd w:val="clear" w:color="auto" w:fill="FFFFFF"/>
        </w:rPr>
        <w:t>较上年预算下降</w:t>
      </w:r>
      <w:r>
        <w:rPr>
          <w:rFonts w:ascii="仿宋_GB2312" w:eastAsia="仿宋_GB2312" w:hAnsi="黑体" w:cs="仿宋_GB2312" w:hint="eastAsia"/>
          <w:sz w:val="32"/>
          <w:szCs w:val="32"/>
        </w:rPr>
        <w:t>33.33</w:t>
      </w:r>
      <w:r>
        <w:rPr>
          <w:rFonts w:ascii="Times New Roman" w:eastAsia="仿宋_GB2312" w:hAnsi="Times New Roman"/>
          <w:sz w:val="32"/>
          <w:shd w:val="clear" w:color="auto" w:fill="FFFFFF"/>
        </w:rPr>
        <w:t>%</w:t>
      </w:r>
      <w:r>
        <w:rPr>
          <w:rFonts w:ascii="Times New Roman" w:eastAsia="仿宋_GB2312" w:hAnsi="Times New Roman" w:hint="eastAsia"/>
          <w:sz w:val="32"/>
          <w:shd w:val="clear" w:color="auto" w:fill="FFFFFF"/>
        </w:rPr>
        <w:t>，比去年减少</w:t>
      </w:r>
      <w:r>
        <w:rPr>
          <w:rFonts w:ascii="Times New Roman" w:eastAsia="仿宋_GB2312" w:hAnsi="Times New Roman" w:hint="eastAsia"/>
          <w:sz w:val="32"/>
          <w:shd w:val="clear" w:color="auto" w:fill="FFFFFF"/>
        </w:rPr>
        <w:t>1.5</w:t>
      </w:r>
      <w:r>
        <w:rPr>
          <w:rFonts w:ascii="Times New Roman" w:eastAsia="仿宋_GB2312" w:hAnsi="Times New Roman" w:hint="eastAsia"/>
          <w:sz w:val="32"/>
          <w:shd w:val="clear" w:color="auto" w:fill="FFFFFF"/>
        </w:rPr>
        <w:t>万元。公务用车保有量为</w:t>
      </w:r>
      <w:r>
        <w:rPr>
          <w:rFonts w:ascii="Times New Roman" w:eastAsia="仿宋_GB2312" w:hAnsi="Times New Roman" w:hint="eastAsia"/>
          <w:sz w:val="32"/>
          <w:shd w:val="clear" w:color="auto" w:fill="FFFFFF"/>
        </w:rPr>
        <w:t>2</w:t>
      </w:r>
      <w:r>
        <w:rPr>
          <w:rFonts w:ascii="Times New Roman" w:eastAsia="仿宋_GB2312" w:hAnsi="Times New Roman" w:hint="eastAsia"/>
          <w:sz w:val="32"/>
          <w:shd w:val="clear" w:color="auto" w:fill="FFFFFF"/>
        </w:rPr>
        <w:t>辆，本年度未安排</w:t>
      </w:r>
      <w:r>
        <w:rPr>
          <w:rFonts w:ascii="仿宋_GB2312" w:eastAsia="仿宋_GB2312" w:hAnsi="黑体" w:hint="eastAsia"/>
          <w:sz w:val="32"/>
          <w:szCs w:val="32"/>
        </w:rPr>
        <w:t>公务用车购置费</w:t>
      </w:r>
      <w:r>
        <w:rPr>
          <w:rFonts w:ascii="Times New Roman" w:eastAsia="仿宋_GB2312" w:hAnsi="Times New Roman" w:hint="eastAsia"/>
          <w:sz w:val="32"/>
          <w:shd w:val="clear" w:color="auto" w:fill="FFFFFF"/>
        </w:rPr>
        <w:t>。</w:t>
      </w:r>
    </w:p>
    <w:p w:rsidR="000C70BF" w:rsidRDefault="00000000">
      <w:pPr>
        <w:spacing w:line="600" w:lineRule="exact"/>
        <w:ind w:firstLineChars="200" w:firstLine="640"/>
        <w:rPr>
          <w:rFonts w:ascii="仿宋_GB2312" w:eastAsia="仿宋_GB2312"/>
          <w:sz w:val="32"/>
          <w:shd w:val="clear" w:color="auto" w:fill="FFFFFF"/>
        </w:rPr>
      </w:pPr>
      <w:r>
        <w:rPr>
          <w:rFonts w:ascii="仿宋_GB2312" w:eastAsia="仿宋_GB2312" w:hAnsi="黑体" w:hint="eastAsia"/>
          <w:sz w:val="32"/>
          <w:szCs w:val="32"/>
        </w:rPr>
        <w:t>3.公务接待费为</w:t>
      </w:r>
      <w:r>
        <w:rPr>
          <w:rFonts w:ascii="仿宋_GB2312" w:eastAsia="仿宋_GB2312" w:hAnsi="黑体" w:cs="仿宋_GB2312" w:hint="eastAsia"/>
          <w:sz w:val="32"/>
          <w:szCs w:val="32"/>
        </w:rPr>
        <w:t>0</w:t>
      </w:r>
      <w:r>
        <w:rPr>
          <w:rFonts w:ascii="Times New Roman" w:eastAsia="仿宋_GB2312" w:hAnsi="Times New Roman" w:hint="eastAsia"/>
          <w:sz w:val="32"/>
          <w:shd w:val="clear" w:color="auto" w:fill="FFFFFF"/>
        </w:rPr>
        <w:t>。在实行严格的规范管理后，学校已多年没有安排该项预算。</w:t>
      </w:r>
    </w:p>
    <w:p w:rsidR="000C70BF" w:rsidRDefault="00000000">
      <w:pPr>
        <w:ind w:firstLineChars="200" w:firstLine="640"/>
        <w:rPr>
          <w:rFonts w:ascii="Times New Roman" w:eastAsia="仿宋_GB2312" w:hAnsi="Times New Roman" w:cs="Times New Roman"/>
          <w:sz w:val="32"/>
          <w:shd w:val="clear" w:color="auto" w:fill="FFFFFF"/>
        </w:rPr>
      </w:pPr>
      <w:r>
        <w:rPr>
          <w:rFonts w:ascii="仿宋_GB2312" w:eastAsia="仿宋_GB2312" w:hAnsi="黑体" w:hint="eastAsia"/>
          <w:sz w:val="32"/>
          <w:szCs w:val="32"/>
        </w:rPr>
        <w:t>（二）海南省银行学校2024年政府性基金预算“三公”经费预算数为</w:t>
      </w:r>
      <w:r>
        <w:rPr>
          <w:rFonts w:ascii="仿宋_GB2312" w:eastAsia="仿宋_GB2312" w:hAnsi="黑体" w:cs="仿宋_GB2312" w:hint="eastAsia"/>
          <w:sz w:val="32"/>
          <w:szCs w:val="32"/>
        </w:rPr>
        <w:t>0</w:t>
      </w:r>
      <w:r>
        <w:rPr>
          <w:rFonts w:ascii="Times New Roman" w:eastAsia="仿宋_GB2312" w:hAnsi="Times New Roman" w:cs="Times New Roman" w:hint="eastAsia"/>
          <w:sz w:val="32"/>
          <w:shd w:val="clear" w:color="auto" w:fill="FFFFFF"/>
        </w:rPr>
        <w:t>。</w:t>
      </w:r>
    </w:p>
    <w:p w:rsidR="000C70BF" w:rsidRDefault="000C70BF">
      <w:pPr>
        <w:ind w:firstLineChars="200" w:firstLine="640"/>
        <w:rPr>
          <w:rFonts w:ascii="Times New Roman" w:eastAsia="仿宋_GB2312" w:hAnsi="Times New Roman" w:cs="Times New Roman"/>
          <w:sz w:val="32"/>
          <w:shd w:val="clear" w:color="auto" w:fill="FFFFFF"/>
        </w:rPr>
      </w:pPr>
    </w:p>
    <w:p w:rsidR="000C70BF" w:rsidRDefault="00000000">
      <w:pPr>
        <w:ind w:firstLineChars="200" w:firstLine="643"/>
        <w:rPr>
          <w:rFonts w:ascii="仿宋" w:eastAsia="仿宋" w:hAnsi="仿宋" w:cs="仿宋" w:hint="eastAsia"/>
          <w:b/>
          <w:bCs/>
          <w:sz w:val="32"/>
          <w:shd w:val="clear" w:color="auto" w:fill="FFFFFF"/>
        </w:rPr>
      </w:pPr>
      <w:r>
        <w:rPr>
          <w:rFonts w:ascii="仿宋" w:eastAsia="仿宋" w:hAnsi="仿宋" w:cs="仿宋" w:hint="eastAsia"/>
          <w:b/>
          <w:bCs/>
          <w:sz w:val="32"/>
          <w:shd w:val="clear" w:color="auto" w:fill="FFFFFF"/>
        </w:rPr>
        <w:t>五、关于海南省银行学校2024年政府性基金预算当年拨款情况说明</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2024年海南省银行学校无政府性基金预算当年拨款。</w:t>
      </w:r>
    </w:p>
    <w:p w:rsidR="000C70BF" w:rsidRDefault="000C70BF">
      <w:pPr>
        <w:widowControl/>
        <w:shd w:val="clear" w:color="auto" w:fill="FFFFFF"/>
        <w:spacing w:line="600" w:lineRule="exact"/>
        <w:ind w:firstLine="640"/>
        <w:jc w:val="left"/>
        <w:rPr>
          <w:rFonts w:ascii="楷体" w:eastAsia="楷体" w:hAnsi="楷体" w:cs="楷体" w:hint="eastAsia"/>
          <w:b/>
          <w:bCs/>
          <w:sz w:val="32"/>
          <w:shd w:val="clear" w:color="auto" w:fill="FFFFFF"/>
        </w:rPr>
      </w:pPr>
    </w:p>
    <w:p w:rsidR="000C70BF" w:rsidRDefault="00000000">
      <w:pPr>
        <w:widowControl/>
        <w:shd w:val="clear" w:color="auto" w:fill="FFFFFF"/>
        <w:spacing w:line="600" w:lineRule="exact"/>
        <w:ind w:firstLine="640"/>
        <w:jc w:val="left"/>
        <w:rPr>
          <w:rFonts w:ascii="仿宋" w:eastAsia="仿宋" w:hAnsi="仿宋" w:cs="仿宋" w:hint="eastAsia"/>
          <w:sz w:val="32"/>
          <w:shd w:val="clear" w:color="auto" w:fill="FFFFFF"/>
        </w:rPr>
      </w:pPr>
      <w:r>
        <w:rPr>
          <w:rFonts w:ascii="仿宋" w:eastAsia="仿宋" w:hAnsi="仿宋" w:cs="仿宋" w:hint="eastAsia"/>
          <w:b/>
          <w:bCs/>
          <w:sz w:val="32"/>
          <w:shd w:val="clear" w:color="auto" w:fill="FFFFFF"/>
        </w:rPr>
        <w:t>六、关于海南省银行学校2024年收支预算情况的总体说明</w:t>
      </w:r>
    </w:p>
    <w:p w:rsidR="000C70BF" w:rsidRDefault="00000000">
      <w:pPr>
        <w:spacing w:line="600" w:lineRule="exact"/>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按照综合预算原则，海南省银行学校所有收入和支出均纳入部门预算管理。收入包括：一般公共预算拨款收入，财政专</w:t>
      </w:r>
      <w:r>
        <w:rPr>
          <w:rFonts w:ascii="仿宋_GB2312" w:eastAsia="仿宋_GB2312" w:hAnsi="黑体" w:cs="仿宋_GB2312" w:hint="eastAsia"/>
          <w:sz w:val="32"/>
          <w:szCs w:val="32"/>
        </w:rPr>
        <w:lastRenderedPageBreak/>
        <w:t>户管理资金收入、上年结转收入；支出包括：教育支出、社会保障和就业支出、卫生健康支出、住房保障支出。海南省银行学校</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cs="仿宋_GB2312" w:hint="eastAsia"/>
          <w:sz w:val="32"/>
          <w:szCs w:val="32"/>
        </w:rPr>
        <w:t>收支总预算3803.77万元</w:t>
      </w:r>
      <w:r>
        <w:rPr>
          <w:rFonts w:ascii="仿宋_GB2312" w:eastAsia="仿宋_GB2312" w:hAnsi="黑体" w:hint="eastAsia"/>
          <w:sz w:val="32"/>
          <w:szCs w:val="32"/>
        </w:rPr>
        <w:t>（含财政专户资金145万元）</w:t>
      </w:r>
      <w:r>
        <w:rPr>
          <w:rFonts w:ascii="仿宋_GB2312" w:eastAsia="仿宋_GB2312" w:hAnsi="黑体" w:cs="仿宋_GB2312" w:hint="eastAsia"/>
          <w:sz w:val="32"/>
          <w:szCs w:val="32"/>
        </w:rPr>
        <w:t>。</w:t>
      </w:r>
    </w:p>
    <w:p w:rsidR="000C70BF" w:rsidRDefault="000C70BF">
      <w:pPr>
        <w:spacing w:line="600" w:lineRule="exact"/>
        <w:ind w:firstLineChars="200" w:firstLine="640"/>
        <w:rPr>
          <w:rFonts w:ascii="仿宋_GB2312" w:eastAsia="仿宋_GB2312" w:hAnsi="黑体" w:cs="仿宋_GB2312" w:hint="eastAsia"/>
          <w:sz w:val="32"/>
          <w:szCs w:val="32"/>
        </w:rPr>
      </w:pPr>
    </w:p>
    <w:p w:rsidR="000C70BF" w:rsidRDefault="00000000">
      <w:pPr>
        <w:ind w:firstLineChars="200" w:firstLine="643"/>
        <w:rPr>
          <w:rFonts w:ascii="仿宋" w:eastAsia="仿宋" w:hAnsi="仿宋" w:cs="仿宋" w:hint="eastAsia"/>
          <w:b/>
          <w:bCs/>
          <w:sz w:val="32"/>
          <w:shd w:val="clear" w:color="auto" w:fill="FFFFFF"/>
        </w:rPr>
      </w:pPr>
      <w:r>
        <w:rPr>
          <w:rFonts w:ascii="仿宋" w:eastAsia="仿宋" w:hAnsi="仿宋" w:cs="仿宋" w:hint="eastAsia"/>
          <w:b/>
          <w:bCs/>
          <w:sz w:val="32"/>
          <w:shd w:val="clear" w:color="auto" w:fill="FFFFFF"/>
        </w:rPr>
        <w:t>七、关于海南省银行学校2024年收入预算情况说明</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海南省银行学校</w:t>
      </w:r>
      <w:r>
        <w:rPr>
          <w:rFonts w:ascii="仿宋_GB2312" w:eastAsia="仿宋_GB2312" w:hAnsi="黑体" w:cs="仿宋_GB2312"/>
          <w:sz w:val="32"/>
          <w:szCs w:val="32"/>
        </w:rPr>
        <w:t>202</w:t>
      </w:r>
      <w:r>
        <w:rPr>
          <w:rFonts w:ascii="仿宋_GB2312" w:eastAsia="仿宋_GB2312" w:hAnsi="黑体" w:cs="仿宋_GB2312" w:hint="eastAsia"/>
          <w:sz w:val="32"/>
          <w:szCs w:val="32"/>
        </w:rPr>
        <w:t>4</w:t>
      </w:r>
      <w:r>
        <w:rPr>
          <w:rFonts w:ascii="仿宋_GB2312" w:eastAsia="仿宋_GB2312" w:hAnsi="黑体" w:cs="仿宋_GB2312"/>
          <w:sz w:val="32"/>
          <w:szCs w:val="32"/>
        </w:rPr>
        <w:t>年</w:t>
      </w:r>
      <w:r>
        <w:rPr>
          <w:rFonts w:ascii="仿宋_GB2312" w:eastAsia="仿宋_GB2312" w:hAnsi="黑体" w:hint="eastAsia"/>
          <w:sz w:val="32"/>
          <w:szCs w:val="32"/>
        </w:rPr>
        <w:t>收入总预算</w:t>
      </w:r>
      <w:r>
        <w:rPr>
          <w:rFonts w:ascii="仿宋_GB2312" w:eastAsia="仿宋_GB2312" w:hAnsi="黑体" w:cs="仿宋_GB2312" w:hint="eastAsia"/>
          <w:sz w:val="32"/>
          <w:szCs w:val="32"/>
        </w:rPr>
        <w:t>3803.77</w:t>
      </w:r>
      <w:r>
        <w:rPr>
          <w:rFonts w:ascii="仿宋_GB2312" w:eastAsia="仿宋_GB2312" w:hAnsi="黑体" w:hint="eastAsia"/>
          <w:sz w:val="32"/>
          <w:szCs w:val="32"/>
        </w:rPr>
        <w:t>万元，其中：一般公共预算拨款收入</w:t>
      </w:r>
      <w:r>
        <w:rPr>
          <w:rFonts w:ascii="仿宋_GB2312" w:eastAsia="仿宋_GB2312" w:hAnsi="黑体" w:cs="仿宋_GB2312" w:hint="eastAsia"/>
          <w:sz w:val="32"/>
          <w:szCs w:val="32"/>
        </w:rPr>
        <w:t>3612.91</w:t>
      </w:r>
      <w:r>
        <w:rPr>
          <w:rFonts w:ascii="仿宋_GB2312" w:eastAsia="仿宋_GB2312" w:hAnsi="黑体" w:hint="eastAsia"/>
          <w:sz w:val="32"/>
          <w:szCs w:val="32"/>
        </w:rPr>
        <w:t>万元，占94.98</w:t>
      </w:r>
      <w:r>
        <w:rPr>
          <w:rFonts w:ascii="仿宋_GB2312" w:eastAsia="仿宋_GB2312" w:hAnsi="黑体"/>
          <w:sz w:val="32"/>
          <w:szCs w:val="32"/>
        </w:rPr>
        <w:t>%</w:t>
      </w:r>
      <w:r>
        <w:rPr>
          <w:rFonts w:ascii="仿宋_GB2312" w:eastAsia="仿宋_GB2312" w:hAnsi="黑体" w:hint="eastAsia"/>
          <w:sz w:val="32"/>
          <w:szCs w:val="32"/>
        </w:rPr>
        <w:t>；财政专户资金收入145万元（为教育收费），占3.81</w:t>
      </w:r>
      <w:r>
        <w:rPr>
          <w:rFonts w:ascii="仿宋_GB2312" w:eastAsia="仿宋_GB2312" w:hAnsi="黑体"/>
          <w:sz w:val="32"/>
          <w:szCs w:val="32"/>
        </w:rPr>
        <w:t>%</w:t>
      </w:r>
      <w:r>
        <w:rPr>
          <w:rFonts w:ascii="仿宋_GB2312" w:eastAsia="仿宋_GB2312" w:hAnsi="黑体" w:hint="eastAsia"/>
          <w:sz w:val="32"/>
          <w:szCs w:val="32"/>
        </w:rPr>
        <w:t>；上年结转45.86万元，占1.21</w:t>
      </w:r>
      <w:r>
        <w:rPr>
          <w:rFonts w:ascii="仿宋_GB2312" w:eastAsia="仿宋_GB2312" w:hAnsi="黑体"/>
          <w:sz w:val="32"/>
          <w:szCs w:val="32"/>
        </w:rPr>
        <w:t>%</w:t>
      </w:r>
      <w:r>
        <w:rPr>
          <w:rFonts w:ascii="仿宋_GB2312" w:eastAsia="仿宋_GB2312" w:hAnsi="黑体" w:hint="eastAsia"/>
          <w:sz w:val="32"/>
          <w:szCs w:val="32"/>
        </w:rPr>
        <w:t>。</w:t>
      </w:r>
      <w:r>
        <w:rPr>
          <w:rFonts w:ascii="仿宋_GB2312" w:eastAsia="仿宋_GB2312" w:hAnsi="黑体" w:cs="仿宋_GB2312" w:hint="eastAsia"/>
          <w:sz w:val="32"/>
          <w:szCs w:val="32"/>
        </w:rPr>
        <w:t>比上年预算数增加299.28万元，主要是</w:t>
      </w:r>
      <w:r>
        <w:rPr>
          <w:rFonts w:ascii="仿宋_GB2312" w:eastAsia="仿宋_GB2312" w:hAnsi="黑体" w:hint="eastAsia"/>
          <w:sz w:val="32"/>
          <w:szCs w:val="32"/>
        </w:rPr>
        <w:t>基本支出预算增加了79.73万元、项目支出预算增加了197.61万元、财政专户资金收入增加了21.94万元。</w:t>
      </w:r>
    </w:p>
    <w:p w:rsidR="000C70BF" w:rsidRDefault="000C70BF">
      <w:pPr>
        <w:spacing w:line="600" w:lineRule="exact"/>
        <w:ind w:firstLineChars="200" w:firstLine="640"/>
        <w:rPr>
          <w:rFonts w:ascii="仿宋_GB2312" w:eastAsia="仿宋_GB2312" w:hAnsi="黑体" w:hint="eastAsia"/>
          <w:sz w:val="32"/>
          <w:szCs w:val="32"/>
        </w:rPr>
      </w:pPr>
    </w:p>
    <w:p w:rsidR="000C70BF" w:rsidRDefault="00000000">
      <w:pPr>
        <w:ind w:firstLineChars="200" w:firstLine="643"/>
        <w:rPr>
          <w:rFonts w:ascii="仿宋" w:eastAsia="仿宋" w:hAnsi="仿宋" w:cs="仿宋" w:hint="eastAsia"/>
          <w:b/>
          <w:bCs/>
          <w:sz w:val="32"/>
          <w:shd w:val="clear" w:color="auto" w:fill="FFFFFF"/>
        </w:rPr>
      </w:pPr>
      <w:r>
        <w:rPr>
          <w:rFonts w:ascii="仿宋" w:eastAsia="仿宋" w:hAnsi="仿宋" w:cs="仿宋" w:hint="eastAsia"/>
          <w:b/>
          <w:bCs/>
          <w:sz w:val="32"/>
          <w:shd w:val="clear" w:color="auto" w:fill="FFFFFF"/>
        </w:rPr>
        <w:t>八、关于海南省银行学校2024年支出预算情况说明</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海南省银行学校2024年支出总预算</w:t>
      </w:r>
      <w:r>
        <w:rPr>
          <w:rFonts w:ascii="仿宋_GB2312" w:eastAsia="仿宋_GB2312" w:hAnsi="黑体" w:cs="仿宋_GB2312" w:hint="eastAsia"/>
          <w:sz w:val="32"/>
          <w:szCs w:val="32"/>
        </w:rPr>
        <w:t>3803.77</w:t>
      </w:r>
      <w:r>
        <w:rPr>
          <w:rFonts w:ascii="仿宋_GB2312" w:eastAsia="仿宋_GB2312" w:hAnsi="黑体" w:hint="eastAsia"/>
          <w:sz w:val="32"/>
          <w:szCs w:val="32"/>
        </w:rPr>
        <w:t>万元，其中：基本支出2072.5万元，占54.49%；项目支出1731.28万元，占45.51%。支出预算数比上年299.28万元，主要原因是人员工资正常晋升、职称变动、海南自贸港津贴提高等变化导致人员工资福利支出数增加；社保缴费基数和住房公积金缴费基数提高导致社保和住房公积金预算支出数比去年有所增加。</w:t>
      </w:r>
    </w:p>
    <w:p w:rsidR="000C70BF" w:rsidRDefault="000C70BF">
      <w:pPr>
        <w:spacing w:line="600" w:lineRule="exact"/>
        <w:ind w:firstLineChars="200" w:firstLine="640"/>
        <w:rPr>
          <w:rFonts w:ascii="仿宋_GB2312" w:eastAsia="仿宋_GB2312" w:hAnsi="黑体" w:hint="eastAsia"/>
          <w:sz w:val="32"/>
          <w:szCs w:val="32"/>
        </w:rPr>
      </w:pPr>
    </w:p>
    <w:p w:rsidR="000C70BF" w:rsidRDefault="00000000">
      <w:pPr>
        <w:numPr>
          <w:ilvl w:val="0"/>
          <w:numId w:val="3"/>
        </w:numPr>
        <w:ind w:firstLineChars="200" w:firstLine="643"/>
        <w:rPr>
          <w:rFonts w:ascii="仿宋" w:eastAsia="仿宋" w:hAnsi="仿宋" w:cs="仿宋" w:hint="eastAsia"/>
          <w:b/>
          <w:bCs/>
          <w:sz w:val="32"/>
          <w:shd w:val="clear" w:color="auto" w:fill="FFFFFF"/>
        </w:rPr>
      </w:pPr>
      <w:r>
        <w:rPr>
          <w:rFonts w:ascii="仿宋" w:eastAsia="仿宋" w:hAnsi="仿宋" w:cs="仿宋" w:hint="eastAsia"/>
          <w:b/>
          <w:bCs/>
          <w:sz w:val="32"/>
          <w:shd w:val="clear" w:color="auto" w:fill="FFFFFF"/>
        </w:rPr>
        <w:t>其他重要事项的情况说明</w:t>
      </w:r>
    </w:p>
    <w:p w:rsidR="000C70BF" w:rsidRDefault="00000000">
      <w:pPr>
        <w:ind w:firstLineChars="200" w:firstLine="640"/>
        <w:rPr>
          <w:rFonts w:ascii="楷体" w:eastAsia="楷体" w:hAnsi="楷体" w:hint="eastAsia"/>
          <w:color w:val="000000" w:themeColor="text1"/>
          <w:sz w:val="32"/>
          <w:szCs w:val="32"/>
        </w:rPr>
      </w:pPr>
      <w:r>
        <w:rPr>
          <w:rFonts w:ascii="楷体" w:eastAsia="楷体" w:hAnsi="楷体" w:hint="eastAsia"/>
          <w:color w:val="000000" w:themeColor="text1"/>
          <w:sz w:val="32"/>
          <w:szCs w:val="32"/>
        </w:rPr>
        <w:t>（一）机关运行经费</w:t>
      </w:r>
    </w:p>
    <w:p w:rsidR="000C70BF" w:rsidRDefault="00000000">
      <w:pPr>
        <w:spacing w:line="560" w:lineRule="exact"/>
        <w:ind w:firstLineChars="200" w:firstLine="640"/>
        <w:rPr>
          <w:rFonts w:ascii="楷体" w:eastAsia="楷体" w:hAnsi="楷体" w:hint="eastAsia"/>
          <w:color w:val="000000" w:themeColor="text1"/>
          <w:sz w:val="32"/>
          <w:szCs w:val="32"/>
        </w:rPr>
      </w:pPr>
      <w:r>
        <w:rPr>
          <w:rFonts w:ascii="仿宋_GB2312" w:eastAsia="仿宋_GB2312" w:hAnsi="黑体" w:cs="仿宋_GB2312" w:hint="eastAsia"/>
          <w:color w:val="000000" w:themeColor="text1"/>
          <w:sz w:val="32"/>
          <w:szCs w:val="32"/>
        </w:rPr>
        <w:lastRenderedPageBreak/>
        <w:t>无此项经费。</w:t>
      </w:r>
    </w:p>
    <w:p w:rsidR="000C70BF"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海南省银行学校2024年政府采购预算总额500.66万元，全部为货物采购项目，其中：零星办公设备采购10.85万元、现代职业教育质量提升计划资金（改善办学条件）专用设备购置248.86万元、无形资产购置240.95万元。</w:t>
      </w:r>
    </w:p>
    <w:p w:rsidR="000C70BF"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截至2023年12月31日，海南省银行学校共有车辆2辆，均为其他用车。单位价值100万元以上设备数量为0。</w:t>
      </w:r>
    </w:p>
    <w:p w:rsidR="000C70BF" w:rsidRDefault="00000000">
      <w:pPr>
        <w:ind w:firstLineChars="200" w:firstLine="640"/>
        <w:rPr>
          <w:rFonts w:ascii="楷体" w:eastAsia="楷体" w:hAnsi="楷体" w:hint="eastAsia"/>
          <w:sz w:val="32"/>
          <w:szCs w:val="32"/>
        </w:rPr>
      </w:pPr>
      <w:r>
        <w:rPr>
          <w:rFonts w:ascii="楷体" w:eastAsia="楷体" w:hAnsi="楷体" w:hint="eastAsia"/>
          <w:sz w:val="32"/>
          <w:szCs w:val="32"/>
        </w:rPr>
        <w:t>（四）绩效目标设置情况</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海南省银行学校2024年3个项目实行绩效目标管理，涉及一般公共预算拨款1409.96万元安排的预算资金。其中，重点项目预算绩效情况：</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1.现代职业教育质量提升计划（中职学校改善办学条件奖补）项目，预算安排602万元，主要用于5个设备采购类建设项目：（1）视频监控系统智能升级及存储扩容建设项目；（2）物联网全栈智能应用实训室建设项目；（3）计算机平面实训室升级建设项目；（4）电子商务直播平台资源及服务设备购置建设项目；（5）烹饪热菜实训室(一)升级改造项目。绩效总目标：升级学校监控系统，改善学生学习、住宿环境，努力满足各专业实训教学和技能竞赛的需求，改善学校教育教学办学条件。</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2.学生资助补助项目（含省级和中央级资金），预算安排793.36万元，主要用于：（1）72.45万元用于全日制在校生国</w:t>
      </w:r>
      <w:r>
        <w:rPr>
          <w:rFonts w:ascii="仿宋_GB2312" w:eastAsia="仿宋_GB2312" w:hAnsi="黑体" w:hint="eastAsia"/>
          <w:sz w:val="32"/>
          <w:szCs w:val="32"/>
        </w:rPr>
        <w:lastRenderedPageBreak/>
        <w:t>家助学金的发放（标准：2600元/人.年），享受助学金认定标准和人数按照上级主管部门核定数执行。（2）6.2万元用于省级优秀学生奖学金（标准：2000元/人.年）的发放，获奖人数及标准按照上级主管部门核定数执行。（3）714.71万元为免学费、特困学生免住宿费资金（标准：2600元/人.年），按照上级主管部门核定在校生人数核拨，主要用于弥补办学经费和人员经费不足。绩效总目标：做好家庭经济困难学生认定工作，努力让每位特困家庭学生享受到免学费、免住宿费和国家助学金等资助政策，做到应补尽补，安心求学。提升广大教职工职业获得感和幸福感，为学校可持续发展提供可持续经费保障。</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3.现代职业教育质量提升计划（教师素质提高））项目，预算安排14.6万元，主要用于：“1+Ⅹ”证书制度种子教师培训经费6万元，教师企业实践经费3.6万元，教师教学创新团队建设经费5万元。绩效目标：1.参加1+X证书制度师资培训教师不少于10人，实践教学水平普遍提高。2.企业实践教师人数3人，工学结合教学水平有明显提高。3.参加创新团队研训活动人数不少于12人，并取得一定培训效果。</w:t>
      </w:r>
    </w:p>
    <w:p w:rsidR="000C70BF" w:rsidRDefault="000C70BF">
      <w:pPr>
        <w:spacing w:line="600" w:lineRule="exact"/>
        <w:ind w:firstLineChars="200" w:firstLine="640"/>
        <w:rPr>
          <w:rFonts w:ascii="仿宋_GB2312" w:eastAsia="仿宋_GB2312" w:hAnsi="黑体" w:hint="eastAsia"/>
          <w:sz w:val="32"/>
          <w:szCs w:val="32"/>
        </w:rPr>
      </w:pPr>
    </w:p>
    <w:p w:rsidR="000C70BF" w:rsidRDefault="00000000">
      <w:pPr>
        <w:jc w:val="left"/>
        <w:rPr>
          <w:rFonts w:ascii="黑体" w:eastAsia="黑体" w:hAnsi="黑体" w:hint="eastAsia"/>
          <w:b/>
          <w:sz w:val="36"/>
          <w:szCs w:val="36"/>
        </w:rPr>
      </w:pPr>
      <w:r>
        <w:rPr>
          <w:rFonts w:ascii="黑体" w:eastAsia="黑体" w:hAnsi="黑体" w:hint="eastAsia"/>
          <w:b/>
          <w:sz w:val="36"/>
          <w:szCs w:val="36"/>
        </w:rPr>
        <w:t>第四部分  名词解释</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一、财政拨款收入：指本级财政当年拨付的资金。</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二、事业收入：指事业单位开展专业业务活动及辅助活动取得的收入。</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三、经营收入：指事业单位在专业业务活动及其辅助活动</w:t>
      </w:r>
      <w:r>
        <w:rPr>
          <w:rFonts w:ascii="仿宋_GB2312" w:eastAsia="仿宋_GB2312" w:hAnsi="黑体" w:hint="eastAsia"/>
          <w:sz w:val="32"/>
          <w:szCs w:val="32"/>
        </w:rPr>
        <w:lastRenderedPageBreak/>
        <w:t>之外开展非独立核算经营活动取得的收入。</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四、其他收入：指除上述“财政拨款收入”“事业收入”“经营收入”等以外的收入。</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五、年初结转和结余：指以前年度尚未完成、结转到本年按有关规定继续使用的资金。</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六、基本支出：指行政事业单位用于为保障其机构正常运转、完成日常工作任务而发生的人员支出和公用支出。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七、工资福利支出：反映单位开支的在职职工和编制外长期聘用人员的各类劳动报酬，以及为上述人员缴纳的各项社会保险费等。</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八、对个人和家庭的补助支出：反映政府用于对个人和家庭的补助支出，包括离休费、退休费、退职（役）费、抚恤金、生活补助、救济费、医疗费补助、助学金、独生子女奖励金、其他等。</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九、商品和服务支出：反映单位购买商品和服务的支出，包括办公费、水费、电费、邮电费、培训费、公务用车运行维护费、差旅费、因公出国（境）费用、公务接待费、工会经费、会议费、福利费、物业管理费、维修（护）费、其他等。</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十、项目支出：指各部门、各单位为完成其特定的工作任务和事业发展目标所发生的支出。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十、一般公共服务支出（类）组织事务（款）公务员事务（项）：反映公务员考核、公务员招考、公务员管理、公务员履职能力提升等方面的支出。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lastRenderedPageBreak/>
        <w:t>外交支出（类）对外援助（款）对外援助（项）：反映对外国政府提供的各种援助和技术合作支出。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十一、教育支出（类）教育管理事务（款）行政运行（项）：指海南省教育厅（部门）用于保障机构正常运行、开展日常工作的基本支出。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教育支出（类）教育管理事务（款）一般行政管理事务（项）：指海南省教育厅（部门）为单独设置项级科目的其他项目支出。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教育支出（类）教育管理事务（款）其他教育管理事务（项）：指其他用于教育管理事务方面的支出。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十二、教育支出（类）普通教育（款）学前教育（项）指各部门举办的学前教育支出。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教育支出（类）普通教育（款）小学教育（项）指各部门举办的小学教育支出。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教育支出（类）普通教育（款）初中教育（项）指用于初中教育支出。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教育支出（类）普通教育（款）高中教育（项）：指用于高中教育支出。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教育支出（类）普通教育（款）高等教育（项）：用于全日制普通高等院校（含研究生）的支出。政府部门对社会中介组织等举办的各类高等学校的资助也在本科目中反映。</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教育支出（类）普通教育（款）其他普通教育支出（项）：用于其他普通教育的支出。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教育支出（类）职业教育（款）中等职业教育（项）：指</w:t>
      </w:r>
      <w:r>
        <w:rPr>
          <w:rFonts w:ascii="仿宋_GB2312" w:eastAsia="仿宋_GB2312" w:hAnsi="黑体" w:hint="eastAsia"/>
          <w:sz w:val="32"/>
          <w:szCs w:val="32"/>
        </w:rPr>
        <w:lastRenderedPageBreak/>
        <w:t>用于中等职业教育的支出。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教育支出（类）职业教育（款）高等职业教育（项）：指用于高等职业大学、专科职业教育的支出。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教育支出（类）广播电视教育（款）广播电视学校（项）：指反映各部门举办广播电视学校的支出。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教育支出（类）留学教育（款）来华留学教育（项）：指反映资助来华留学生支出。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教育支出（类）特殊教育（款）特殊学校教育（项）：指用于特殊教育的支出。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教育支出（类）进修与培训（款）教师进修（项）：指用于教师进修与师资培训支出。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教育支出（类）进修与培训（款）培训支出（项）：指反映各部门安排的用于培训的支出。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教育支出（类）进修与培训（款）其他进修与培训支出（项）：指用于其他进修与培训的支出。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教育支出（类）其他教育支出（款）其他教育支出（项）：指用于其他教育方面的支出。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科学技术支出（类）基础研究（款）其他基础研究支出（项）：反映其他用于基础研究工作的支出，包括中科院、农科院研究生院的支出、博士学科点科研基金和博士后科学基金等方面的支出。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科学技术支出（类）应用研究（款）高技术研究（项）：反映为解决事关国民经济长远发展和国家安全等重大战略性、</w:t>
      </w:r>
      <w:r>
        <w:rPr>
          <w:rFonts w:ascii="仿宋_GB2312" w:eastAsia="仿宋_GB2312" w:hAnsi="黑体" w:hint="eastAsia"/>
          <w:sz w:val="32"/>
          <w:szCs w:val="32"/>
        </w:rPr>
        <w:lastRenderedPageBreak/>
        <w:t>前沿性和前瞻性高技术问题而开展的研究工作支出。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科学技术支出（类）应用研究（款）其他应用研究支出（项）：反映用于其他应用研究方面的支出。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科学技术支出（类）技术研究与开发（款）其他技术研究与开发支出（项）：反映用于其他技术研究与开发的支出。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科学技术支出（类）社会科学（款）社会科学研究支出（项）：反映除社科基金支出外的社会科学研究支出。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科学技术支出（类）其他科学技术支出（款）其他科学技术支出（项）：反映其他用于科技方面的支出。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社会保障和就业支出（类）行政事业单位养老支出（款）行政单位离退休（项）：指用于归口管理的行政单位（含实行公务员管理的事业单位）开支的离退休经费。</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社会保障和就业支出（类）行政事业单位养老支出（款）事业单位离退休（项）：指反映实行归口管理的事业单位开支的离退休经费支出。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社会保障和就业支出（类）行政事业单位离退休（款）机关事业单位基本养老保险缴费支出（项）：反映机关事业单位实施养老保险制度由单位实际缴纳的基本养老保险费支出。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社会保障和就业支出（类）行政事业单位离退休（款）机关事业单位职业年金缴费支出（项）：反映机关事业单位实施养老保险制度由单位实际缴纳的职业年金支出。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社会保障和就业支出（类）抚恤（款）死亡抚恤（项）：指用于海南省教育厅（部门）的事业单位病故人员家属的一次</w:t>
      </w:r>
      <w:r>
        <w:rPr>
          <w:rFonts w:ascii="仿宋_GB2312" w:eastAsia="仿宋_GB2312" w:hAnsi="黑体" w:hint="eastAsia"/>
          <w:sz w:val="32"/>
          <w:szCs w:val="32"/>
        </w:rPr>
        <w:lastRenderedPageBreak/>
        <w:t>性和定期抚恤金以及丧葬补助费。</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社会保障和就业支出（类）抚恤（款）其他优抚支出（项）：指用于其他用于优抚方面的支出。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卫生健康支出（类）行政事业单位医疗（款）行政单位医疗（项）：反映财政部门安排的行政单位（包括实行公务员管理的事业单位，下同）基本医疗保险缴费经费，未参加医疗保险的行政单位的公费医疗经费，按国家规定享受离休人员、红军老战士待遇人员的医疗经费。。</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卫生健康支出（类）行政事业单位医疗（款）事业单位医疗（项）：反映财政部门安排的事业单位基本医疗保险缴费经费，未参加医疗保险的事业单位的公费医疗经费，按国家规定享受离休人员待遇的医疗经费。</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卫生健康支出（类）行政事业单位医疗（款）公务员医疗补助（项）：反映财政部门安排的公务员医疗补助经费。</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农林水支出（类）扶贫（款）社会发展（项）：反映用于农村贫困地区中小学教育、文化、广播、电视、医疗、卫生等方面的项目支出。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自然资源海洋气象等支出（类）海洋管理事务（款）事业运行（项）：反映事业单位的基本支出，不包括行政单位（包括实行公务员管理的事业单位）后勤服务中心、医务室等附属事业单位。</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自然资源海洋气象等支出（类）其他自然资源海洋气象等支出（款）其他自然资源海洋气象等支出（项：反映其他用于</w:t>
      </w:r>
      <w:r>
        <w:rPr>
          <w:rFonts w:ascii="仿宋_GB2312" w:eastAsia="仿宋_GB2312" w:hAnsi="黑体" w:hint="eastAsia"/>
          <w:sz w:val="32"/>
          <w:szCs w:val="32"/>
        </w:rPr>
        <w:lastRenderedPageBreak/>
        <w:t>海洋管理事务方面的支出。</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住房保障支出（类）住房改革支出（款）住房公积金（项）：指用于行政事业单位按人力资源和社会保障部、财政部规定的基本工资和津贴补贴以及规定比例为职工缴纳的住房公积金。</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住房保障支出（类）住房改革支出（款）购房补贴（项）：指按房改政策规定的标准，行政事业单位向符合条件职工发放的用于购买住房的补贴。</w:t>
      </w:r>
    </w:p>
    <w:p w:rsidR="000C70BF" w:rsidRDefault="00000000">
      <w:pPr>
        <w:spacing w:line="600" w:lineRule="exact"/>
        <w:ind w:firstLineChars="200" w:firstLine="640"/>
        <w:rPr>
          <w:rFonts w:ascii="仿宋_GB2312" w:eastAsia="仿宋_GB2312" w:hAnsi="黑体" w:hint="eastAsia"/>
          <w:sz w:val="32"/>
          <w:szCs w:val="32"/>
        </w:rPr>
      </w:pPr>
      <w:r>
        <w:rPr>
          <w:rFonts w:ascii="仿宋_GB2312" w:eastAsia="仿宋_GB2312" w:hAnsi="黑体" w:hint="eastAsia"/>
          <w:sz w:val="32"/>
          <w:szCs w:val="32"/>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rsidR="000C70BF" w:rsidRDefault="000C70BF">
      <w:pPr>
        <w:spacing w:line="600" w:lineRule="exact"/>
        <w:ind w:firstLineChars="200" w:firstLine="640"/>
        <w:rPr>
          <w:rFonts w:ascii="仿宋_GB2312" w:eastAsia="仿宋_GB2312" w:hAnsi="黑体" w:hint="eastAsia"/>
          <w:sz w:val="32"/>
          <w:szCs w:val="32"/>
        </w:rPr>
      </w:pPr>
    </w:p>
    <w:p w:rsidR="000C70BF" w:rsidRDefault="000C70BF">
      <w:pPr>
        <w:jc w:val="center"/>
        <w:rPr>
          <w:rFonts w:ascii="黑体" w:eastAsia="黑体" w:hAnsi="黑体" w:hint="eastAsia"/>
          <w:sz w:val="32"/>
          <w:szCs w:val="32"/>
        </w:rPr>
      </w:pPr>
    </w:p>
    <w:sectPr w:rsidR="000C70BF">
      <w:footerReference w:type="default" r:id="rId8"/>
      <w:pgSz w:w="11906" w:h="16838"/>
      <w:pgMar w:top="1440" w:right="1587" w:bottom="1440" w:left="1587" w:header="851" w:footer="992" w:gutter="0"/>
      <w:pgNumType w:start="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072DE" w:rsidRDefault="009072DE">
      <w:r>
        <w:separator/>
      </w:r>
    </w:p>
  </w:endnote>
  <w:endnote w:type="continuationSeparator" w:id="0">
    <w:p w:rsidR="009072DE" w:rsidRDefault="00907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C70BF" w:rsidRDefault="00000000">
    <w:pPr>
      <w:pStyle w:val="a3"/>
    </w:pPr>
    <w:r>
      <w:pict>
        <v:shapetype id="_x0000_t202" coordsize="21600,21600" o:spt="202" path="m,l,21600r21600,l21600,xe">
          <v:stroke joinstyle="miter"/>
          <v:path gradientshapeok="t" o:connecttype="rect"/>
        </v:shapetype>
        <v:shape id="_x0000_s1025"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rsidR="000C70BF" w:rsidRDefault="00000000">
                <w:pPr>
                  <w:pStyle w:val="a3"/>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072DE" w:rsidRDefault="009072DE">
      <w:r>
        <w:separator/>
      </w:r>
    </w:p>
  </w:footnote>
  <w:footnote w:type="continuationSeparator" w:id="0">
    <w:p w:rsidR="009072DE" w:rsidRDefault="009072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8F09A9C"/>
    <w:multiLevelType w:val="singleLevel"/>
    <w:tmpl w:val="A8F09A9C"/>
    <w:lvl w:ilvl="0">
      <w:start w:val="9"/>
      <w:numFmt w:val="chineseCounting"/>
      <w:suff w:val="nothing"/>
      <w:lvlText w:val="%1、"/>
      <w:lvlJc w:val="left"/>
      <w:rPr>
        <w:rFonts w:hint="eastAsia"/>
      </w:rPr>
    </w:lvl>
  </w:abstractNum>
  <w:abstractNum w:abstractNumId="1"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04081315">
    <w:abstractNumId w:val="1"/>
  </w:num>
  <w:num w:numId="2" w16cid:durableId="424620012">
    <w:abstractNumId w:val="2"/>
  </w:num>
  <w:num w:numId="3" w16cid:durableId="1794977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MzYyYzE5OTFkMzk3ZjI0MTFmNTY5MzJkMDFmMDEwOWYifQ=="/>
  </w:docVars>
  <w:rsids>
    <w:rsidRoot w:val="00234A83"/>
    <w:rsid w:val="000161BD"/>
    <w:rsid w:val="00027381"/>
    <w:rsid w:val="000464BD"/>
    <w:rsid w:val="00093463"/>
    <w:rsid w:val="000C70BF"/>
    <w:rsid w:val="000D3C57"/>
    <w:rsid w:val="000D6B0B"/>
    <w:rsid w:val="00132DA8"/>
    <w:rsid w:val="001B74F6"/>
    <w:rsid w:val="00234A83"/>
    <w:rsid w:val="00250BF8"/>
    <w:rsid w:val="00275DFB"/>
    <w:rsid w:val="00301D17"/>
    <w:rsid w:val="0030396C"/>
    <w:rsid w:val="003D710E"/>
    <w:rsid w:val="004465DC"/>
    <w:rsid w:val="004A2D25"/>
    <w:rsid w:val="004A2F89"/>
    <w:rsid w:val="004D3723"/>
    <w:rsid w:val="004D41AD"/>
    <w:rsid w:val="004F7083"/>
    <w:rsid w:val="006525B6"/>
    <w:rsid w:val="00655BFA"/>
    <w:rsid w:val="00692459"/>
    <w:rsid w:val="006F78A7"/>
    <w:rsid w:val="00720CEB"/>
    <w:rsid w:val="00727920"/>
    <w:rsid w:val="00727935"/>
    <w:rsid w:val="007A5934"/>
    <w:rsid w:val="00804F1E"/>
    <w:rsid w:val="00811DE4"/>
    <w:rsid w:val="008439D6"/>
    <w:rsid w:val="008617B7"/>
    <w:rsid w:val="00894913"/>
    <w:rsid w:val="008A3152"/>
    <w:rsid w:val="009072DE"/>
    <w:rsid w:val="009C34C8"/>
    <w:rsid w:val="009F32AF"/>
    <w:rsid w:val="00A031D7"/>
    <w:rsid w:val="00A04DFA"/>
    <w:rsid w:val="00A110AA"/>
    <w:rsid w:val="00AC5993"/>
    <w:rsid w:val="00AD7476"/>
    <w:rsid w:val="00AD7649"/>
    <w:rsid w:val="00B76E6C"/>
    <w:rsid w:val="00B860AB"/>
    <w:rsid w:val="00C30118"/>
    <w:rsid w:val="00C47B09"/>
    <w:rsid w:val="00C96704"/>
    <w:rsid w:val="00CA6889"/>
    <w:rsid w:val="00CE7B5D"/>
    <w:rsid w:val="00D16F8B"/>
    <w:rsid w:val="00D24FE2"/>
    <w:rsid w:val="00D641BC"/>
    <w:rsid w:val="00E428B9"/>
    <w:rsid w:val="00EE42F0"/>
    <w:rsid w:val="00EE4A47"/>
    <w:rsid w:val="00F05935"/>
    <w:rsid w:val="028A0107"/>
    <w:rsid w:val="056447F3"/>
    <w:rsid w:val="087370B9"/>
    <w:rsid w:val="08A67683"/>
    <w:rsid w:val="08FF4362"/>
    <w:rsid w:val="09B94805"/>
    <w:rsid w:val="09BA2ABF"/>
    <w:rsid w:val="0D9350E4"/>
    <w:rsid w:val="0DE77975"/>
    <w:rsid w:val="0E54502B"/>
    <w:rsid w:val="0F1B4115"/>
    <w:rsid w:val="10AC2F29"/>
    <w:rsid w:val="136222F0"/>
    <w:rsid w:val="18D651AB"/>
    <w:rsid w:val="23135C49"/>
    <w:rsid w:val="2A036168"/>
    <w:rsid w:val="2D417B06"/>
    <w:rsid w:val="2D5B2296"/>
    <w:rsid w:val="38174F24"/>
    <w:rsid w:val="38460898"/>
    <w:rsid w:val="3B8775F0"/>
    <w:rsid w:val="428357C6"/>
    <w:rsid w:val="42C64386"/>
    <w:rsid w:val="46D367A3"/>
    <w:rsid w:val="4B165983"/>
    <w:rsid w:val="4C7D01B2"/>
    <w:rsid w:val="4DFB6FA9"/>
    <w:rsid w:val="4FE11AD3"/>
    <w:rsid w:val="50574E47"/>
    <w:rsid w:val="515C3550"/>
    <w:rsid w:val="535D41BA"/>
    <w:rsid w:val="554425AF"/>
    <w:rsid w:val="55FB1447"/>
    <w:rsid w:val="596E4915"/>
    <w:rsid w:val="5D126E1E"/>
    <w:rsid w:val="5D310A1E"/>
    <w:rsid w:val="5E5D2715"/>
    <w:rsid w:val="60ED344B"/>
    <w:rsid w:val="6AFC6CE8"/>
    <w:rsid w:val="77F37B85"/>
    <w:rsid w:val="793E3D99"/>
    <w:rsid w:val="7A7440DD"/>
    <w:rsid w:val="7DCA26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19E86B"/>
  <w15:docId w15:val="{DBCB8DD8-9A2E-4628-98DC-26DA52BE4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widowControl/>
      <w:jc w:val="left"/>
    </w:pPr>
    <w:rPr>
      <w:rFonts w:ascii="宋体" w:hAnsi="宋体" w:cs="宋体"/>
      <w:kern w:val="0"/>
      <w:sz w:val="24"/>
      <w:szCs w:val="24"/>
    </w:rPr>
  </w:style>
  <w:style w:type="paragraph" w:customStyle="1" w:styleId="1">
    <w:name w:val="列出段落1"/>
    <w:basedOn w:val="a"/>
    <w:uiPriority w:val="34"/>
    <w:qFormat/>
    <w:pPr>
      <w:ind w:firstLineChars="200" w:firstLine="420"/>
    </w:pPr>
  </w:style>
  <w:style w:type="character" w:customStyle="1" w:styleId="a6">
    <w:name w:val="页眉 字符"/>
    <w:basedOn w:val="a0"/>
    <w:link w:val="a5"/>
    <w:uiPriority w:val="99"/>
    <w:qFormat/>
    <w:rPr>
      <w:rFonts w:ascii="Calibri" w:eastAsia="宋体" w:hAnsi="Calibri" w:cs="黑体"/>
      <w:sz w:val="18"/>
      <w:szCs w:val="18"/>
    </w:rPr>
  </w:style>
  <w:style w:type="character" w:customStyle="1" w:styleId="a4">
    <w:name w:val="页脚 字符"/>
    <w:basedOn w:val="a0"/>
    <w:link w:val="a3"/>
    <w:uiPriority w:val="99"/>
    <w:qFormat/>
    <w:rPr>
      <w:rFonts w:ascii="Calibri" w:eastAsia="宋体" w:hAnsi="Calibri" w:cs="黑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1145</Words>
  <Characters>6532</Characters>
  <Application>Microsoft Office Word</Application>
  <DocSecurity>0</DocSecurity>
  <Lines>54</Lines>
  <Paragraphs>15</Paragraphs>
  <ScaleCrop>false</ScaleCrop>
  <Company>微软中国</Company>
  <LinksUpToDate>false</LinksUpToDate>
  <CharactersWithSpaces>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jack zhong</cp:lastModifiedBy>
  <cp:revision>35</cp:revision>
  <cp:lastPrinted>2024-02-23T01:38:00Z</cp:lastPrinted>
  <dcterms:created xsi:type="dcterms:W3CDTF">2021-02-08T08:42:00Z</dcterms:created>
  <dcterms:modified xsi:type="dcterms:W3CDTF">2024-08-26T03:07:00Z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D5134D57B38B439EBD6C79D360BB321F</vt:lpwstr>
  </property>
</Properties>
</file>