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Times New Roman"/>
          <w:sz w:val="32"/>
          <w:szCs w:val="32"/>
        </w:rPr>
      </w:pPr>
    </w:p>
    <w:p>
      <w:pPr>
        <w:rPr>
          <w:rFonts w:hint="eastAsia" w:ascii="黑体" w:hAnsi="黑体" w:eastAsia="黑体" w:cs="Times New Roman"/>
          <w:sz w:val="32"/>
          <w:szCs w:val="32"/>
        </w:rPr>
      </w:pPr>
    </w:p>
    <w:p>
      <w:pPr>
        <w:rPr>
          <w:rFonts w:cs="Times New Roman"/>
          <w:sz w:val="84"/>
          <w:szCs w:val="84"/>
          <w:u w:val="single"/>
        </w:rPr>
      </w:pPr>
    </w:p>
    <w:p>
      <w:pPr>
        <w:rPr>
          <w:rFonts w:cs="Times New Roman"/>
          <w:sz w:val="84"/>
          <w:szCs w:val="84"/>
          <w:u w:val="single"/>
        </w:rPr>
      </w:pPr>
    </w:p>
    <w:p>
      <w:pPr>
        <w:rPr>
          <w:rFonts w:cs="Times New Roman"/>
          <w:sz w:val="84"/>
          <w:szCs w:val="84"/>
          <w:u w:val="single"/>
        </w:rPr>
      </w:pPr>
    </w:p>
    <w:p>
      <w:pPr>
        <w:jc w:val="center"/>
        <w:rPr>
          <w:rFonts w:ascii="宋体" w:cs="Times New Roman"/>
          <w:b/>
          <w:bCs/>
          <w:sz w:val="52"/>
          <w:szCs w:val="52"/>
        </w:rPr>
      </w:pPr>
      <w:r>
        <w:rPr>
          <w:rFonts w:ascii="宋体" w:hAnsi="宋体" w:cs="宋体"/>
          <w:b/>
          <w:bCs/>
          <w:sz w:val="52"/>
          <w:szCs w:val="52"/>
        </w:rPr>
        <w:t>202</w:t>
      </w:r>
      <w:r>
        <w:rPr>
          <w:rFonts w:hint="eastAsia" w:ascii="宋体" w:hAnsi="宋体" w:cs="宋体"/>
          <w:b/>
          <w:bCs/>
          <w:sz w:val="52"/>
          <w:szCs w:val="52"/>
        </w:rPr>
        <w:t>4年海南开放大学单位预算</w:t>
      </w:r>
    </w:p>
    <w:p>
      <w:pPr>
        <w:ind w:firstLine="1680"/>
        <w:jc w:val="center"/>
        <w:rPr>
          <w:rFonts w:cs="Times New Roman"/>
          <w:sz w:val="84"/>
          <w:szCs w:val="84"/>
        </w:rPr>
      </w:pPr>
    </w:p>
    <w:p>
      <w:pPr>
        <w:ind w:firstLine="1680"/>
        <w:jc w:val="center"/>
        <w:rPr>
          <w:rFonts w:cs="Times New Roman"/>
          <w:sz w:val="84"/>
          <w:szCs w:val="84"/>
        </w:rPr>
      </w:pPr>
    </w:p>
    <w:p>
      <w:pPr>
        <w:ind w:firstLine="1680"/>
        <w:jc w:val="center"/>
        <w:rPr>
          <w:rFonts w:cs="Times New Roman"/>
          <w:sz w:val="84"/>
          <w:szCs w:val="84"/>
        </w:rPr>
      </w:pPr>
    </w:p>
    <w:p>
      <w:pPr>
        <w:ind w:firstLine="1680"/>
        <w:jc w:val="center"/>
        <w:rPr>
          <w:rFonts w:cs="Times New Roman"/>
          <w:sz w:val="84"/>
          <w:szCs w:val="84"/>
        </w:rPr>
      </w:pPr>
    </w:p>
    <w:p>
      <w:pPr>
        <w:ind w:firstLine="1680"/>
        <w:jc w:val="center"/>
        <w:rPr>
          <w:rFonts w:cs="Times New Roman"/>
          <w:sz w:val="84"/>
          <w:szCs w:val="84"/>
        </w:rPr>
      </w:pPr>
    </w:p>
    <w:p>
      <w:pPr>
        <w:rPr>
          <w:rFonts w:cs="Times New Roman"/>
          <w:sz w:val="84"/>
          <w:szCs w:val="84"/>
        </w:rPr>
      </w:pPr>
    </w:p>
    <w:p>
      <w:pPr>
        <w:jc w:val="center"/>
        <w:rPr>
          <w:rFonts w:hint="eastAsia" w:ascii="黑体" w:hAnsi="黑体" w:eastAsia="黑体"/>
          <w:sz w:val="52"/>
          <w:szCs w:val="52"/>
        </w:rPr>
      </w:pPr>
      <w:r>
        <w:rPr>
          <w:rFonts w:hint="eastAsia" w:ascii="黑体" w:hAnsi="黑体" w:eastAsia="黑体"/>
          <w:sz w:val="52"/>
          <w:szCs w:val="52"/>
        </w:rPr>
        <w:t>目录</w:t>
      </w:r>
    </w:p>
    <w:p>
      <w:pPr>
        <w:pStyle w:val="10"/>
        <w:numPr>
          <w:ilvl w:val="0"/>
          <w:numId w:val="1"/>
        </w:numPr>
        <w:ind w:firstLineChars="0"/>
        <w:jc w:val="left"/>
        <w:rPr>
          <w:rFonts w:hint="eastAsia"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rPr>
        <w:t>海南开放大学</w:t>
      </w:r>
      <w:r>
        <w:rPr>
          <w:rFonts w:hint="eastAsia" w:ascii="黑体" w:hAnsi="黑体" w:eastAsia="黑体"/>
          <w:sz w:val="32"/>
          <w:szCs w:val="32"/>
        </w:rPr>
        <w:t>单位概况</w:t>
      </w:r>
    </w:p>
    <w:p>
      <w:pPr>
        <w:pStyle w:val="10"/>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主要职能</w:t>
      </w:r>
    </w:p>
    <w:p>
      <w:pPr>
        <w:pStyle w:val="10"/>
        <w:numPr>
          <w:ilvl w:val="0"/>
          <w:numId w:val="2"/>
        </w:numPr>
        <w:ind w:firstLineChars="0"/>
        <w:jc w:val="left"/>
        <w:rPr>
          <w:rFonts w:hint="eastAsia" w:ascii="黑体" w:hAnsi="黑体" w:eastAsia="黑体"/>
          <w:sz w:val="32"/>
          <w:szCs w:val="32"/>
        </w:rPr>
      </w:pPr>
      <w:r>
        <w:rPr>
          <w:rFonts w:hint="eastAsia" w:ascii="黑体" w:hAnsi="黑体" w:eastAsia="黑体"/>
          <w:sz w:val="32"/>
          <w:szCs w:val="32"/>
        </w:rPr>
        <w:t>部门预算单位构成（单位公开没有这部分内容）</w:t>
      </w:r>
    </w:p>
    <w:p>
      <w:pPr>
        <w:pStyle w:val="10"/>
        <w:numPr>
          <w:ilvl w:val="0"/>
          <w:numId w:val="1"/>
        </w:numPr>
        <w:ind w:firstLineChars="0"/>
        <w:rPr>
          <w:rFonts w:hint="eastAsia"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海南开放大学</w:t>
      </w:r>
      <w:r>
        <w:rPr>
          <w:rFonts w:hint="eastAsia" w:ascii="黑体" w:hAnsi="黑体" w:eastAsia="黑体"/>
          <w:sz w:val="32"/>
          <w:szCs w:val="32"/>
        </w:rPr>
        <w:t>单位</w:t>
      </w:r>
      <w:r>
        <w:rPr>
          <w:rFonts w:hint="eastAsia" w:ascii="黑体" w:hAnsi="黑体" w:eastAsia="黑体" w:cs="黑体"/>
          <w:sz w:val="32"/>
          <w:szCs w:val="32"/>
        </w:rPr>
        <w:t>2024</w:t>
      </w:r>
      <w:r>
        <w:rPr>
          <w:rFonts w:hint="eastAsia" w:ascii="黑体" w:hAnsi="黑体" w:eastAsia="黑体"/>
          <w:sz w:val="32"/>
          <w:szCs w:val="32"/>
        </w:rPr>
        <w:t>年单位预算表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0"/>
        <w:numPr>
          <w:ilvl w:val="0"/>
          <w:numId w:val="3"/>
        </w:numPr>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部门（单位）收支总表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部门（单位）收入总表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部门（单位）支出总表</w:t>
      </w:r>
    </w:p>
    <w:p>
      <w:pPr>
        <w:pStyle w:val="10"/>
        <w:numPr>
          <w:ilvl w:val="0"/>
          <w:numId w:val="3"/>
        </w:numPr>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pPr>
        <w:pStyle w:val="10"/>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海南开放大学</w:t>
      </w:r>
      <w:r>
        <w:rPr>
          <w:rFonts w:hint="eastAsia" w:ascii="黑体" w:hAnsi="黑体" w:eastAsia="黑体"/>
          <w:sz w:val="32"/>
          <w:szCs w:val="32"/>
        </w:rPr>
        <w:t>单位</w:t>
      </w:r>
      <w:r>
        <w:rPr>
          <w:rFonts w:hint="eastAsia" w:ascii="黑体" w:hAnsi="黑体" w:eastAsia="黑体" w:cs="黑体"/>
          <w:sz w:val="32"/>
          <w:szCs w:val="32"/>
        </w:rPr>
        <w:t>2024</w:t>
      </w:r>
      <w:r>
        <w:rPr>
          <w:rFonts w:hint="eastAsia" w:ascii="黑体" w:hAnsi="黑体" w:eastAsia="黑体"/>
          <w:sz w:val="32"/>
          <w:szCs w:val="32"/>
        </w:rPr>
        <w:t>年单位预算情况说明</w:t>
      </w:r>
    </w:p>
    <w:p>
      <w:pPr>
        <w:pStyle w:val="10"/>
        <w:numPr>
          <w:ilvl w:val="0"/>
          <w:numId w:val="1"/>
        </w:numPr>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名词解释</w:t>
      </w:r>
    </w:p>
    <w:p>
      <w:pPr>
        <w:pStyle w:val="10"/>
        <w:ind w:firstLine="0" w:firstLineChars="0"/>
        <w:jc w:val="left"/>
        <w:rPr>
          <w:rFonts w:hint="eastAsia" w:ascii="黑体" w:hAnsi="黑体" w:eastAsia="黑体"/>
          <w:sz w:val="32"/>
          <w:szCs w:val="32"/>
        </w:rPr>
      </w:pPr>
    </w:p>
    <w:p>
      <w:pPr>
        <w:pStyle w:val="10"/>
        <w:ind w:firstLine="0" w:firstLineChars="0"/>
        <w:jc w:val="left"/>
        <w:rPr>
          <w:rFonts w:hint="eastAsia" w:ascii="黑体" w:hAnsi="黑体" w:eastAsia="黑体"/>
          <w:sz w:val="32"/>
          <w:szCs w:val="32"/>
        </w:rPr>
      </w:pPr>
    </w:p>
    <w:p>
      <w:pPr>
        <w:pStyle w:val="10"/>
        <w:ind w:firstLine="0" w:firstLineChars="0"/>
        <w:jc w:val="left"/>
        <w:rPr>
          <w:rFonts w:hint="eastAsia" w:ascii="黑体" w:hAnsi="黑体" w:eastAsia="黑体"/>
          <w:sz w:val="32"/>
          <w:szCs w:val="32"/>
        </w:rPr>
      </w:pPr>
    </w:p>
    <w:p>
      <w:pPr>
        <w:pStyle w:val="10"/>
        <w:ind w:firstLine="0" w:firstLineChars="0"/>
        <w:jc w:val="left"/>
        <w:rPr>
          <w:rFonts w:hint="eastAsia" w:ascii="黑体" w:hAnsi="黑体" w:eastAsia="黑体"/>
          <w:sz w:val="32"/>
          <w:szCs w:val="32"/>
        </w:rPr>
      </w:pPr>
    </w:p>
    <w:p>
      <w:pPr>
        <w:pStyle w:val="10"/>
        <w:ind w:firstLine="0" w:firstLineChars="0"/>
        <w:jc w:val="left"/>
        <w:rPr>
          <w:rFonts w:hint="eastAsia" w:ascii="黑体" w:hAnsi="黑体" w:eastAsia="黑体"/>
          <w:sz w:val="32"/>
          <w:szCs w:val="32"/>
        </w:rPr>
      </w:pPr>
    </w:p>
    <w:p>
      <w:pPr>
        <w:pStyle w:val="7"/>
        <w:numPr>
          <w:ilvl w:val="0"/>
          <w:numId w:val="4"/>
        </w:numPr>
        <w:ind w:firstLineChars="0"/>
        <w:jc w:val="center"/>
        <w:rPr>
          <w:rFonts w:ascii="宋体" w:cs="Times New Roman"/>
          <w:b/>
          <w:bCs/>
          <w:sz w:val="32"/>
          <w:szCs w:val="32"/>
        </w:rPr>
      </w:pPr>
      <w:r>
        <w:rPr>
          <w:rFonts w:hint="eastAsia" w:ascii="黑体" w:hAnsi="黑体" w:eastAsia="黑体"/>
          <w:sz w:val="32"/>
          <w:szCs w:val="32"/>
        </w:rPr>
        <w:t xml:space="preserve">  海南开放大学单位概况</w:t>
      </w:r>
    </w:p>
    <w:p>
      <w:pPr>
        <w:rPr>
          <w:rFonts w:hint="eastAsia" w:ascii="黑体" w:hAnsi="黑体" w:eastAsia="黑体" w:cs="Times New Roman"/>
          <w:sz w:val="32"/>
          <w:szCs w:val="32"/>
        </w:rPr>
      </w:pP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照预算管理有关规定，目前我省部门预算编制实行综合预算制度，部门所有收支纳入预算管理，没有预算不得支出。海南开放大学基本支出预算实行综合预算定额管理，项目支出由海南省财政厅预算管理局根据项目轻重缓急原则统筹安排。</w:t>
      </w:r>
    </w:p>
    <w:p>
      <w:pPr>
        <w:pStyle w:val="10"/>
        <w:ind w:firstLine="640"/>
        <w:jc w:val="left"/>
        <w:rPr>
          <w:rFonts w:ascii="Times New Roman" w:hAnsi="Times New Roman" w:eastAsia="仿宋_GB2312" w:cs="Times New Roman"/>
          <w:sz w:val="32"/>
          <w:szCs w:val="32"/>
        </w:rPr>
      </w:pPr>
      <w:r>
        <w:rPr>
          <w:rFonts w:hint="eastAsia" w:ascii="黑体" w:hAnsi="黑体" w:eastAsia="黑体"/>
          <w:sz w:val="32"/>
          <w:szCs w:val="32"/>
        </w:rPr>
        <w:t>一、主要职能</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海南开放大学直属海南省人民政府的正厅级事业单位，是海南省唯一一所公办本科成人教育高等学校。前身为创办于1983年的海南广播电视大学。2020年12月，经海南省政府批复同意更名为海南开放大学。同时加挂“海南乡村振兴大学”“海南社区教育大学”牌子。2024年获批设立国家老年开放大学海南分部。</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学校以服务海南自贸港建设，促进教育公平，建设全民终身学习的学习型社会为使命，以教育数字化为战略，以现代信息技术为支撑，以远程开放教育为主体，开展学历教育、非学历继续教育和服务全民终身学习的新型高等学校。学校现有以海口校区、五指山校区为主的南北两个校区，占地面积130亩，建筑面积10余万平方米，学校现有在编教职工222 人，其中专任教师 142人，高级职称教师 35 人，硕士博士以上人数占74%。内设党政管理机构12个，群团组织2个，教学教辅机构10个，基层党组织4个。学校依托教育部直属的国家开放大学实施系统办学，并在全省设有海口、三亚、儋州、五指山、文昌、琼海和东方等7个地方学院和15个学习中心，系统办学网络覆盖全省各市县。学历教育现开设有理工、文法等8个学科50多个本、专科专业，目前有注册在籍学生2.2万人（学籍有效期为8年）。同时，学校面向社会开展非学历教育和各类培训，农村党员干部教育、社区教育和乡村振兴电视夜校已经形成覆盖全省各乡镇、社区（村居）的228个分校，共3000多个学习点，每年接受线上线下培训和在线学习达800万人次。</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学校始终坚持以人民为中心的办学思想，全面落实立德树人根本任务，在省委省政府的领导下，努力构建我省终身教育体系，着力打造全省终身学习型社会建设平台。紧紧围绕省委省政府中心工作和我省经济社会发展需要，承担全省乡村振兴人才培训任务。2010年开始的全省农村党员干部“农村干部学历教育”“双轮训双学历”共培养出1.2万名农民大学生。2016年以来承办的“海南脱贫致富电视夜校”“海南乡村振兴电视夜校”项目在打赢脱贫攻坚战和乡村振兴中发挥了积极作用，先后获得“全国脱贫攻坚组织创新奖”“中央宣传部基层理论宣讲先进集体”“全国脱贫攻坚先进集体”等荣誉称号，并列入海南自贸港建设的创新案例。积极推进我省农民学分银行建设，开展面向全省农村群众的中职学历教育，提高农民群众受教育水平。</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学校积极参与海南农村党员干部培养，承担全省党员干部在线学习、党员干部远程教育、全省中小学教师学力培训和学历提升教育的“国培计划”“省培计划”任务。学校面向社会开展相关技能培训与考证，是海南省第三十九职业技能鉴定所，海南省职工素质教育培训基地、全国示范基地。受省教育厅委托，承担“海南省社区教育指导中心”具体工作。</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学校主动围绕乡村振兴战略等重点工作开展科学研究和智库建设，现有省社会科学重点实验室与基地2个，即“海南省乡村振兴与数字治理实验室”与“海南省终身教育研究基地”，成立了“海南乡村发展与基层治理研究院”“农村乡村党建研究所”，打造“自贸港基层党建和思政工作创新团队”“乡村振兴中的休闲农业创新发展研究团队”等校级科研团队，取得丰硕研究成果，为学校教育教学和咨政工作等提供了有力支持。</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学校以习近平新时代中国特色社会主义思想为指导，以“办好人民满意的教育”为宗旨，积极拓宽办学渠道，努力进行转型升级，为我省建设“人人皆学、处处能学、时时可学”的学习型社会而踔厉奋发，笃行不怠，力争早日建设成为国内国际有重要影响的、具有海南自贸港特色的高水平现代开放大学。</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学校共设置内部机构28个，其中党政管理机构12个，包括党政办公室、组织人事处（老干处）、宣传部、校纪检监察机构、学生工作与招生就业处、教务处（教育教学质量督导评估中心）、财务管理处、科研管理处、信息与资源处、后勤保障处、乡村振兴教育工作处；教学教辅机构10个，包括马克思主义学院、开放教育部（开放教育学院）、远程教育学院（省党员干部远程教育学院）、省乡村振兴电视夜校办公室、农业农村学院、社区教育学院、继续教育学院（成人教育学院）、学报编辑部、图书馆、学分银行建设办公室（中等职业学校）；党的基层组织4个，包括机关党委、学院党总支、离退休职工党总支、开放教育部（开放教育学院）党总支；群团组织2个，包括校工会、校团委。</w:t>
      </w:r>
    </w:p>
    <w:p>
      <w:pPr>
        <w:pStyle w:val="10"/>
        <w:ind w:firstLine="640"/>
        <w:jc w:val="left"/>
        <w:rPr>
          <w:rFonts w:hint="eastAsia" w:ascii="黑体" w:hAnsi="黑体" w:eastAsia="黑体" w:cs="仿宋_GB2312"/>
          <w:sz w:val="32"/>
          <w:szCs w:val="32"/>
        </w:rPr>
      </w:pPr>
      <w:r>
        <w:rPr>
          <w:rFonts w:hint="eastAsia" w:ascii="黑体" w:hAnsi="黑体" w:eastAsia="黑体" w:cs="仿宋_GB2312"/>
          <w:sz w:val="32"/>
          <w:szCs w:val="32"/>
        </w:rPr>
        <w:t>二、部门预算单位构成（单位公开没有此部分内容）</w:t>
      </w:r>
    </w:p>
    <w:p>
      <w:pPr>
        <w:pStyle w:val="4"/>
        <w:spacing w:line="560" w:lineRule="exact"/>
        <w:ind w:firstLine="640" w:firstLineChars="200"/>
        <w:rPr>
          <w:rFonts w:ascii="Times New Roman" w:hAnsi="Times New Roman" w:eastAsia="仿宋_GB2312" w:cs="Times New Roman"/>
          <w:sz w:val="32"/>
          <w:szCs w:val="32"/>
        </w:rPr>
      </w:pPr>
      <w:r>
        <w:rPr>
          <w:rFonts w:hint="eastAsia" w:ascii="仿宋_GB2312" w:hAnsi="黑体" w:eastAsia="仿宋_GB2312" w:cs="仿宋_GB2312"/>
          <w:sz w:val="32"/>
          <w:szCs w:val="32"/>
        </w:rPr>
        <w:t>无此类情况。</w:t>
      </w:r>
    </w:p>
    <w:p>
      <w:pPr>
        <w:pStyle w:val="4"/>
        <w:spacing w:line="560" w:lineRule="exact"/>
        <w:ind w:firstLine="640" w:firstLineChars="200"/>
        <w:rPr>
          <w:rFonts w:ascii="Times New Roman" w:hAnsi="Times New Roman" w:eastAsia="仿宋_GB2312" w:cs="Times New Roman"/>
          <w:sz w:val="32"/>
          <w:szCs w:val="32"/>
        </w:rPr>
      </w:pPr>
    </w:p>
    <w:p>
      <w:pPr>
        <w:spacing w:line="600" w:lineRule="exact"/>
        <w:ind w:firstLine="600" w:firstLineChars="200"/>
        <w:jc w:val="left"/>
        <w:rPr>
          <w:rFonts w:ascii="宋体" w:cs="Times New Roman"/>
          <w:sz w:val="30"/>
          <w:szCs w:val="30"/>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第二部分  海南开放大学单位2024年单位预算表</w:t>
      </w:r>
    </w:p>
    <w:p>
      <w:pPr>
        <w:ind w:firstLine="602" w:firstLineChars="200"/>
        <w:rPr>
          <w:rFonts w:ascii="宋体" w:cs="Times New Roman"/>
          <w:b/>
          <w:bCs/>
          <w:sz w:val="30"/>
          <w:szCs w:val="30"/>
        </w:rPr>
      </w:pP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（此部分内容即为单位预算公开表，详见表格）</w:t>
      </w:r>
    </w:p>
    <w:p>
      <w:pPr>
        <w:ind w:left="800"/>
        <w:jc w:val="center"/>
        <w:rPr>
          <w:rFonts w:ascii="宋体" w:cs="Times New Roman"/>
          <w:b/>
          <w:bCs/>
          <w:sz w:val="30"/>
          <w:szCs w:val="30"/>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第三部分  海南开放大学单位2024年单位预算情况说明</w:t>
      </w:r>
    </w:p>
    <w:p>
      <w:pPr>
        <w:ind w:firstLine="452" w:firstLineChars="150"/>
        <w:rPr>
          <w:rFonts w:ascii="宋体" w:cs="Times New Roman"/>
          <w:b/>
          <w:bCs/>
          <w:sz w:val="30"/>
          <w:szCs w:val="30"/>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一、关于海南开放大学单位2024年财政拨款收支预算情况的总体说明</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海南开放大学2024年财政拨款收支总预算7375.3万元。其中，收入总计7375.3万元，包括一般公共预算本年收入7360.71万元，上年结转约14.59万元，比上年预算数8924.6万元（含上年结转1.01万元）减少1549.3万元，主要是项目经费拨款减少。</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二、关于海南开放大学单位2024年一般公共预算当年拨款情况说明</w:t>
      </w:r>
    </w:p>
    <w:p>
      <w:pPr>
        <w:pStyle w:val="4"/>
        <w:spacing w:line="560" w:lineRule="exact"/>
        <w:ind w:firstLine="640" w:firstLineChars="200"/>
        <w:rPr>
          <w:rFonts w:ascii="Times New Roman" w:hAnsi="Times New Roman" w:eastAsia="仿宋_GB2312" w:cs="Times New Roman"/>
          <w:sz w:val="32"/>
          <w:szCs w:val="32"/>
        </w:rPr>
      </w:pPr>
      <w:r>
        <w:rPr>
          <w:rFonts w:hint="eastAsia" w:ascii="楷体" w:hAnsi="楷体" w:eastAsia="楷体" w:cs="黑体"/>
          <w:color w:val="000000" w:themeColor="text1"/>
          <w:kern w:val="2"/>
          <w:sz w:val="32"/>
          <w:szCs w:val="32"/>
          <w14:textFill>
            <w14:solidFill>
              <w14:schemeClr w14:val="tx1"/>
            </w14:solidFill>
          </w14:textFill>
        </w:rPr>
        <w:t>（一）一般公共预算当年规模变化情况</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海南开放大学2024年一般公共预算当年拨款7375.3万元，比上年8924.6万元减少1549.3万元，主要是项目支出减少。</w:t>
      </w:r>
    </w:p>
    <w:p>
      <w:pPr>
        <w:pStyle w:val="4"/>
        <w:spacing w:line="560" w:lineRule="exact"/>
        <w:ind w:firstLine="640" w:firstLineChars="200"/>
        <w:rPr>
          <w:rFonts w:ascii="Times New Roman" w:hAnsi="Times New Roman" w:eastAsia="仿宋_GB2312" w:cs="Times New Roman"/>
          <w:sz w:val="32"/>
          <w:szCs w:val="32"/>
        </w:rPr>
      </w:pPr>
      <w:r>
        <w:rPr>
          <w:rFonts w:hint="eastAsia" w:ascii="楷体" w:hAnsi="楷体" w:eastAsia="楷体" w:cs="黑体"/>
          <w:color w:val="000000" w:themeColor="text1"/>
          <w:kern w:val="2"/>
          <w:sz w:val="32"/>
          <w:szCs w:val="32"/>
          <w14:textFill>
            <w14:solidFill>
              <w14:schemeClr w14:val="tx1"/>
            </w14:solidFill>
          </w14:textFill>
        </w:rPr>
        <w:t>（二）一般公共预算当年拨款结构情况</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教育支出5195.53万元，占70.59%；社会保障和就业支出581.45万元，占7.9%；卫生健康支出180.06万元，占2.45%；农林水支出1102万元，占14.97%；住房保障支出301.68万元，占4.09%。</w:t>
      </w:r>
    </w:p>
    <w:p>
      <w:pPr>
        <w:pStyle w:val="4"/>
        <w:spacing w:line="560" w:lineRule="exact"/>
        <w:ind w:firstLine="640" w:firstLineChars="200"/>
        <w:rPr>
          <w:rFonts w:hint="eastAsia" w:ascii="楷体" w:hAnsi="楷体" w:eastAsia="楷体" w:cs="黑体"/>
          <w:color w:val="000000" w:themeColor="text1"/>
          <w:kern w:val="2"/>
          <w:sz w:val="32"/>
          <w:szCs w:val="32"/>
          <w14:textFill>
            <w14:solidFill>
              <w14:schemeClr w14:val="tx1"/>
            </w14:solidFill>
          </w14:textFill>
        </w:rPr>
      </w:pPr>
      <w:r>
        <w:rPr>
          <w:rFonts w:hint="eastAsia" w:ascii="楷体" w:hAnsi="楷体" w:eastAsia="楷体" w:cs="黑体"/>
          <w:color w:val="000000" w:themeColor="text1"/>
          <w:kern w:val="2"/>
          <w:sz w:val="32"/>
          <w:szCs w:val="32"/>
          <w14:textFill>
            <w14:solidFill>
              <w14:schemeClr w14:val="tx1"/>
            </w14:solidFill>
          </w14:textFill>
        </w:rPr>
        <w:t>（三）一般公共预算当年拨款具体使用情况</w:t>
      </w:r>
    </w:p>
    <w:p>
      <w:pPr>
        <w:pStyle w:val="4"/>
        <w:spacing w:line="560" w:lineRule="exact"/>
        <w:ind w:firstLine="640" w:firstLineChars="200"/>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highlight w:val="yellow"/>
        </w:rPr>
        <w:t>1.教育支出</w:t>
      </w:r>
      <w:r>
        <w:rPr>
          <w:rFonts w:hint="eastAsia" w:ascii="Times New Roman" w:hAnsi="Times New Roman" w:eastAsia="仿宋_GB2312" w:cs="Times New Roman"/>
          <w:sz w:val="32"/>
          <w:szCs w:val="32"/>
          <w:highlight w:val="yellow"/>
          <w:lang w:eastAsia="zh-CN"/>
        </w:rPr>
        <w:t>（</w:t>
      </w:r>
      <w:r>
        <w:rPr>
          <w:rFonts w:hint="eastAsia" w:ascii="Times New Roman" w:hAnsi="Times New Roman" w:eastAsia="仿宋_GB2312" w:cs="Times New Roman"/>
          <w:sz w:val="32"/>
          <w:szCs w:val="32"/>
          <w:highlight w:val="yellow"/>
          <w:lang w:val="en-US" w:eastAsia="zh-CN"/>
        </w:rPr>
        <w:t>类</w:t>
      </w:r>
      <w:r>
        <w:rPr>
          <w:rFonts w:hint="eastAsia" w:ascii="Times New Roman" w:hAnsi="Times New Roman" w:eastAsia="仿宋_GB2312" w:cs="Times New Roman"/>
          <w:sz w:val="32"/>
          <w:szCs w:val="32"/>
          <w:highlight w:val="yellow"/>
          <w:lang w:eastAsia="zh-CN"/>
        </w:rPr>
        <w:t>）广播电视教育（</w:t>
      </w:r>
      <w:r>
        <w:rPr>
          <w:rFonts w:hint="eastAsia" w:ascii="Times New Roman" w:hAnsi="Times New Roman" w:eastAsia="仿宋_GB2312" w:cs="Times New Roman"/>
          <w:sz w:val="32"/>
          <w:szCs w:val="32"/>
          <w:highlight w:val="yellow"/>
          <w:lang w:val="en-US" w:eastAsia="zh-CN"/>
        </w:rPr>
        <w:t>款</w:t>
      </w:r>
      <w:r>
        <w:rPr>
          <w:rFonts w:hint="eastAsia" w:ascii="Times New Roman" w:hAnsi="Times New Roman" w:eastAsia="仿宋_GB2312" w:cs="Times New Roman"/>
          <w:sz w:val="32"/>
          <w:szCs w:val="32"/>
          <w:highlight w:val="yellow"/>
          <w:lang w:eastAsia="zh-CN"/>
        </w:rPr>
        <w:t>）广播电视学校（</w:t>
      </w:r>
      <w:r>
        <w:rPr>
          <w:rFonts w:hint="eastAsia" w:ascii="Times New Roman" w:hAnsi="Times New Roman" w:eastAsia="仿宋_GB2312" w:cs="Times New Roman"/>
          <w:sz w:val="32"/>
          <w:szCs w:val="32"/>
          <w:highlight w:val="yellow"/>
          <w:lang w:val="en-US" w:eastAsia="zh-CN"/>
        </w:rPr>
        <w:t>项目</w:t>
      </w:r>
      <w:r>
        <w:rPr>
          <w:rFonts w:hint="eastAsia" w:ascii="Times New Roman" w:hAnsi="Times New Roman" w:eastAsia="仿宋_GB2312" w:cs="Times New Roman"/>
          <w:sz w:val="32"/>
          <w:szCs w:val="32"/>
          <w:highlight w:val="yellow"/>
          <w:lang w:eastAsia="zh-CN"/>
        </w:rPr>
        <w:t>）</w:t>
      </w:r>
      <w:r>
        <w:rPr>
          <w:rFonts w:hint="eastAsia" w:ascii="Times New Roman" w:hAnsi="Times New Roman" w:eastAsia="仿宋_GB2312" w:cs="Times New Roman"/>
          <w:sz w:val="32"/>
          <w:szCs w:val="32"/>
          <w:highlight w:val="yellow"/>
        </w:rPr>
        <w:t>2024年预算数为5195.53万元，比上年预算数减少685.63万元，主要是省教育厅专项资金项目预算减少。</w:t>
      </w:r>
    </w:p>
    <w:p>
      <w:pPr>
        <w:pStyle w:val="4"/>
        <w:spacing w:line="560" w:lineRule="exact"/>
        <w:ind w:firstLine="640" w:firstLineChars="200"/>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highlight w:val="yellow"/>
        </w:rPr>
        <w:t>2.科学技术支出</w:t>
      </w:r>
      <w:r>
        <w:rPr>
          <w:rFonts w:hint="eastAsia" w:ascii="Times New Roman" w:hAnsi="Times New Roman" w:eastAsia="仿宋_GB2312" w:cs="Times New Roman"/>
          <w:sz w:val="32"/>
          <w:szCs w:val="32"/>
          <w:highlight w:val="yellow"/>
          <w:lang w:eastAsia="zh-CN"/>
        </w:rPr>
        <w:t>（</w:t>
      </w:r>
      <w:r>
        <w:rPr>
          <w:rFonts w:hint="eastAsia" w:ascii="Times New Roman" w:hAnsi="Times New Roman" w:eastAsia="仿宋_GB2312" w:cs="Times New Roman"/>
          <w:sz w:val="32"/>
          <w:szCs w:val="32"/>
          <w:highlight w:val="yellow"/>
          <w:lang w:val="en-US" w:eastAsia="zh-CN"/>
        </w:rPr>
        <w:t>类</w:t>
      </w:r>
      <w:r>
        <w:rPr>
          <w:rFonts w:hint="eastAsia" w:ascii="Times New Roman" w:hAnsi="Times New Roman" w:eastAsia="仿宋_GB2312" w:cs="Times New Roman"/>
          <w:sz w:val="32"/>
          <w:szCs w:val="32"/>
          <w:highlight w:val="yellow"/>
          <w:lang w:eastAsia="zh-CN"/>
        </w:rPr>
        <w:t>）基础研究（</w:t>
      </w:r>
      <w:r>
        <w:rPr>
          <w:rFonts w:hint="eastAsia" w:ascii="Times New Roman" w:hAnsi="Times New Roman" w:eastAsia="仿宋_GB2312" w:cs="Times New Roman"/>
          <w:sz w:val="32"/>
          <w:szCs w:val="32"/>
          <w:highlight w:val="yellow"/>
          <w:lang w:val="en-US" w:eastAsia="zh-CN"/>
        </w:rPr>
        <w:t>款</w:t>
      </w:r>
      <w:r>
        <w:rPr>
          <w:rFonts w:hint="eastAsia" w:ascii="Times New Roman" w:hAnsi="Times New Roman" w:eastAsia="仿宋_GB2312" w:cs="Times New Roman"/>
          <w:sz w:val="32"/>
          <w:szCs w:val="32"/>
          <w:highlight w:val="yellow"/>
          <w:lang w:eastAsia="zh-CN"/>
        </w:rPr>
        <w:t>）自然科学基金（</w:t>
      </w:r>
      <w:r>
        <w:rPr>
          <w:rFonts w:hint="eastAsia" w:ascii="Times New Roman" w:hAnsi="Times New Roman" w:eastAsia="仿宋_GB2312" w:cs="Times New Roman"/>
          <w:sz w:val="32"/>
          <w:szCs w:val="32"/>
          <w:highlight w:val="yellow"/>
          <w:lang w:val="en-US" w:eastAsia="zh-CN"/>
        </w:rPr>
        <w:t>项</w:t>
      </w:r>
      <w:r>
        <w:rPr>
          <w:rFonts w:hint="eastAsia" w:ascii="Times New Roman" w:hAnsi="Times New Roman" w:eastAsia="仿宋_GB2312" w:cs="Times New Roman"/>
          <w:sz w:val="32"/>
          <w:szCs w:val="32"/>
          <w:highlight w:val="yellow"/>
          <w:lang w:eastAsia="zh-CN"/>
        </w:rPr>
        <w:t>）</w:t>
      </w:r>
      <w:r>
        <w:rPr>
          <w:rFonts w:hint="eastAsia" w:ascii="Times New Roman" w:hAnsi="Times New Roman" w:eastAsia="仿宋_GB2312" w:cs="Times New Roman"/>
          <w:sz w:val="32"/>
          <w:szCs w:val="32"/>
          <w:highlight w:val="yellow"/>
        </w:rPr>
        <w:t>2024年当年预算数为</w:t>
      </w:r>
      <w:r>
        <w:rPr>
          <w:rFonts w:hint="eastAsia" w:ascii="Times New Roman" w:hAnsi="Times New Roman" w:eastAsia="仿宋_GB2312" w:cs="Times New Roman"/>
          <w:sz w:val="32"/>
          <w:szCs w:val="32"/>
          <w:highlight w:val="yellow"/>
          <w:lang w:val="en-US" w:eastAsia="zh-CN"/>
        </w:rPr>
        <w:t>14.59</w:t>
      </w:r>
      <w:r>
        <w:rPr>
          <w:rFonts w:hint="eastAsia" w:ascii="Times New Roman" w:hAnsi="Times New Roman" w:eastAsia="仿宋_GB2312" w:cs="Times New Roman"/>
          <w:sz w:val="32"/>
          <w:szCs w:val="32"/>
          <w:highlight w:val="yellow"/>
        </w:rPr>
        <w:t>万元</w:t>
      </w:r>
      <w:r>
        <w:rPr>
          <w:rFonts w:hint="eastAsia" w:ascii="Times New Roman" w:hAnsi="Times New Roman" w:eastAsia="仿宋_GB2312" w:cs="Times New Roman"/>
          <w:sz w:val="32"/>
          <w:szCs w:val="32"/>
          <w:highlight w:val="yellow"/>
          <w:lang w:eastAsia="zh-CN"/>
        </w:rPr>
        <w:t>，</w:t>
      </w:r>
      <w:r>
        <w:rPr>
          <w:rFonts w:hint="eastAsia" w:ascii="Times New Roman" w:hAnsi="Times New Roman" w:eastAsia="仿宋_GB2312" w:cs="Times New Roman"/>
          <w:sz w:val="32"/>
          <w:szCs w:val="32"/>
          <w:highlight w:val="yellow"/>
        </w:rPr>
        <w:t>比上年预算数</w:t>
      </w:r>
      <w:r>
        <w:rPr>
          <w:rFonts w:hint="eastAsia" w:ascii="Times New Roman" w:hAnsi="Times New Roman" w:eastAsia="仿宋_GB2312" w:cs="Times New Roman"/>
          <w:sz w:val="32"/>
          <w:szCs w:val="32"/>
          <w:highlight w:val="yellow"/>
          <w:lang w:val="en-US" w:eastAsia="zh-CN"/>
        </w:rPr>
        <w:t>减少2.43万元，</w:t>
      </w:r>
      <w:r>
        <w:rPr>
          <w:rFonts w:hint="eastAsia" w:ascii="宋体" w:hAnsi="宋体" w:cs="宋体"/>
          <w:sz w:val="30"/>
          <w:szCs w:val="30"/>
          <w:highlight w:val="yellow"/>
          <w:lang w:val="en-US" w:eastAsia="zh-CN"/>
        </w:rPr>
        <w:t>主要是科技厅的科研经费</w:t>
      </w:r>
      <w:r>
        <w:rPr>
          <w:rFonts w:hint="eastAsia" w:cs="宋体"/>
          <w:sz w:val="30"/>
          <w:szCs w:val="30"/>
          <w:highlight w:val="yellow"/>
          <w:lang w:val="en-US" w:eastAsia="zh-CN"/>
        </w:rPr>
        <w:t>减少</w:t>
      </w:r>
      <w:r>
        <w:rPr>
          <w:rFonts w:hint="eastAsia" w:ascii="Times New Roman" w:hAnsi="Times New Roman" w:eastAsia="仿宋_GB2312" w:cs="Times New Roman"/>
          <w:sz w:val="32"/>
          <w:szCs w:val="32"/>
          <w:highlight w:val="yellow"/>
        </w:rPr>
        <w:t>。</w:t>
      </w:r>
    </w:p>
    <w:p>
      <w:pPr>
        <w:pStyle w:val="4"/>
        <w:spacing w:line="560" w:lineRule="exact"/>
        <w:ind w:firstLine="640" w:firstLineChars="200"/>
        <w:rPr>
          <w:rFonts w:hint="eastAsia" w:ascii="宋体" w:hAnsi="宋体" w:cs="宋体"/>
          <w:sz w:val="30"/>
          <w:szCs w:val="30"/>
          <w:highlight w:val="yellow"/>
          <w:lang w:val="en-US" w:eastAsia="zh-CN"/>
        </w:rPr>
      </w:pPr>
      <w:r>
        <w:rPr>
          <w:rFonts w:hint="eastAsia" w:ascii="Times New Roman" w:hAnsi="Times New Roman" w:eastAsia="仿宋_GB2312" w:cs="Times New Roman"/>
          <w:sz w:val="32"/>
          <w:szCs w:val="32"/>
          <w:highlight w:val="yellow"/>
        </w:rPr>
        <w:t>3.社会保障和就业支出</w:t>
      </w:r>
      <w:r>
        <w:rPr>
          <w:rFonts w:hint="eastAsia" w:ascii="Times New Roman" w:hAnsi="Times New Roman" w:eastAsia="仿宋_GB2312" w:cs="Times New Roman"/>
          <w:sz w:val="32"/>
          <w:szCs w:val="32"/>
          <w:highlight w:val="yellow"/>
          <w:lang w:eastAsia="zh-CN"/>
        </w:rPr>
        <w:t>（</w:t>
      </w:r>
      <w:r>
        <w:rPr>
          <w:rFonts w:hint="eastAsia" w:ascii="Times New Roman" w:hAnsi="Times New Roman" w:eastAsia="仿宋_GB2312" w:cs="Times New Roman"/>
          <w:sz w:val="32"/>
          <w:szCs w:val="32"/>
          <w:highlight w:val="yellow"/>
          <w:lang w:val="en-US" w:eastAsia="zh-CN"/>
        </w:rPr>
        <w:t>类</w:t>
      </w:r>
      <w:r>
        <w:rPr>
          <w:rFonts w:hint="eastAsia" w:ascii="Times New Roman" w:hAnsi="Times New Roman" w:eastAsia="仿宋_GB2312" w:cs="Times New Roman"/>
          <w:sz w:val="32"/>
          <w:szCs w:val="32"/>
          <w:highlight w:val="yellow"/>
          <w:lang w:eastAsia="zh-CN"/>
        </w:rPr>
        <w:t>）行政事业单位养老支出（</w:t>
      </w:r>
      <w:r>
        <w:rPr>
          <w:rFonts w:hint="eastAsia" w:ascii="Times New Roman" w:hAnsi="Times New Roman" w:eastAsia="仿宋_GB2312" w:cs="Times New Roman"/>
          <w:sz w:val="32"/>
          <w:szCs w:val="32"/>
          <w:highlight w:val="yellow"/>
          <w:lang w:val="en-US" w:eastAsia="zh-CN"/>
        </w:rPr>
        <w:t>款</w:t>
      </w:r>
      <w:r>
        <w:rPr>
          <w:rFonts w:hint="eastAsia" w:ascii="Times New Roman" w:hAnsi="Times New Roman" w:eastAsia="仿宋_GB2312" w:cs="Times New Roman"/>
          <w:sz w:val="32"/>
          <w:szCs w:val="32"/>
          <w:highlight w:val="yellow"/>
          <w:lang w:eastAsia="zh-CN"/>
        </w:rPr>
        <w:t>）事业单位离退休（</w:t>
      </w:r>
      <w:r>
        <w:rPr>
          <w:rFonts w:hint="eastAsia" w:ascii="Times New Roman" w:hAnsi="Times New Roman" w:eastAsia="仿宋_GB2312" w:cs="Times New Roman"/>
          <w:sz w:val="32"/>
          <w:szCs w:val="32"/>
          <w:highlight w:val="yellow"/>
          <w:lang w:val="en-US" w:eastAsia="zh-CN"/>
        </w:rPr>
        <w:t>项</w:t>
      </w:r>
      <w:r>
        <w:rPr>
          <w:rFonts w:hint="eastAsia" w:ascii="Times New Roman" w:hAnsi="Times New Roman" w:eastAsia="仿宋_GB2312" w:cs="Times New Roman"/>
          <w:sz w:val="32"/>
          <w:szCs w:val="32"/>
          <w:highlight w:val="yellow"/>
          <w:lang w:eastAsia="zh-CN"/>
        </w:rPr>
        <w:t>）</w:t>
      </w:r>
      <w:r>
        <w:rPr>
          <w:rFonts w:hint="eastAsia" w:ascii="Times New Roman" w:hAnsi="Times New Roman" w:eastAsia="仿宋_GB2312" w:cs="Times New Roman"/>
          <w:sz w:val="32"/>
          <w:szCs w:val="32"/>
          <w:highlight w:val="yellow"/>
        </w:rPr>
        <w:t>2024年预算数为</w:t>
      </w:r>
      <w:r>
        <w:rPr>
          <w:rFonts w:hint="eastAsia" w:ascii="Times New Roman" w:hAnsi="Times New Roman" w:eastAsia="仿宋_GB2312" w:cs="Times New Roman"/>
          <w:sz w:val="32"/>
          <w:szCs w:val="32"/>
          <w:highlight w:val="yellow"/>
          <w:lang w:val="en-US" w:eastAsia="zh-CN"/>
        </w:rPr>
        <w:t>16.48</w:t>
      </w:r>
      <w:r>
        <w:rPr>
          <w:rFonts w:hint="eastAsia" w:ascii="Times New Roman" w:hAnsi="Times New Roman" w:eastAsia="仿宋_GB2312" w:cs="Times New Roman"/>
          <w:sz w:val="32"/>
          <w:szCs w:val="32"/>
          <w:highlight w:val="yellow"/>
        </w:rPr>
        <w:t>万元，比上年预算数</w:t>
      </w:r>
      <w:r>
        <w:rPr>
          <w:rFonts w:hint="eastAsia" w:ascii="Times New Roman" w:hAnsi="Times New Roman" w:eastAsia="仿宋_GB2312" w:cs="Times New Roman"/>
          <w:sz w:val="32"/>
          <w:szCs w:val="32"/>
          <w:highlight w:val="yellow"/>
          <w:lang w:val="en-US" w:eastAsia="zh-CN"/>
        </w:rPr>
        <w:t>增加1.31</w:t>
      </w:r>
      <w:r>
        <w:rPr>
          <w:rFonts w:hint="eastAsia" w:ascii="Times New Roman" w:hAnsi="Times New Roman" w:eastAsia="仿宋_GB2312" w:cs="Times New Roman"/>
          <w:sz w:val="32"/>
          <w:szCs w:val="32"/>
          <w:highlight w:val="yellow"/>
        </w:rPr>
        <w:t>万元，</w:t>
      </w:r>
      <w:r>
        <w:rPr>
          <w:rFonts w:hint="eastAsia" w:ascii="宋体" w:hAnsi="宋体" w:cs="宋体"/>
          <w:sz w:val="30"/>
          <w:szCs w:val="30"/>
          <w:highlight w:val="yellow"/>
        </w:rPr>
        <w:t>主要是</w:t>
      </w:r>
      <w:r>
        <w:rPr>
          <w:rFonts w:hint="eastAsia" w:ascii="宋体" w:hAnsi="宋体" w:cs="宋体"/>
          <w:sz w:val="30"/>
          <w:szCs w:val="30"/>
          <w:highlight w:val="yellow"/>
          <w:lang w:val="en-US" w:eastAsia="zh-CN"/>
        </w:rPr>
        <w:t>离休人员工资及护理费增加。</w:t>
      </w:r>
    </w:p>
    <w:p>
      <w:pPr>
        <w:pStyle w:val="4"/>
        <w:spacing w:line="560" w:lineRule="exact"/>
        <w:ind w:firstLine="600" w:firstLineChars="200"/>
        <w:rPr>
          <w:rFonts w:hint="eastAsia" w:ascii="宋体" w:hAnsi="宋体" w:cs="宋体"/>
          <w:sz w:val="30"/>
          <w:szCs w:val="30"/>
          <w:highlight w:val="yellow"/>
        </w:rPr>
      </w:pPr>
      <w:r>
        <w:rPr>
          <w:rFonts w:hint="eastAsia" w:cs="宋体"/>
          <w:sz w:val="30"/>
          <w:szCs w:val="30"/>
          <w:highlight w:val="yellow"/>
          <w:lang w:val="en-US" w:eastAsia="zh-CN"/>
        </w:rPr>
        <w:t>4.</w:t>
      </w:r>
      <w:r>
        <w:rPr>
          <w:rFonts w:hint="eastAsia" w:ascii="宋体" w:hAnsi="宋体" w:cs="宋体"/>
          <w:sz w:val="30"/>
          <w:szCs w:val="30"/>
          <w:highlight w:val="yellow"/>
        </w:rPr>
        <w:t>社会保障和就业支出</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）行政事业单位养老支出（</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）机关事业单位基本养老保险缴费支出（</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w:t>
      </w:r>
      <w:r>
        <w:rPr>
          <w:rFonts w:hint="eastAsia" w:cs="宋体"/>
          <w:sz w:val="30"/>
          <w:szCs w:val="30"/>
          <w:highlight w:val="yellow"/>
          <w:lang w:val="en-US" w:eastAsia="zh-CN"/>
        </w:rPr>
        <w:t>4</w:t>
      </w:r>
      <w:r>
        <w:rPr>
          <w:rFonts w:hint="eastAsia" w:ascii="宋体" w:hAnsi="宋体" w:cs="宋体"/>
          <w:sz w:val="30"/>
          <w:szCs w:val="30"/>
          <w:highlight w:val="yellow"/>
        </w:rPr>
        <w:t>年预算数为</w:t>
      </w:r>
      <w:r>
        <w:rPr>
          <w:rFonts w:hint="eastAsia" w:cs="宋体"/>
          <w:sz w:val="30"/>
          <w:szCs w:val="30"/>
          <w:highlight w:val="yellow"/>
          <w:lang w:val="en-US" w:eastAsia="zh-CN"/>
        </w:rPr>
        <w:t>375.8万元，</w:t>
      </w:r>
      <w:r>
        <w:rPr>
          <w:rFonts w:hint="eastAsia" w:ascii="宋体" w:hAnsi="宋体" w:cs="宋体"/>
          <w:sz w:val="30"/>
          <w:szCs w:val="30"/>
          <w:highlight w:val="yellow"/>
        </w:rPr>
        <w:t>比上年预算数增加</w:t>
      </w:r>
      <w:r>
        <w:rPr>
          <w:rFonts w:hint="eastAsia" w:cs="宋体"/>
          <w:sz w:val="30"/>
          <w:szCs w:val="30"/>
          <w:highlight w:val="yellow"/>
          <w:lang w:val="en-US" w:eastAsia="zh-CN"/>
        </w:rPr>
        <w:t>39.64</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主要是</w:t>
      </w:r>
      <w:r>
        <w:rPr>
          <w:rFonts w:hint="eastAsia" w:cs="宋体"/>
          <w:sz w:val="30"/>
          <w:szCs w:val="30"/>
          <w:highlight w:val="yellow"/>
          <w:lang w:val="en-US" w:eastAsia="zh-CN"/>
        </w:rPr>
        <w:t>增加</w:t>
      </w:r>
      <w:r>
        <w:rPr>
          <w:rFonts w:hint="eastAsia" w:ascii="宋体" w:hAnsi="宋体" w:cs="宋体"/>
          <w:sz w:val="30"/>
          <w:szCs w:val="30"/>
          <w:highlight w:val="yellow"/>
        </w:rPr>
        <w:t>新调入教职工导致。</w:t>
      </w:r>
    </w:p>
    <w:p>
      <w:pPr>
        <w:spacing w:line="600" w:lineRule="exact"/>
        <w:ind w:firstLine="600" w:firstLineChars="200"/>
        <w:rPr>
          <w:rFonts w:hint="eastAsia" w:ascii="宋体" w:hAnsi="宋体" w:cs="宋体"/>
          <w:sz w:val="30"/>
          <w:szCs w:val="30"/>
          <w:highlight w:val="yellow"/>
          <w:lang w:eastAsia="zh-CN"/>
        </w:rPr>
      </w:pPr>
      <w:r>
        <w:rPr>
          <w:rFonts w:hint="eastAsia" w:ascii="宋体" w:hAnsi="宋体" w:cs="宋体"/>
          <w:sz w:val="30"/>
          <w:szCs w:val="30"/>
          <w:highlight w:val="yellow"/>
          <w:lang w:val="en-US" w:eastAsia="zh-CN"/>
        </w:rPr>
        <w:t>5.</w:t>
      </w:r>
      <w:r>
        <w:rPr>
          <w:rFonts w:hint="eastAsia" w:ascii="宋体" w:hAnsi="宋体" w:cs="宋体"/>
          <w:sz w:val="30"/>
          <w:szCs w:val="30"/>
          <w:highlight w:val="yellow"/>
        </w:rPr>
        <w:t>社会保障和就业支出</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）行政事业单位养老支出（</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）机关事业单位职业年金缴费支出（</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w:t>
      </w:r>
      <w:r>
        <w:rPr>
          <w:rFonts w:hint="eastAsia" w:ascii="宋体" w:hAnsi="宋体" w:cs="宋体"/>
          <w:sz w:val="30"/>
          <w:szCs w:val="30"/>
          <w:highlight w:val="yellow"/>
          <w:lang w:val="en-US" w:eastAsia="zh-CN"/>
        </w:rPr>
        <w:t>4</w:t>
      </w:r>
      <w:r>
        <w:rPr>
          <w:rFonts w:hint="eastAsia" w:ascii="宋体" w:hAnsi="宋体" w:cs="宋体"/>
          <w:sz w:val="30"/>
          <w:szCs w:val="30"/>
          <w:highlight w:val="yellow"/>
        </w:rPr>
        <w:t>年预算数为</w:t>
      </w:r>
      <w:r>
        <w:rPr>
          <w:rFonts w:hint="eastAsia" w:ascii="宋体" w:hAnsi="宋体" w:cs="宋体"/>
          <w:sz w:val="30"/>
          <w:szCs w:val="30"/>
          <w:highlight w:val="yellow"/>
          <w:lang w:val="en-US" w:eastAsia="zh-CN"/>
        </w:rPr>
        <w:t>187.9</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rPr>
        <w:t>比上年预算数增加</w:t>
      </w:r>
      <w:r>
        <w:rPr>
          <w:rFonts w:hint="eastAsia" w:ascii="宋体" w:hAnsi="宋体" w:cs="宋体"/>
          <w:sz w:val="30"/>
          <w:szCs w:val="30"/>
          <w:highlight w:val="yellow"/>
          <w:lang w:val="en-US" w:eastAsia="zh-CN"/>
        </w:rPr>
        <w:t>19.82</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主要是</w:t>
      </w:r>
      <w:r>
        <w:rPr>
          <w:rFonts w:hint="eastAsia" w:ascii="宋体" w:hAnsi="宋体" w:cs="宋体"/>
          <w:sz w:val="30"/>
          <w:szCs w:val="30"/>
          <w:highlight w:val="yellow"/>
        </w:rPr>
        <w:t>增加新调入教职工导致</w:t>
      </w:r>
      <w:r>
        <w:rPr>
          <w:rFonts w:hint="eastAsia" w:ascii="宋体" w:hAnsi="宋体" w:cs="宋体"/>
          <w:sz w:val="30"/>
          <w:szCs w:val="30"/>
          <w:highlight w:val="yellow"/>
          <w:lang w:eastAsia="zh-CN"/>
        </w:rPr>
        <w:t>。</w:t>
      </w:r>
    </w:p>
    <w:p>
      <w:pPr>
        <w:pStyle w:val="4"/>
        <w:spacing w:line="560" w:lineRule="exact"/>
        <w:ind w:firstLine="600" w:firstLineChars="200"/>
        <w:rPr>
          <w:rFonts w:hint="default" w:ascii="宋体" w:hAnsi="宋体" w:cs="宋体"/>
          <w:sz w:val="30"/>
          <w:szCs w:val="30"/>
          <w:highlight w:val="yellow"/>
          <w:lang w:val="en-US" w:eastAsia="zh-CN"/>
        </w:rPr>
      </w:pPr>
      <w:r>
        <w:rPr>
          <w:rFonts w:hint="eastAsia" w:cs="宋体"/>
          <w:sz w:val="30"/>
          <w:szCs w:val="30"/>
          <w:highlight w:val="yellow"/>
          <w:lang w:val="en-US" w:eastAsia="zh-CN"/>
        </w:rPr>
        <w:t>6.</w:t>
      </w:r>
      <w:r>
        <w:rPr>
          <w:rFonts w:hint="eastAsia" w:ascii="宋体" w:hAnsi="宋体" w:cs="宋体"/>
          <w:sz w:val="30"/>
          <w:szCs w:val="30"/>
          <w:highlight w:val="yellow"/>
          <w:lang w:eastAsia="zh-CN"/>
        </w:rPr>
        <w:t>社会保障和就业支出（</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）抚恤（</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）其他优抚支出（</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ascii="宋体" w:hAnsi="宋体" w:cs="宋体"/>
          <w:sz w:val="30"/>
          <w:szCs w:val="30"/>
          <w:highlight w:val="yellow"/>
        </w:rPr>
        <w:t>202</w:t>
      </w:r>
      <w:r>
        <w:rPr>
          <w:rFonts w:hint="eastAsia" w:cs="宋体"/>
          <w:sz w:val="30"/>
          <w:szCs w:val="30"/>
          <w:highlight w:val="yellow"/>
          <w:lang w:val="en-US" w:eastAsia="zh-CN"/>
        </w:rPr>
        <w:t>4</w:t>
      </w:r>
      <w:r>
        <w:rPr>
          <w:rFonts w:hint="eastAsia" w:ascii="宋体" w:hAnsi="宋体" w:cs="宋体"/>
          <w:sz w:val="30"/>
          <w:szCs w:val="30"/>
          <w:highlight w:val="yellow"/>
        </w:rPr>
        <w:t>年预算数为</w:t>
      </w:r>
      <w:r>
        <w:rPr>
          <w:rFonts w:hint="eastAsia" w:ascii="宋体" w:hAnsi="宋体" w:cs="宋体"/>
          <w:sz w:val="30"/>
          <w:szCs w:val="30"/>
          <w:highlight w:val="yellow"/>
          <w:lang w:val="en-US" w:eastAsia="zh-CN"/>
        </w:rPr>
        <w:t>1.26</w:t>
      </w:r>
      <w:r>
        <w:rPr>
          <w:rFonts w:hint="eastAsia" w:ascii="宋体" w:hAnsi="宋体" w:cs="宋体"/>
          <w:sz w:val="30"/>
          <w:szCs w:val="30"/>
          <w:highlight w:val="yellow"/>
        </w:rPr>
        <w:t>万元</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与</w:t>
      </w:r>
      <w:r>
        <w:rPr>
          <w:rFonts w:hint="eastAsia" w:ascii="宋体" w:hAnsi="宋体" w:cs="宋体"/>
          <w:sz w:val="30"/>
          <w:szCs w:val="30"/>
          <w:highlight w:val="yellow"/>
        </w:rPr>
        <w:t>上年预算数</w:t>
      </w:r>
      <w:r>
        <w:rPr>
          <w:rFonts w:hint="eastAsia" w:ascii="宋体" w:hAnsi="宋体" w:cs="宋体"/>
          <w:sz w:val="30"/>
          <w:szCs w:val="30"/>
          <w:highlight w:val="yellow"/>
          <w:lang w:val="en-US" w:eastAsia="zh-CN"/>
        </w:rPr>
        <w:t>持平。</w:t>
      </w:r>
    </w:p>
    <w:p>
      <w:pPr>
        <w:pStyle w:val="4"/>
        <w:spacing w:line="560" w:lineRule="exact"/>
        <w:ind w:firstLine="640" w:firstLineChars="200"/>
        <w:rPr>
          <w:rFonts w:ascii="Times New Roman" w:hAnsi="Times New Roman" w:eastAsia="仿宋_GB2312" w:cs="Times New Roman"/>
          <w:sz w:val="32"/>
          <w:szCs w:val="32"/>
          <w:highlight w:val="yellow"/>
        </w:rPr>
      </w:pPr>
      <w:r>
        <w:rPr>
          <w:rFonts w:hint="eastAsia" w:ascii="Times New Roman" w:hAnsi="Times New Roman" w:eastAsia="仿宋_GB2312" w:cs="Times New Roman"/>
          <w:color w:val="auto"/>
          <w:sz w:val="32"/>
          <w:szCs w:val="32"/>
          <w:highlight w:val="yellow"/>
          <w:lang w:val="en-US" w:eastAsia="zh-CN"/>
        </w:rPr>
        <w:t>7</w:t>
      </w:r>
      <w:r>
        <w:rPr>
          <w:rFonts w:hint="eastAsia" w:ascii="Times New Roman" w:hAnsi="Times New Roman" w:eastAsia="仿宋_GB2312" w:cs="Times New Roman"/>
          <w:color w:val="auto"/>
          <w:sz w:val="32"/>
          <w:szCs w:val="32"/>
          <w:highlight w:val="yellow"/>
        </w:rPr>
        <w:t>.卫生健康支出</w:t>
      </w:r>
      <w:r>
        <w:rPr>
          <w:rFonts w:hint="eastAsia" w:ascii="Times New Roman" w:hAnsi="Times New Roman" w:eastAsia="仿宋_GB2312" w:cs="Times New Roman"/>
          <w:color w:val="auto"/>
          <w:sz w:val="32"/>
          <w:szCs w:val="32"/>
          <w:highlight w:val="yellow"/>
          <w:lang w:eastAsia="zh-CN"/>
        </w:rPr>
        <w:t>（</w:t>
      </w:r>
      <w:r>
        <w:rPr>
          <w:rFonts w:hint="eastAsia" w:ascii="Times New Roman" w:hAnsi="Times New Roman" w:eastAsia="仿宋_GB2312" w:cs="Times New Roman"/>
          <w:color w:val="auto"/>
          <w:sz w:val="32"/>
          <w:szCs w:val="32"/>
          <w:highlight w:val="yellow"/>
          <w:lang w:val="en-US" w:eastAsia="zh-CN"/>
        </w:rPr>
        <w:t>类</w:t>
      </w:r>
      <w:r>
        <w:rPr>
          <w:rFonts w:hint="eastAsia" w:ascii="Times New Roman" w:hAnsi="Times New Roman" w:eastAsia="仿宋_GB2312" w:cs="Times New Roman"/>
          <w:color w:val="auto"/>
          <w:sz w:val="32"/>
          <w:szCs w:val="32"/>
          <w:highlight w:val="yellow"/>
          <w:lang w:eastAsia="zh-CN"/>
        </w:rPr>
        <w:t>）行政事业单位医疗</w:t>
      </w:r>
      <w:r>
        <w:rPr>
          <w:rFonts w:hint="eastAsia" w:ascii="宋体" w:hAnsi="宋体" w:cs="宋体"/>
          <w:color w:val="auto"/>
          <w:sz w:val="30"/>
          <w:szCs w:val="30"/>
          <w:highlight w:val="yellow"/>
          <w:lang w:eastAsia="zh-CN"/>
        </w:rPr>
        <w:t>（</w:t>
      </w:r>
      <w:r>
        <w:rPr>
          <w:rFonts w:hint="eastAsia" w:ascii="宋体" w:hAnsi="宋体" w:cs="宋体"/>
          <w:color w:val="auto"/>
          <w:sz w:val="30"/>
          <w:szCs w:val="30"/>
          <w:highlight w:val="yellow"/>
          <w:lang w:val="en-US" w:eastAsia="zh-CN"/>
        </w:rPr>
        <w:t>款</w:t>
      </w:r>
      <w:r>
        <w:rPr>
          <w:rFonts w:hint="eastAsia" w:ascii="宋体" w:hAnsi="宋体" w:cs="宋体"/>
          <w:color w:val="auto"/>
          <w:sz w:val="30"/>
          <w:szCs w:val="30"/>
          <w:highlight w:val="yellow"/>
          <w:lang w:eastAsia="zh-CN"/>
        </w:rPr>
        <w:t>）事业单位医疗（</w:t>
      </w:r>
      <w:r>
        <w:rPr>
          <w:rFonts w:hint="eastAsia" w:ascii="宋体" w:hAnsi="宋体" w:cs="宋体"/>
          <w:color w:val="auto"/>
          <w:sz w:val="30"/>
          <w:szCs w:val="30"/>
          <w:highlight w:val="yellow"/>
          <w:lang w:val="en-US" w:eastAsia="zh-CN"/>
        </w:rPr>
        <w:t>项</w:t>
      </w:r>
      <w:r>
        <w:rPr>
          <w:rFonts w:hint="eastAsia" w:ascii="宋体" w:hAnsi="宋体" w:cs="宋体"/>
          <w:color w:val="auto"/>
          <w:sz w:val="30"/>
          <w:szCs w:val="30"/>
          <w:highlight w:val="yellow"/>
          <w:lang w:eastAsia="zh-CN"/>
        </w:rPr>
        <w:t>）</w:t>
      </w:r>
      <w:r>
        <w:rPr>
          <w:rFonts w:hint="eastAsia" w:ascii="Times New Roman" w:hAnsi="Times New Roman" w:eastAsia="仿宋_GB2312" w:cs="Times New Roman"/>
          <w:color w:val="auto"/>
          <w:sz w:val="32"/>
          <w:szCs w:val="32"/>
          <w:highlight w:val="yellow"/>
        </w:rPr>
        <w:t>2024年预算数为180.06万元，比上年预算数增加20.23万元，主要是学校2023年新调入教职工导致基本医疗保险支出增加。</w:t>
      </w:r>
    </w:p>
    <w:p>
      <w:pPr>
        <w:pStyle w:val="4"/>
        <w:spacing w:line="560" w:lineRule="exact"/>
        <w:ind w:firstLine="640" w:firstLineChars="200"/>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highlight w:val="yellow"/>
          <w:lang w:val="en-US" w:eastAsia="zh-CN"/>
        </w:rPr>
        <w:t>8</w:t>
      </w:r>
      <w:r>
        <w:rPr>
          <w:rFonts w:hint="eastAsia" w:ascii="Times New Roman" w:hAnsi="Times New Roman" w:eastAsia="仿宋_GB2312" w:cs="Times New Roman"/>
          <w:sz w:val="32"/>
          <w:szCs w:val="32"/>
          <w:highlight w:val="yellow"/>
        </w:rPr>
        <w:t>.</w:t>
      </w:r>
      <w:r>
        <w:rPr>
          <w:rFonts w:hint="eastAsia" w:ascii="宋体" w:hAnsi="宋体" w:cs="宋体"/>
          <w:sz w:val="30"/>
          <w:szCs w:val="30"/>
          <w:highlight w:val="yellow"/>
        </w:rPr>
        <w:t>农林水支出</w:t>
      </w:r>
      <w:r>
        <w:rPr>
          <w:rFonts w:hint="eastAsia" w:ascii="宋体" w:hAnsi="宋体" w:cs="宋体"/>
          <w:sz w:val="30"/>
          <w:szCs w:val="30"/>
          <w:highlight w:val="yellow"/>
          <w:lang w:eastAsia="zh-CN"/>
        </w:rPr>
        <w:t>（</w:t>
      </w:r>
      <w:r>
        <w:rPr>
          <w:rFonts w:hint="eastAsia" w:ascii="宋体" w:hAnsi="宋体" w:cs="宋体"/>
          <w:sz w:val="30"/>
          <w:szCs w:val="30"/>
          <w:highlight w:val="yellow"/>
          <w:lang w:val="en-US" w:eastAsia="zh-CN"/>
        </w:rPr>
        <w:t>类</w:t>
      </w:r>
      <w:r>
        <w:rPr>
          <w:rFonts w:hint="eastAsia" w:ascii="宋体" w:hAnsi="宋体" w:cs="宋体"/>
          <w:sz w:val="30"/>
          <w:szCs w:val="30"/>
          <w:highlight w:val="yellow"/>
          <w:lang w:eastAsia="zh-CN"/>
        </w:rPr>
        <w:t>）巩固脱贫攻坚成果衔接乡村振兴（</w:t>
      </w:r>
      <w:r>
        <w:rPr>
          <w:rFonts w:hint="eastAsia" w:ascii="宋体" w:hAnsi="宋体" w:cs="宋体"/>
          <w:sz w:val="30"/>
          <w:szCs w:val="30"/>
          <w:highlight w:val="yellow"/>
          <w:lang w:val="en-US" w:eastAsia="zh-CN"/>
        </w:rPr>
        <w:t>款</w:t>
      </w:r>
      <w:r>
        <w:rPr>
          <w:rFonts w:hint="eastAsia" w:ascii="宋体" w:hAnsi="宋体" w:cs="宋体"/>
          <w:sz w:val="30"/>
          <w:szCs w:val="30"/>
          <w:highlight w:val="yellow"/>
          <w:lang w:eastAsia="zh-CN"/>
        </w:rPr>
        <w:t>）社会发展（</w:t>
      </w:r>
      <w:r>
        <w:rPr>
          <w:rFonts w:hint="eastAsia" w:ascii="宋体" w:hAnsi="宋体" w:cs="宋体"/>
          <w:sz w:val="30"/>
          <w:szCs w:val="30"/>
          <w:highlight w:val="yellow"/>
          <w:lang w:val="en-US" w:eastAsia="zh-CN"/>
        </w:rPr>
        <w:t>项</w:t>
      </w:r>
      <w:r>
        <w:rPr>
          <w:rFonts w:hint="eastAsia" w:ascii="宋体" w:hAnsi="宋体" w:cs="宋体"/>
          <w:sz w:val="30"/>
          <w:szCs w:val="30"/>
          <w:highlight w:val="yellow"/>
          <w:lang w:eastAsia="zh-CN"/>
        </w:rPr>
        <w:t>）</w:t>
      </w:r>
      <w:r>
        <w:rPr>
          <w:rFonts w:hint="eastAsia" w:ascii="Times New Roman" w:hAnsi="Times New Roman" w:eastAsia="仿宋_GB2312" w:cs="Times New Roman"/>
          <w:sz w:val="32"/>
          <w:szCs w:val="32"/>
          <w:highlight w:val="yellow"/>
        </w:rPr>
        <w:t>2024年预算数为1102万元，比上年预算数减少870万元，主要是乡村振兴电视夜校项目</w:t>
      </w:r>
      <w:r>
        <w:rPr>
          <w:rFonts w:hint="eastAsia" w:ascii="Times New Roman" w:hAnsi="Times New Roman" w:eastAsia="仿宋_GB2312" w:cs="Times New Roman"/>
          <w:sz w:val="32"/>
          <w:szCs w:val="32"/>
          <w:highlight w:val="yellow"/>
          <w:lang w:val="en-US" w:eastAsia="zh-CN"/>
        </w:rPr>
        <w:t>资金</w:t>
      </w:r>
      <w:r>
        <w:rPr>
          <w:rFonts w:hint="eastAsia" w:ascii="Times New Roman" w:hAnsi="Times New Roman" w:eastAsia="仿宋_GB2312" w:cs="Times New Roman"/>
          <w:sz w:val="32"/>
          <w:szCs w:val="32"/>
          <w:highlight w:val="yellow"/>
        </w:rPr>
        <w:t>减少。</w:t>
      </w:r>
    </w:p>
    <w:p>
      <w:pPr>
        <w:pStyle w:val="4"/>
        <w:spacing w:line="560" w:lineRule="exact"/>
        <w:ind w:firstLine="640" w:firstLineChars="200"/>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highlight w:val="yellow"/>
          <w:lang w:val="en-US" w:eastAsia="zh-CN"/>
        </w:rPr>
        <w:t>9</w:t>
      </w:r>
      <w:bookmarkStart w:id="0" w:name="_GoBack"/>
      <w:bookmarkEnd w:id="0"/>
      <w:r>
        <w:rPr>
          <w:rFonts w:hint="eastAsia" w:ascii="Times New Roman" w:hAnsi="Times New Roman" w:eastAsia="仿宋_GB2312" w:cs="Times New Roman"/>
          <w:sz w:val="32"/>
          <w:szCs w:val="32"/>
          <w:highlight w:val="yellow"/>
        </w:rPr>
        <w:t>.</w:t>
      </w:r>
      <w:r>
        <w:rPr>
          <w:rFonts w:hint="eastAsia"/>
          <w:kern w:val="2"/>
          <w:sz w:val="30"/>
          <w:szCs w:val="30"/>
          <w:highlight w:val="yellow"/>
        </w:rPr>
        <w:t>住房保障支出</w:t>
      </w:r>
      <w:r>
        <w:rPr>
          <w:rFonts w:hint="eastAsia"/>
          <w:kern w:val="2"/>
          <w:sz w:val="30"/>
          <w:szCs w:val="30"/>
          <w:highlight w:val="yellow"/>
          <w:lang w:eastAsia="zh-CN"/>
        </w:rPr>
        <w:t>（</w:t>
      </w:r>
      <w:r>
        <w:rPr>
          <w:rFonts w:hint="eastAsia"/>
          <w:kern w:val="2"/>
          <w:sz w:val="30"/>
          <w:szCs w:val="30"/>
          <w:highlight w:val="yellow"/>
          <w:lang w:val="en-US" w:eastAsia="zh-CN"/>
        </w:rPr>
        <w:t>类</w:t>
      </w:r>
      <w:r>
        <w:rPr>
          <w:rFonts w:hint="eastAsia"/>
          <w:kern w:val="2"/>
          <w:sz w:val="30"/>
          <w:szCs w:val="30"/>
          <w:highlight w:val="yellow"/>
          <w:lang w:eastAsia="zh-CN"/>
        </w:rPr>
        <w:t>）住房改革支出（</w:t>
      </w:r>
      <w:r>
        <w:rPr>
          <w:rFonts w:hint="eastAsia"/>
          <w:kern w:val="2"/>
          <w:sz w:val="30"/>
          <w:szCs w:val="30"/>
          <w:highlight w:val="yellow"/>
          <w:lang w:val="en-US" w:eastAsia="zh-CN"/>
        </w:rPr>
        <w:t>款</w:t>
      </w:r>
      <w:r>
        <w:rPr>
          <w:rFonts w:hint="eastAsia"/>
          <w:kern w:val="2"/>
          <w:sz w:val="30"/>
          <w:szCs w:val="30"/>
          <w:highlight w:val="yellow"/>
          <w:lang w:eastAsia="zh-CN"/>
        </w:rPr>
        <w:t>）住房公积金（</w:t>
      </w:r>
      <w:r>
        <w:rPr>
          <w:rFonts w:hint="eastAsia"/>
          <w:kern w:val="2"/>
          <w:sz w:val="30"/>
          <w:szCs w:val="30"/>
          <w:highlight w:val="yellow"/>
          <w:lang w:val="en-US" w:eastAsia="zh-CN"/>
        </w:rPr>
        <w:t>项</w:t>
      </w:r>
      <w:r>
        <w:rPr>
          <w:rFonts w:hint="eastAsia"/>
          <w:kern w:val="2"/>
          <w:sz w:val="30"/>
          <w:szCs w:val="30"/>
          <w:highlight w:val="yellow"/>
          <w:lang w:eastAsia="zh-CN"/>
        </w:rPr>
        <w:t>）</w:t>
      </w:r>
      <w:r>
        <w:rPr>
          <w:rFonts w:hint="eastAsia" w:ascii="Times New Roman" w:hAnsi="Times New Roman" w:eastAsia="仿宋_GB2312" w:cs="Times New Roman"/>
          <w:sz w:val="32"/>
          <w:szCs w:val="32"/>
          <w:highlight w:val="yellow"/>
        </w:rPr>
        <w:t>2024年预算数为301.68万元，比上年预算数增加27.87万元，主要是新调入教职工导致住房公积金增加。</w:t>
      </w:r>
    </w:p>
    <w:p>
      <w:pPr>
        <w:ind w:firstLine="640"/>
        <w:rPr>
          <w:rFonts w:hint="eastAsia" w:ascii="黑体" w:hAnsi="黑体" w:eastAsia="黑体"/>
          <w:sz w:val="32"/>
          <w:szCs w:val="32"/>
        </w:rPr>
      </w:pPr>
      <w:r>
        <w:rPr>
          <w:rFonts w:hint="eastAsia" w:ascii="黑体" w:hAnsi="黑体" w:eastAsia="黑体"/>
          <w:sz w:val="32"/>
          <w:szCs w:val="32"/>
        </w:rPr>
        <w:t>三、关于海南开放大学单位2024年一般公共预算基本支出情况说明</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海南开放大学单位2024年一般公共预算基本支出为4813.78万元，其中：</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1.人员经费3793.02万元，主要包括：基本工资、津贴补贴、奖金、社会保障缴费、住房公积金、其他工作福利支出、离休费等等</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2.公用经费1020.76万元，主要包括：办公费、咨询费、手续费、水费、电费、差旅费、物业管理费、劳务费、其他商品和服务支出等等。</w:t>
      </w:r>
    </w:p>
    <w:p>
      <w:pPr>
        <w:ind w:firstLine="640"/>
        <w:rPr>
          <w:rFonts w:hint="eastAsia" w:ascii="黑体" w:hAnsi="黑体" w:eastAsia="黑体"/>
          <w:sz w:val="32"/>
          <w:szCs w:val="32"/>
        </w:rPr>
      </w:pPr>
      <w:r>
        <w:rPr>
          <w:rFonts w:hint="eastAsia" w:ascii="黑体" w:hAnsi="黑体" w:eastAsia="黑体"/>
          <w:sz w:val="32"/>
          <w:szCs w:val="32"/>
        </w:rPr>
        <w:t>四、海南开放大学单位2024年“三公”经费预算情况说明</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（一）海南开放大学单位2024年一般公共预算“三公”经费预算数为21.61万元。其中：</w:t>
      </w:r>
    </w:p>
    <w:p>
      <w:pPr>
        <w:pStyle w:val="4"/>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因公出国（境）经费预算0.66万元，与上年预算持平。根据我校将根据办学需要的2024年出国计划，</w:t>
      </w:r>
      <w:r>
        <w:rPr>
          <w:rFonts w:ascii="Times New Roman" w:hAnsi="Times New Roman" w:eastAsia="仿宋_GB2312" w:cs="Times New Roman"/>
          <w:color w:val="000000" w:themeColor="text1"/>
          <w:sz w:val="32"/>
          <w:shd w:val="clear" w:color="auto" w:fill="FFFFFF"/>
          <w14:textFill>
            <w14:solidFill>
              <w14:schemeClr w14:val="tx1"/>
            </w14:solidFill>
          </w14:textFill>
        </w:rPr>
        <w:t>拟安排出国（境）</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团（</w:t>
      </w:r>
      <w:r>
        <w:rPr>
          <w:rFonts w:ascii="Times New Roman" w:hAnsi="Times New Roman" w:eastAsia="仿宋_GB2312" w:cs="Times New Roman"/>
          <w:color w:val="000000" w:themeColor="text1"/>
          <w:sz w:val="32"/>
          <w:shd w:val="clear" w:color="auto" w:fill="FFFFFF"/>
          <w14:textFill>
            <w14:solidFill>
              <w14:schemeClr w14:val="tx1"/>
            </w14:solidFill>
          </w14:textFill>
        </w:rPr>
        <w:t>组</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）2</w:t>
      </w:r>
      <w:r>
        <w:rPr>
          <w:rFonts w:ascii="Times New Roman" w:hAnsi="Times New Roman" w:eastAsia="仿宋_GB2312" w:cs="Times New Roman"/>
          <w:color w:val="000000" w:themeColor="text1"/>
          <w:sz w:val="32"/>
          <w:shd w:val="clear" w:color="auto" w:fill="FFFFFF"/>
          <w14:textFill>
            <w14:solidFill>
              <w14:schemeClr w14:val="tx1"/>
            </w14:solidFill>
          </w14:textFill>
        </w:rPr>
        <w:t>次，出国（境）</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6</w:t>
      </w:r>
      <w:r>
        <w:rPr>
          <w:rFonts w:ascii="Times New Roman" w:hAnsi="Times New Roman" w:eastAsia="仿宋_GB2312" w:cs="Times New Roman"/>
          <w:color w:val="000000" w:themeColor="text1"/>
          <w:sz w:val="32"/>
          <w:shd w:val="clear" w:color="auto" w:fill="FFFFFF"/>
          <w14:textFill>
            <w14:solidFill>
              <w14:schemeClr w14:val="tx1"/>
            </w14:solidFill>
          </w14:textFill>
        </w:rPr>
        <w:t>人</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。出国（境）团（组）主要包括：</w:t>
      </w:r>
      <w:r>
        <w:rPr>
          <w:rFonts w:hint="eastAsia" w:ascii="Times New Roman" w:hAnsi="Times New Roman" w:eastAsia="仿宋_GB2312" w:cs="Times New Roman"/>
          <w:sz w:val="32"/>
          <w:szCs w:val="32"/>
        </w:rPr>
        <w:t>1.新加坡团组：目的地为新加坡，人数为6人，天数为5天（含离抵时间），主要任务为：针对农产品跨境贸易、电商平台及管理考察访问，与高校教师团队开展人才培养、学科建设、学术交流及实地参观等；2.香港团组：目的地为香港，人数为6人，天数为5天（含离抵时间），主要任务为：针对终身教育等考察访问，与高校教师团队开展人才培养、学科建设、学术交流及实地参观等。公务用车购置及运行费12.75万元，增幅0%。与上年预算持平；公务车目前保有辆5辆。我校将严格控制公务用车使用，审批更为规范，控制了车辆运行成本支出。公务接待费8.2万元，与上年预算持平。2024年我校计划接待5批次，25人次。我校将继续严格规范公务接待审批程序。</w:t>
      </w:r>
    </w:p>
    <w:p>
      <w:pPr>
        <w:ind w:firstLine="640" w:firstLineChars="200"/>
        <w:rPr>
          <w:rFonts w:hint="eastAsia" w:ascii="仿宋_GB2312" w:hAnsi="黑体"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sz w:val="32"/>
          <w:szCs w:val="32"/>
        </w:rPr>
        <w:t>（二）海南开放大学单位2024年政府性基金预算“三公”经费预算数</w:t>
      </w:r>
      <w:r>
        <w:rPr>
          <w:rFonts w:hint="eastAsia" w:ascii="仿宋_GB2312" w:hAnsi="黑体" w:eastAsia="仿宋_GB2312"/>
          <w:color w:val="000000" w:themeColor="text1"/>
          <w:sz w:val="32"/>
          <w:szCs w:val="32"/>
          <w14:textFill>
            <w14:solidFill>
              <w14:schemeClr w14:val="tx1"/>
            </w14:solidFill>
          </w14:textFill>
        </w:rPr>
        <w:t>为</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万元，其中：</w:t>
      </w:r>
    </w:p>
    <w:p>
      <w:pPr>
        <w:pStyle w:val="4"/>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color w:val="000000" w:themeColor="text1"/>
          <w:sz w:val="32"/>
          <w:shd w:val="clear" w:color="auto" w:fill="FFFFFF"/>
          <w14:textFill>
            <w14:solidFill>
              <w14:schemeClr w14:val="tx1"/>
            </w14:solidFill>
          </w14:textFill>
        </w:rPr>
        <w:t>因公出国（境）经费</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w:t>
      </w:r>
      <w:r>
        <w:rPr>
          <w:rFonts w:ascii="Times New Roman" w:hAnsi="Times New Roman" w:eastAsia="仿宋_GB2312" w:cs="Times New Roman"/>
          <w:color w:val="000000" w:themeColor="text1"/>
          <w:sz w:val="32"/>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上</w:t>
      </w:r>
      <w:r>
        <w:rPr>
          <w:rFonts w:ascii="Times New Roman" w:hAnsi="Times New Roman" w:eastAsia="仿宋_GB2312" w:cs="Times New Roman"/>
          <w:color w:val="000000" w:themeColor="text1"/>
          <w:sz w:val="32"/>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w:t>
      </w:r>
      <w:r>
        <w:rPr>
          <w:rFonts w:ascii="Times New Roman" w:hAnsi="Times New Roman" w:eastAsia="仿宋_GB2312" w:cs="Times New Roman"/>
          <w:color w:val="000000" w:themeColor="text1"/>
          <w:sz w:val="32"/>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14:textFill>
            <w14:solidFill>
              <w14:schemeClr w14:val="tx1"/>
            </w14:solidFill>
          </w14:textFill>
        </w:rPr>
        <w:t>2024</w:t>
      </w:r>
      <w:r>
        <w:rPr>
          <w:rFonts w:ascii="Times New Roman" w:hAnsi="Times New Roman" w:eastAsia="仿宋_GB2312" w:cs="Times New Roman"/>
          <w:color w:val="000000" w:themeColor="text1"/>
          <w:sz w:val="32"/>
          <w:shd w:val="clear" w:color="auto" w:fill="FFFFFF"/>
          <w14:textFill>
            <w14:solidFill>
              <w14:schemeClr w14:val="tx1"/>
            </w14:solidFill>
          </w14:textFill>
        </w:rPr>
        <w:t>年出国计划，拟安排出国（境）组</w:t>
      </w:r>
      <w:r>
        <w:rPr>
          <w:rFonts w:hint="eastAsia" w:ascii="仿宋_GB2312" w:hAnsi="黑体" w:eastAsia="仿宋_GB2312" w:cs="仿宋_GB2312"/>
          <w:color w:val="000000" w:themeColor="text1"/>
          <w:sz w:val="32"/>
          <w:szCs w:val="32"/>
          <w14:textFill>
            <w14:solidFill>
              <w14:schemeClr w14:val="tx1"/>
            </w14:solidFill>
          </w14:textFill>
        </w:rPr>
        <w:t>0</w:t>
      </w:r>
      <w:r>
        <w:rPr>
          <w:rFonts w:ascii="Times New Roman" w:hAnsi="Times New Roman" w:eastAsia="仿宋_GB2312" w:cs="Times New Roman"/>
          <w:color w:val="000000" w:themeColor="text1"/>
          <w:sz w:val="32"/>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14:textFill>
            <w14:solidFill>
              <w14:schemeClr w14:val="tx1"/>
            </w14:solidFill>
          </w14:textFill>
        </w:rPr>
        <w:t>0</w:t>
      </w:r>
      <w:r>
        <w:rPr>
          <w:rFonts w:ascii="Times New Roman" w:hAnsi="Times New Roman" w:eastAsia="仿宋_GB2312" w:cs="Times New Roman"/>
          <w:color w:val="000000" w:themeColor="text1"/>
          <w:sz w:val="32"/>
          <w:shd w:val="clear" w:color="auto" w:fill="FFFFFF"/>
          <w14:textFill>
            <w14:solidFill>
              <w14:schemeClr w14:val="tx1"/>
            </w14:solidFill>
          </w14:textFill>
        </w:rPr>
        <w:t>人。公务用车购置及运行费</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万元（其中，</w:t>
      </w:r>
      <w:r>
        <w:rPr>
          <w:rFonts w:ascii="Times New Roman" w:hAnsi="Times New Roman" w:eastAsia="仿宋_GB2312" w:cs="Times New Roman"/>
          <w:color w:val="000000" w:themeColor="text1"/>
          <w:sz w:val="32"/>
          <w:shd w:val="clear" w:color="auto" w:fill="FFFFFF"/>
          <w14:textFill>
            <w14:solidFill>
              <w14:schemeClr w14:val="tx1"/>
            </w14:solidFill>
          </w14:textFill>
        </w:rPr>
        <w:t>公务用车购置</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费</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，公务用车</w:t>
      </w:r>
      <w:r>
        <w:rPr>
          <w:rFonts w:ascii="Times New Roman" w:hAnsi="Times New Roman" w:eastAsia="仿宋_GB2312" w:cs="Times New Roman"/>
          <w:color w:val="000000" w:themeColor="text1"/>
          <w:sz w:val="32"/>
          <w:shd w:val="clear" w:color="auto" w:fill="FFFFFF"/>
          <w14:textFill>
            <w14:solidFill>
              <w14:schemeClr w14:val="tx1"/>
            </w14:solidFill>
          </w14:textFill>
        </w:rPr>
        <w:t>运行费</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w:t>
      </w:r>
      <w:r>
        <w:rPr>
          <w:rFonts w:ascii="Times New Roman" w:hAnsi="Times New Roman" w:eastAsia="仿宋_GB2312" w:cs="Times New Roman"/>
          <w:color w:val="000000" w:themeColor="text1"/>
          <w:sz w:val="32"/>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上</w:t>
      </w:r>
      <w:r>
        <w:rPr>
          <w:rFonts w:ascii="Times New Roman" w:hAnsi="Times New Roman" w:eastAsia="仿宋_GB2312" w:cs="Times New Roman"/>
          <w:color w:val="000000" w:themeColor="text1"/>
          <w:sz w:val="32"/>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；公务车保有量</w:t>
      </w:r>
      <w:r>
        <w:rPr>
          <w:rFonts w:hint="eastAsia" w:ascii="仿宋_GB2312" w:hAnsi="黑体" w:eastAsia="仿宋_GB2312" w:cs="仿宋_GB2312"/>
          <w:color w:val="000000" w:themeColor="text1"/>
          <w:sz w:val="32"/>
          <w:szCs w:val="32"/>
          <w14:textFill>
            <w14:solidFill>
              <w14:schemeClr w14:val="tx1"/>
            </w14:solidFill>
          </w14:textFill>
        </w:rPr>
        <w:t>0辆，计划购置0辆</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w:t>
      </w:r>
      <w:r>
        <w:rPr>
          <w:rFonts w:ascii="仿宋_GB2312" w:hAnsi="黑体" w:eastAsia="仿宋_GB2312" w:cs="Times New Roman"/>
          <w:color w:val="000000" w:themeColor="text1"/>
          <w:sz w:val="32"/>
          <w:szCs w:val="32"/>
          <w14:textFill>
            <w14:solidFill>
              <w14:schemeClr w14:val="tx1"/>
            </w14:solidFill>
          </w14:textFill>
        </w:rPr>
        <w:t>公务接待费</w:t>
      </w:r>
      <w:r>
        <w:rPr>
          <w:rFonts w:hint="eastAsia" w:ascii="仿宋_GB2312" w:hAnsi="黑体" w:eastAsia="仿宋_GB2312" w:cs="仿宋_GB2312"/>
          <w:color w:val="000000" w:themeColor="text1"/>
          <w:sz w:val="32"/>
          <w:szCs w:val="32"/>
          <w14:textFill>
            <w14:solidFill>
              <w14:schemeClr w14:val="tx1"/>
            </w14:solidFill>
          </w14:textFill>
        </w:rPr>
        <w:t>0</w:t>
      </w:r>
      <w:r>
        <w:rPr>
          <w:rFonts w:ascii="Times New Roman" w:hAnsi="Times New Roman" w:eastAsia="仿宋_GB2312" w:cs="Times New Roman"/>
          <w:color w:val="000000" w:themeColor="text1"/>
          <w:sz w:val="32"/>
          <w:shd w:val="clear" w:color="auto" w:fill="FFFFFF"/>
          <w14:textFill>
            <w14:solidFill>
              <w14:schemeClr w14:val="tx1"/>
            </w14:solidFill>
          </w14:textFill>
        </w:rPr>
        <w:t>万元，与</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上</w:t>
      </w:r>
      <w:r>
        <w:rPr>
          <w:rFonts w:ascii="Times New Roman" w:hAnsi="Times New Roman" w:eastAsia="仿宋_GB2312" w:cs="Times New Roman"/>
          <w:color w:val="000000" w:themeColor="text1"/>
          <w:sz w:val="32"/>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，计划接待</w:t>
      </w:r>
      <w:r>
        <w:rPr>
          <w:rFonts w:hint="eastAsia" w:ascii="仿宋_GB2312" w:hAnsi="黑体" w:eastAsia="仿宋_GB2312" w:cs="仿宋_GB2312"/>
          <w:color w:val="000000" w:themeColor="text1"/>
          <w:sz w:val="32"/>
          <w:szCs w:val="32"/>
          <w14:textFill>
            <w14:solidFill>
              <w14:schemeClr w14:val="tx1"/>
            </w14:solidFill>
          </w14:textFill>
        </w:rPr>
        <w:t>0批0人</w:t>
      </w:r>
      <w:r>
        <w:rPr>
          <w:rFonts w:hint="eastAsia" w:ascii="Times New Roman" w:hAnsi="Times New Roman" w:eastAsia="仿宋_GB2312" w:cs="Times New Roman"/>
          <w:color w:val="000000" w:themeColor="text1"/>
          <w:sz w:val="32"/>
          <w:shd w:val="clear" w:color="auto" w:fill="FFFFFF"/>
          <w14:textFill>
            <w14:solidFill>
              <w14:schemeClr w14:val="tx1"/>
            </w14:solidFill>
          </w14:textFill>
        </w:rPr>
        <w:t>。</w:t>
      </w:r>
    </w:p>
    <w:p>
      <w:pPr>
        <w:ind w:firstLine="640"/>
        <w:rPr>
          <w:rFonts w:hint="eastAsia" w:ascii="黑体" w:hAnsi="黑体" w:eastAsia="黑体"/>
          <w:sz w:val="32"/>
          <w:szCs w:val="32"/>
        </w:rPr>
      </w:pPr>
      <w:r>
        <w:rPr>
          <w:rFonts w:hint="eastAsia" w:ascii="黑体" w:hAnsi="黑体" w:eastAsia="黑体"/>
          <w:sz w:val="32"/>
          <w:szCs w:val="32"/>
        </w:rPr>
        <w:t>五、关于海南开放大学单位2024年政府性基金预算情况的说明</w:t>
      </w:r>
    </w:p>
    <w:p>
      <w:pPr>
        <w:ind w:firstLine="640"/>
        <w:jc w:val="left"/>
        <w:rPr>
          <w:rFonts w:hint="eastAsia"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（一）政府性基金预算当年规模变化情况</w:t>
      </w:r>
    </w:p>
    <w:p>
      <w:pPr>
        <w:ind w:firstLine="640" w:firstLineChars="200"/>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黑体"/>
          <w:color w:val="000000" w:themeColor="text1"/>
          <w:sz w:val="32"/>
          <w:szCs w:val="32"/>
          <w14:textFill>
            <w14:solidFill>
              <w14:schemeClr w14:val="tx1"/>
            </w14:solidFill>
          </w14:textFill>
        </w:rPr>
        <w:t>海南开放大学单位</w:t>
      </w:r>
      <w:r>
        <w:rPr>
          <w:rFonts w:hint="eastAsia" w:ascii="仿宋_GB2312" w:hAnsi="黑体" w:eastAsia="仿宋_GB2312"/>
          <w:color w:val="000000" w:themeColor="text1"/>
          <w:sz w:val="32"/>
          <w:szCs w:val="32"/>
          <w14:textFill>
            <w14:solidFill>
              <w14:schemeClr w14:val="tx1"/>
            </w14:solidFill>
          </w14:textFill>
        </w:rPr>
        <w:t>2024年无政府性基金预算当年拨款</w:t>
      </w:r>
      <w:r>
        <w:rPr>
          <w:rFonts w:hint="eastAsia" w:ascii="仿宋_GB2312" w:hAnsi="黑体" w:eastAsia="仿宋_GB2312" w:cs="仿宋_GB2312"/>
          <w:color w:val="000000" w:themeColor="text1"/>
          <w:sz w:val="32"/>
          <w:szCs w:val="32"/>
          <w14:textFill>
            <w14:solidFill>
              <w14:schemeClr w14:val="tx1"/>
            </w14:solidFill>
          </w14:textFill>
        </w:rPr>
        <w:t>0</w:t>
      </w:r>
      <w:r>
        <w:rPr>
          <w:rFonts w:hint="eastAsia" w:ascii="仿宋_GB2312" w:hAnsi="黑体" w:eastAsia="仿宋_GB2312"/>
          <w:color w:val="000000" w:themeColor="text1"/>
          <w:sz w:val="32"/>
          <w:szCs w:val="32"/>
          <w14:textFill>
            <w14:solidFill>
              <w14:schemeClr w14:val="tx1"/>
            </w14:solidFill>
          </w14:textFill>
        </w:rPr>
        <w:t>万元，与上年持平。</w:t>
      </w:r>
    </w:p>
    <w:p>
      <w:pPr>
        <w:ind w:firstLine="640"/>
        <w:jc w:val="left"/>
        <w:rPr>
          <w:rFonts w:hint="eastAsia"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（二）政府性基金预算当年拨款结构情况</w:t>
      </w:r>
    </w:p>
    <w:p>
      <w:pPr>
        <w:spacing w:line="560" w:lineRule="exact"/>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海南开放大学单位2024年无政府性基金预算拨款。</w:t>
      </w:r>
    </w:p>
    <w:p>
      <w:pPr>
        <w:ind w:firstLine="640"/>
        <w:jc w:val="left"/>
        <w:rPr>
          <w:rFonts w:hint="eastAsia"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（三）政府性基金预算当年拨款具体使用情况</w:t>
      </w:r>
    </w:p>
    <w:p>
      <w:pPr>
        <w:spacing w:line="560" w:lineRule="exact"/>
        <w:ind w:firstLine="640" w:firstLineChars="200"/>
        <w:rPr>
          <w:rFonts w:ascii="宋体" w:cs="Times New Roman"/>
          <w:sz w:val="30"/>
          <w:szCs w:val="30"/>
        </w:rPr>
      </w:pPr>
      <w:r>
        <w:rPr>
          <w:rFonts w:hint="eastAsia" w:ascii="仿宋_GB2312" w:hAnsi="黑体" w:eastAsia="仿宋_GB2312" w:cs="仿宋_GB2312"/>
          <w:color w:val="000000" w:themeColor="text1"/>
          <w:sz w:val="32"/>
          <w:szCs w:val="32"/>
          <w14:textFill>
            <w14:solidFill>
              <w14:schemeClr w14:val="tx1"/>
            </w14:solidFill>
          </w14:textFill>
        </w:rPr>
        <w:t>海南开放大学单位2024年无政府性基金预算拨款。</w:t>
      </w:r>
    </w:p>
    <w:p>
      <w:pPr>
        <w:ind w:firstLine="640"/>
        <w:rPr>
          <w:rFonts w:hint="eastAsia" w:ascii="黑体" w:hAnsi="黑体" w:eastAsia="黑体"/>
          <w:sz w:val="32"/>
          <w:szCs w:val="32"/>
        </w:rPr>
      </w:pPr>
      <w:r>
        <w:rPr>
          <w:rFonts w:hint="eastAsia" w:ascii="黑体" w:hAnsi="黑体" w:eastAsia="黑体"/>
          <w:sz w:val="32"/>
          <w:szCs w:val="32"/>
        </w:rPr>
        <w:t>六、关于海南开放大学单位2024年收支预算情况的总体说明</w:t>
      </w:r>
    </w:p>
    <w:p>
      <w:pPr>
        <w:spacing w:line="600" w:lineRule="exact"/>
        <w:ind w:firstLine="640" w:firstLineChars="200"/>
        <w:rPr>
          <w:rFonts w:ascii="宋体" w:cs="Times New Roman"/>
          <w:sz w:val="30"/>
          <w:szCs w:val="30"/>
        </w:rPr>
      </w:pPr>
      <w:r>
        <w:rPr>
          <w:rFonts w:hint="eastAsia" w:ascii="仿宋_GB2312" w:hAnsi="黑体" w:eastAsia="仿宋_GB2312" w:cs="仿宋_GB2312"/>
          <w:color w:val="000000" w:themeColor="text1"/>
          <w:sz w:val="32"/>
          <w:szCs w:val="32"/>
          <w14:textFill>
            <w14:solidFill>
              <w14:schemeClr w14:val="tx1"/>
            </w14:solidFill>
          </w14:textFill>
        </w:rPr>
        <w:t>按照综合预算原则，海南开放大学所有收入和支出均纳入部门预算管理。收入包括：一般公共预算拨款收入，财政专户管理资金收入，其他收入；支出包括：教育支出、科学技术支出、社会保障和就业支出、卫生健康支出、农林水支出、住房保障支出。海南开放大学单位2024年收支总预算13740.02万元。</w:t>
      </w:r>
    </w:p>
    <w:p>
      <w:pPr>
        <w:ind w:firstLine="640"/>
        <w:rPr>
          <w:rFonts w:hint="eastAsia" w:ascii="黑体" w:hAnsi="黑体" w:eastAsia="黑体"/>
          <w:sz w:val="32"/>
          <w:szCs w:val="32"/>
        </w:rPr>
      </w:pPr>
      <w:r>
        <w:rPr>
          <w:rFonts w:hint="eastAsia" w:ascii="黑体" w:hAnsi="黑体" w:eastAsia="黑体"/>
          <w:sz w:val="32"/>
          <w:szCs w:val="32"/>
        </w:rPr>
        <w:t>七、关于海南开放大学单位2024年收入预算情况说明</w:t>
      </w:r>
    </w:p>
    <w:p>
      <w:pPr>
        <w:spacing w:line="600" w:lineRule="exact"/>
        <w:ind w:firstLine="640" w:firstLineChars="200"/>
        <w:rPr>
          <w:rFonts w:ascii="宋体" w:cs="Times New Roman"/>
          <w:sz w:val="30"/>
          <w:szCs w:val="30"/>
        </w:rPr>
      </w:pPr>
      <w:r>
        <w:rPr>
          <w:rFonts w:hint="eastAsia" w:ascii="仿宋_GB2312" w:hAnsi="黑体" w:eastAsia="仿宋_GB2312" w:cs="仿宋_GB2312"/>
          <w:color w:val="000000" w:themeColor="text1"/>
          <w:sz w:val="32"/>
          <w:szCs w:val="32"/>
          <w14:textFill>
            <w14:solidFill>
              <w14:schemeClr w14:val="tx1"/>
            </w14:solidFill>
          </w14:textFill>
        </w:rPr>
        <w:t>海南开放大学单位2024年收入预算13740.02万元，其中：上年结转3003.06万元，占21.85%；一般公共预算拨款收入7360.71万元，占53.57%；财政专户管理资金收入2800万元，占20.38%。其他收入576.25万元，占4.2%。</w:t>
      </w:r>
    </w:p>
    <w:p>
      <w:pPr>
        <w:ind w:firstLine="640"/>
        <w:rPr>
          <w:rFonts w:hint="eastAsia" w:ascii="黑体" w:hAnsi="黑体" w:eastAsia="黑体"/>
          <w:sz w:val="32"/>
          <w:szCs w:val="32"/>
        </w:rPr>
      </w:pPr>
      <w:r>
        <w:rPr>
          <w:rFonts w:hint="eastAsia" w:ascii="黑体" w:hAnsi="黑体" w:eastAsia="黑体"/>
          <w:sz w:val="32"/>
          <w:szCs w:val="32"/>
        </w:rPr>
        <w:t>八、关于海南开放大学单位2024年支出预算情况说明</w:t>
      </w:r>
    </w:p>
    <w:p>
      <w:pPr>
        <w:spacing w:line="600" w:lineRule="exact"/>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海南开放大学单位2024年支出预算 13740.02万元，其中基本支出9889.55万元，占比71.98%；项目支出3850.47万元，占比28.02%。比上年预算数13380.19万元增加359.83万元，主要是基本支出增加。</w:t>
      </w:r>
    </w:p>
    <w:p>
      <w:pPr>
        <w:numPr>
          <w:ilvl w:val="0"/>
          <w:numId w:val="5"/>
        </w:numPr>
        <w:ind w:firstLine="640"/>
        <w:rPr>
          <w:rFonts w:hint="eastAsia" w:ascii="黑体" w:hAnsi="黑体" w:eastAsia="黑体"/>
          <w:sz w:val="32"/>
          <w:szCs w:val="32"/>
        </w:rPr>
      </w:pPr>
      <w:r>
        <w:rPr>
          <w:rFonts w:hint="eastAsia" w:ascii="黑体" w:hAnsi="黑体" w:eastAsia="黑体"/>
          <w:sz w:val="32"/>
          <w:szCs w:val="32"/>
        </w:rPr>
        <w:t>其他重要事项的情况说明</w:t>
      </w:r>
    </w:p>
    <w:p>
      <w:pPr>
        <w:ind w:firstLine="640" w:firstLineChars="200"/>
        <w:rPr>
          <w:rFonts w:hint="eastAsia"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（一）机关运行经费</w:t>
      </w:r>
    </w:p>
    <w:p>
      <w:pPr>
        <w:spacing w:line="560" w:lineRule="exact"/>
        <w:ind w:firstLine="640" w:firstLineChars="200"/>
        <w:rPr>
          <w:rFonts w:hint="eastAsia" w:ascii="黑体" w:hAnsi="黑体" w:eastAsia="黑体"/>
          <w:sz w:val="32"/>
          <w:szCs w:val="32"/>
        </w:rPr>
      </w:pPr>
      <w:r>
        <w:rPr>
          <w:rFonts w:hint="eastAsia" w:ascii="仿宋_GB2312" w:hAnsi="黑体" w:eastAsia="仿宋_GB2312" w:cs="仿宋_GB2312"/>
          <w:color w:val="000000" w:themeColor="text1"/>
          <w:sz w:val="32"/>
          <w:szCs w:val="32"/>
          <w14:textFill>
            <w14:solidFill>
              <w14:schemeClr w14:val="tx1"/>
            </w14:solidFill>
          </w14:textFill>
        </w:rPr>
        <w:t>无此项经费。</w:t>
      </w:r>
    </w:p>
    <w:p>
      <w:pPr>
        <w:ind w:firstLine="640" w:firstLineChars="200"/>
        <w:rPr>
          <w:rFonts w:hint="eastAsia"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（二）政府采购情况</w:t>
      </w:r>
    </w:p>
    <w:p>
      <w:pPr>
        <w:spacing w:line="600" w:lineRule="exact"/>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2024年海南开放大学政府采购预算1994.1万元，其中工程采购预算556万元；货物采购预算203万元；服务采购预算1235.1万元。</w:t>
      </w:r>
    </w:p>
    <w:p>
      <w:pPr>
        <w:ind w:firstLine="640" w:firstLineChars="200"/>
        <w:rPr>
          <w:rFonts w:ascii="宋体" w:cs="Times New Roman"/>
          <w:sz w:val="30"/>
          <w:szCs w:val="30"/>
        </w:rPr>
      </w:pPr>
      <w:r>
        <w:rPr>
          <w:rFonts w:hint="eastAsia" w:ascii="楷体" w:hAnsi="楷体" w:eastAsia="楷体"/>
          <w:color w:val="000000" w:themeColor="text1"/>
          <w:sz w:val="32"/>
          <w:szCs w:val="32"/>
          <w14:textFill>
            <w14:solidFill>
              <w14:schemeClr w14:val="tx1"/>
            </w14:solidFill>
          </w14:textFill>
        </w:rPr>
        <w:t>（三）国有资产占有使用情况</w:t>
      </w:r>
    </w:p>
    <w:p>
      <w:pPr>
        <w:ind w:firstLine="640" w:firstLineChars="200"/>
        <w:rPr>
          <w:rFonts w:hint="eastAsia" w:ascii="宋体" w:hAnsi="宋体" w:cs="宋体"/>
          <w:sz w:val="30"/>
          <w:szCs w:val="30"/>
        </w:rPr>
      </w:pPr>
      <w:r>
        <w:rPr>
          <w:rFonts w:hint="eastAsia" w:ascii="仿宋_GB2312" w:hAnsi="黑体" w:eastAsia="仿宋_GB2312" w:cs="仿宋_GB2312"/>
          <w:color w:val="000000" w:themeColor="text1"/>
          <w:sz w:val="32"/>
          <w:szCs w:val="32"/>
          <w14:textFill>
            <w14:solidFill>
              <w14:schemeClr w14:val="tx1"/>
            </w14:solidFill>
          </w14:textFill>
        </w:rPr>
        <w:t>截至2023年12月31日，海南开放大学单位实有车辆5辆，均为其他用车。单位价值100万元以上设备0台（套）</w:t>
      </w:r>
      <w:r>
        <w:rPr>
          <w:rFonts w:hint="eastAsia" w:ascii="宋体" w:hAnsi="宋体" w:cs="宋体"/>
          <w:sz w:val="30"/>
          <w:szCs w:val="30"/>
        </w:rPr>
        <w:t>。</w:t>
      </w:r>
    </w:p>
    <w:p>
      <w:pPr>
        <w:widowControl/>
        <w:ind w:firstLine="640" w:firstLineChars="200"/>
        <w:jc w:val="left"/>
        <w:rPr>
          <w:rFonts w:hint="eastAsia"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（四）</w:t>
      </w:r>
      <w:r>
        <w:rPr>
          <w:rFonts w:hint="eastAsia" w:ascii="楷体" w:hAnsi="楷体" w:eastAsia="楷体" w:cs="黑体"/>
          <w:color w:val="000000" w:themeColor="text1"/>
          <w:sz w:val="32"/>
          <w:szCs w:val="32"/>
          <w:lang w:bidi="ar"/>
          <w14:textFill>
            <w14:solidFill>
              <w14:schemeClr w14:val="tx1"/>
            </w14:solidFill>
          </w14:textFill>
        </w:rPr>
        <w:t>绩效目标设置及重点项目绩效目标说明</w:t>
      </w:r>
    </w:p>
    <w:p>
      <w:pPr>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2024年海南开放大学单位34个（含2023年结转的1个项目）项目实行绩效管理，项目实行绩效目标管理，涉及一般公共预算拨款收入7360.71万元、政府性基金预算拨款收入0万元、财政专户管理资金收入2800万元，其他收入576.25万元、上年结转3003.06万元。</w:t>
      </w:r>
    </w:p>
    <w:p>
      <w:pPr>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 xml:space="preserve"> 其中，重点项目绩效情况：</w:t>
      </w:r>
    </w:p>
    <w:p>
      <w:pPr>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1.乡村振兴电视夜校项目，预算安排1102万元，主要用于海南省乡村振兴电视夜校工作经费，绩效目标是巩固脱贫攻坚战胜利成果，扎实推进脱贫致富和乡村振兴的有效衔接，帮助和指导人民群众发展乡村振兴。</w:t>
      </w:r>
    </w:p>
    <w:p>
      <w:pPr>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2.学生事务补助项目，预算安排602.3万元，主要用于补助海南省农村基层干部和先进群众提升学历教育学费和农民工圆梦项目学费，绩效目标是根据琼组通【2020】14号文件，从2020年至2025年，有步骤地扩大对农村党员干部和农民群众的大专学历教育和中等职业学历教育招生规模，探索开展大学本科学历教育。</w:t>
      </w:r>
    </w:p>
    <w:p>
      <w:pPr>
        <w:ind w:firstLine="640" w:firstLineChars="200"/>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3.信息系统运行维护项目，预算安排477.1万元，主要用于维护我校目前在用的各信息系统正常运转所需费用，绩效目标是确保已基本建设完成的学校各项教学业务及省远程教育网络深入开展基层党员教育工作，避免财政投入不足出现管理不到位现象，有必要每年安排相应的运行维护项目。信息系统运维工作对于提升海南开放大学信息化建设、教学网络现代化水平具有重要的意义，助力我省经济、文化，社会各项事业的发展。</w:t>
      </w:r>
    </w:p>
    <w:p>
      <w:pPr>
        <w:ind w:firstLine="600" w:firstLineChars="200"/>
        <w:rPr>
          <w:rFonts w:ascii="宋体" w:cs="Times New Roman"/>
          <w:sz w:val="30"/>
          <w:szCs w:val="30"/>
        </w:rPr>
      </w:pPr>
    </w:p>
    <w:p>
      <w:pPr>
        <w:ind w:firstLine="600" w:firstLineChars="200"/>
        <w:rPr>
          <w:rFonts w:ascii="宋体" w:cs="Times New Roman"/>
          <w:sz w:val="30"/>
          <w:szCs w:val="30"/>
        </w:rPr>
      </w:pPr>
    </w:p>
    <w:p>
      <w:pPr>
        <w:ind w:firstLine="600" w:firstLineChars="200"/>
        <w:rPr>
          <w:rFonts w:ascii="宋体" w:cs="Times New Roman"/>
          <w:sz w:val="30"/>
          <w:szCs w:val="30"/>
        </w:rPr>
      </w:pPr>
    </w:p>
    <w:p>
      <w:pPr>
        <w:jc w:val="center"/>
        <w:rPr>
          <w:rFonts w:hint="eastAsia"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hint="eastAsia" w:ascii="仿宋_GB2312" w:hAnsi="黑体" w:eastAsia="仿宋_GB2312" w:cs="仿宋_GB2312"/>
          <w:sz w:val="32"/>
          <w:szCs w:val="32"/>
        </w:rPr>
      </w:pPr>
    </w:p>
    <w:p>
      <w:pPr>
        <w:ind w:firstLine="640" w:firstLineChars="200"/>
        <w:jc w:val="left"/>
        <w:rPr>
          <w:rFonts w:hint="eastAsia" w:ascii="仿宋_GB2312" w:hAnsi="黑体" w:eastAsia="仿宋_GB2312" w:cs="仿宋_GB2312"/>
          <w:sz w:val="32"/>
          <w:szCs w:val="32"/>
        </w:rPr>
      </w:pPr>
    </w:p>
    <w:p>
      <w:pPr>
        <w:ind w:firstLine="600" w:firstLineChars="200"/>
        <w:jc w:val="left"/>
        <w:rPr>
          <w:rFonts w:ascii="宋体" w:cs="Times New Roman"/>
          <w:color w:val="000000"/>
          <w:kern w:val="0"/>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5F2330"/>
    <w:multiLevelType w:val="singleLevel"/>
    <w:tmpl w:val="EF5F2330"/>
    <w:lvl w:ilvl="0" w:tentative="0">
      <w:start w:val="9"/>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b w:val="0"/>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iYzAzZTI5ZjhkN2M3ZGQ3ZWYwYTVmYTJiNzY4OGYifQ=="/>
  </w:docVars>
  <w:rsids>
    <w:rsidRoot w:val="00234A83"/>
    <w:rsid w:val="000161BD"/>
    <w:rsid w:val="00022918"/>
    <w:rsid w:val="00023364"/>
    <w:rsid w:val="00027381"/>
    <w:rsid w:val="00033142"/>
    <w:rsid w:val="000464BD"/>
    <w:rsid w:val="00093463"/>
    <w:rsid w:val="000A787F"/>
    <w:rsid w:val="000D3C57"/>
    <w:rsid w:val="000D6B0B"/>
    <w:rsid w:val="00136C49"/>
    <w:rsid w:val="00160162"/>
    <w:rsid w:val="0017159A"/>
    <w:rsid w:val="001A3397"/>
    <w:rsid w:val="001A71B3"/>
    <w:rsid w:val="002024EE"/>
    <w:rsid w:val="00205819"/>
    <w:rsid w:val="00233664"/>
    <w:rsid w:val="00234A83"/>
    <w:rsid w:val="00250BF8"/>
    <w:rsid w:val="00275DFB"/>
    <w:rsid w:val="00297101"/>
    <w:rsid w:val="002A5E18"/>
    <w:rsid w:val="002B2CDD"/>
    <w:rsid w:val="002B73AF"/>
    <w:rsid w:val="002C0409"/>
    <w:rsid w:val="002E2FDC"/>
    <w:rsid w:val="00301335"/>
    <w:rsid w:val="00301D17"/>
    <w:rsid w:val="0030396C"/>
    <w:rsid w:val="0032092A"/>
    <w:rsid w:val="00321311"/>
    <w:rsid w:val="00337243"/>
    <w:rsid w:val="003405D1"/>
    <w:rsid w:val="00355C2E"/>
    <w:rsid w:val="00372924"/>
    <w:rsid w:val="003B597C"/>
    <w:rsid w:val="003C1702"/>
    <w:rsid w:val="003D710E"/>
    <w:rsid w:val="003E11C3"/>
    <w:rsid w:val="00411300"/>
    <w:rsid w:val="00426B28"/>
    <w:rsid w:val="004465DC"/>
    <w:rsid w:val="00454129"/>
    <w:rsid w:val="0047406C"/>
    <w:rsid w:val="004906B2"/>
    <w:rsid w:val="00493BB2"/>
    <w:rsid w:val="004A2D25"/>
    <w:rsid w:val="004A2F89"/>
    <w:rsid w:val="004A4184"/>
    <w:rsid w:val="004B7C7A"/>
    <w:rsid w:val="004C4E66"/>
    <w:rsid w:val="004D3723"/>
    <w:rsid w:val="004D41AD"/>
    <w:rsid w:val="004E23A0"/>
    <w:rsid w:val="004E7FB2"/>
    <w:rsid w:val="004F7083"/>
    <w:rsid w:val="00504D90"/>
    <w:rsid w:val="00512D4C"/>
    <w:rsid w:val="00601839"/>
    <w:rsid w:val="006525B6"/>
    <w:rsid w:val="00655BFA"/>
    <w:rsid w:val="0068195D"/>
    <w:rsid w:val="00692459"/>
    <w:rsid w:val="006E5467"/>
    <w:rsid w:val="006F78A7"/>
    <w:rsid w:val="0070314D"/>
    <w:rsid w:val="00720CEB"/>
    <w:rsid w:val="0072111B"/>
    <w:rsid w:val="007255ED"/>
    <w:rsid w:val="007325A9"/>
    <w:rsid w:val="00762879"/>
    <w:rsid w:val="007740C1"/>
    <w:rsid w:val="007744FA"/>
    <w:rsid w:val="007A1B4D"/>
    <w:rsid w:val="007A5934"/>
    <w:rsid w:val="007B47C7"/>
    <w:rsid w:val="007C7CE7"/>
    <w:rsid w:val="00804F1E"/>
    <w:rsid w:val="00811CC0"/>
    <w:rsid w:val="00811DE4"/>
    <w:rsid w:val="008327E7"/>
    <w:rsid w:val="008439D6"/>
    <w:rsid w:val="008617B7"/>
    <w:rsid w:val="00894913"/>
    <w:rsid w:val="008A3152"/>
    <w:rsid w:val="008A7CD8"/>
    <w:rsid w:val="008C54CF"/>
    <w:rsid w:val="008C733F"/>
    <w:rsid w:val="008E129F"/>
    <w:rsid w:val="008F3430"/>
    <w:rsid w:val="009072D7"/>
    <w:rsid w:val="009454B9"/>
    <w:rsid w:val="009D593C"/>
    <w:rsid w:val="009F32AF"/>
    <w:rsid w:val="00A031D7"/>
    <w:rsid w:val="00A22F72"/>
    <w:rsid w:val="00A52E44"/>
    <w:rsid w:val="00A72EC3"/>
    <w:rsid w:val="00AA107C"/>
    <w:rsid w:val="00AC5993"/>
    <w:rsid w:val="00AD7476"/>
    <w:rsid w:val="00AD7649"/>
    <w:rsid w:val="00B301F6"/>
    <w:rsid w:val="00B34FB7"/>
    <w:rsid w:val="00B52D47"/>
    <w:rsid w:val="00B76E6C"/>
    <w:rsid w:val="00B860AB"/>
    <w:rsid w:val="00B8766D"/>
    <w:rsid w:val="00B924EE"/>
    <w:rsid w:val="00BD7C81"/>
    <w:rsid w:val="00BE17CD"/>
    <w:rsid w:val="00C009E0"/>
    <w:rsid w:val="00C179A5"/>
    <w:rsid w:val="00C30118"/>
    <w:rsid w:val="00C34F8E"/>
    <w:rsid w:val="00C47B09"/>
    <w:rsid w:val="00C96704"/>
    <w:rsid w:val="00CA3872"/>
    <w:rsid w:val="00CA6889"/>
    <w:rsid w:val="00CA6B1C"/>
    <w:rsid w:val="00CC5262"/>
    <w:rsid w:val="00CE1E2E"/>
    <w:rsid w:val="00CE7B5D"/>
    <w:rsid w:val="00D12704"/>
    <w:rsid w:val="00D15E08"/>
    <w:rsid w:val="00D16F8B"/>
    <w:rsid w:val="00D2495E"/>
    <w:rsid w:val="00D24FE2"/>
    <w:rsid w:val="00D328DF"/>
    <w:rsid w:val="00D36F75"/>
    <w:rsid w:val="00D5526E"/>
    <w:rsid w:val="00D62F7F"/>
    <w:rsid w:val="00D641BC"/>
    <w:rsid w:val="00D719D5"/>
    <w:rsid w:val="00D9003C"/>
    <w:rsid w:val="00DA20C4"/>
    <w:rsid w:val="00DB236C"/>
    <w:rsid w:val="00DB7A88"/>
    <w:rsid w:val="00DC3170"/>
    <w:rsid w:val="00DC797D"/>
    <w:rsid w:val="00E04806"/>
    <w:rsid w:val="00E12A14"/>
    <w:rsid w:val="00E41B32"/>
    <w:rsid w:val="00E428B9"/>
    <w:rsid w:val="00E47CB7"/>
    <w:rsid w:val="00EB118A"/>
    <w:rsid w:val="00EC4737"/>
    <w:rsid w:val="00EE42F0"/>
    <w:rsid w:val="00EE4A47"/>
    <w:rsid w:val="00F04F43"/>
    <w:rsid w:val="00F05935"/>
    <w:rsid w:val="00F250B0"/>
    <w:rsid w:val="00F331EE"/>
    <w:rsid w:val="00F55389"/>
    <w:rsid w:val="00FE4419"/>
    <w:rsid w:val="014F1B37"/>
    <w:rsid w:val="015709C2"/>
    <w:rsid w:val="019D10E6"/>
    <w:rsid w:val="01FD7769"/>
    <w:rsid w:val="04383817"/>
    <w:rsid w:val="05285997"/>
    <w:rsid w:val="0DC52447"/>
    <w:rsid w:val="0E854778"/>
    <w:rsid w:val="0E932085"/>
    <w:rsid w:val="13AD5240"/>
    <w:rsid w:val="18076ED8"/>
    <w:rsid w:val="186F7B92"/>
    <w:rsid w:val="189F5AF1"/>
    <w:rsid w:val="18A17315"/>
    <w:rsid w:val="19515FA5"/>
    <w:rsid w:val="19A60CCB"/>
    <w:rsid w:val="19C4167D"/>
    <w:rsid w:val="1D1A712D"/>
    <w:rsid w:val="1D5846BF"/>
    <w:rsid w:val="1E1D55E8"/>
    <w:rsid w:val="1EB04EC4"/>
    <w:rsid w:val="20967DF0"/>
    <w:rsid w:val="219C04BF"/>
    <w:rsid w:val="22E115C7"/>
    <w:rsid w:val="259942B6"/>
    <w:rsid w:val="276E4735"/>
    <w:rsid w:val="29730DB9"/>
    <w:rsid w:val="2C0F5CA6"/>
    <w:rsid w:val="303922DA"/>
    <w:rsid w:val="32703AD2"/>
    <w:rsid w:val="32C12951"/>
    <w:rsid w:val="33CE022B"/>
    <w:rsid w:val="376760C4"/>
    <w:rsid w:val="378B1C80"/>
    <w:rsid w:val="37C009D7"/>
    <w:rsid w:val="37C13DB3"/>
    <w:rsid w:val="37E5144C"/>
    <w:rsid w:val="37F1649D"/>
    <w:rsid w:val="398E2B76"/>
    <w:rsid w:val="3E4E5DC2"/>
    <w:rsid w:val="3F105B57"/>
    <w:rsid w:val="3FA56B10"/>
    <w:rsid w:val="4099417E"/>
    <w:rsid w:val="40E449C1"/>
    <w:rsid w:val="41571C04"/>
    <w:rsid w:val="46B02416"/>
    <w:rsid w:val="46FD11B7"/>
    <w:rsid w:val="48750EDD"/>
    <w:rsid w:val="48C666CD"/>
    <w:rsid w:val="4AA22662"/>
    <w:rsid w:val="52BD7503"/>
    <w:rsid w:val="5371766C"/>
    <w:rsid w:val="5474289D"/>
    <w:rsid w:val="570F4108"/>
    <w:rsid w:val="579654B9"/>
    <w:rsid w:val="57E43EAB"/>
    <w:rsid w:val="59532FF5"/>
    <w:rsid w:val="5B53249E"/>
    <w:rsid w:val="5BBB3D00"/>
    <w:rsid w:val="5CBB651E"/>
    <w:rsid w:val="5E626AD9"/>
    <w:rsid w:val="5FB63223"/>
    <w:rsid w:val="611379E4"/>
    <w:rsid w:val="61211F58"/>
    <w:rsid w:val="62927DE3"/>
    <w:rsid w:val="65B86204"/>
    <w:rsid w:val="65CC6213"/>
    <w:rsid w:val="65E05E01"/>
    <w:rsid w:val="6B4F21E3"/>
    <w:rsid w:val="6C6125EE"/>
    <w:rsid w:val="6CEC5110"/>
    <w:rsid w:val="6E40472D"/>
    <w:rsid w:val="6E641451"/>
    <w:rsid w:val="6EC97112"/>
    <w:rsid w:val="71A4250E"/>
    <w:rsid w:val="733C1465"/>
    <w:rsid w:val="74293AE3"/>
    <w:rsid w:val="753968B9"/>
    <w:rsid w:val="78174B53"/>
    <w:rsid w:val="7A395A3C"/>
    <w:rsid w:val="7B347192"/>
    <w:rsid w:val="7D6C61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semiHidden/>
    <w:qFormat/>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列出段落1"/>
    <w:basedOn w:val="1"/>
    <w:qFormat/>
    <w:uiPriority w:val="99"/>
    <w:pPr>
      <w:ind w:firstLine="420" w:firstLineChars="200"/>
    </w:pPr>
  </w:style>
  <w:style w:type="character" w:customStyle="1" w:styleId="8">
    <w:name w:val="页眉 字符"/>
    <w:basedOn w:val="6"/>
    <w:link w:val="3"/>
    <w:semiHidden/>
    <w:qFormat/>
    <w:locked/>
    <w:uiPriority w:val="99"/>
    <w:rPr>
      <w:rFonts w:ascii="Calibri" w:hAnsi="Calibri" w:eastAsia="宋体" w:cs="Calibri"/>
      <w:sz w:val="18"/>
      <w:szCs w:val="18"/>
    </w:rPr>
  </w:style>
  <w:style w:type="character" w:customStyle="1" w:styleId="9">
    <w:name w:val="页脚 字符"/>
    <w:basedOn w:val="6"/>
    <w:link w:val="2"/>
    <w:semiHidden/>
    <w:qFormat/>
    <w:locked/>
    <w:uiPriority w:val="99"/>
    <w:rPr>
      <w:rFonts w:ascii="Calibri" w:hAnsi="Calibri" w:eastAsia="宋体" w:cs="Calibri"/>
      <w:sz w:val="18"/>
      <w:szCs w:val="18"/>
    </w:rPr>
  </w:style>
  <w:style w:type="paragraph" w:customStyle="1" w:styleId="10">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15</Pages>
  <Words>6021</Words>
  <Characters>6550</Characters>
  <Lines>45</Lines>
  <Paragraphs>12</Paragraphs>
  <TotalTime>1</TotalTime>
  <ScaleCrop>false</ScaleCrop>
  <LinksUpToDate>false</LinksUpToDate>
  <CharactersWithSpaces>6575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2021-02-19T01:48:00Z</dcterms:created>
  <dc:creator>微软用户</dc:creator>
  <cp:lastModifiedBy>DELL</cp:lastModifiedBy>
  <cp:lastPrinted>2021-02-08T12:02:00Z</cp:lastPrinted>
  <dcterms:modified xsi:type="dcterms:W3CDTF">2024-08-26T03:33:05Z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32402A3CC99B4D279C0C08E1AD98831A</vt:lpwstr>
  </property>
</Properties>
</file>