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CF54C0" w14:textId="77777777" w:rsidR="00853449" w:rsidRDefault="00000000">
      <w:pPr>
        <w:ind w:firstLine="723"/>
        <w:jc w:val="center"/>
        <w:rPr>
          <w:b/>
          <w:sz w:val="36"/>
          <w:szCs w:val="36"/>
        </w:rPr>
      </w:pPr>
      <w:r>
        <w:rPr>
          <w:rFonts w:hint="eastAsia"/>
          <w:b/>
          <w:sz w:val="36"/>
          <w:szCs w:val="36"/>
        </w:rPr>
        <w:t>2024</w:t>
      </w:r>
      <w:r>
        <w:rPr>
          <w:rFonts w:hint="eastAsia"/>
          <w:b/>
          <w:sz w:val="36"/>
          <w:szCs w:val="36"/>
        </w:rPr>
        <w:t>年海南大学预算公开（含附属幼儿园）</w:t>
      </w:r>
    </w:p>
    <w:p w14:paraId="60EA5D71" w14:textId="77777777" w:rsidR="00853449" w:rsidRDefault="00853449">
      <w:pPr>
        <w:ind w:firstLine="723"/>
        <w:jc w:val="center"/>
        <w:rPr>
          <w:b/>
          <w:sz w:val="36"/>
          <w:szCs w:val="36"/>
        </w:rPr>
      </w:pPr>
    </w:p>
    <w:p w14:paraId="7F8F2FDB" w14:textId="77777777" w:rsidR="00853449" w:rsidRDefault="00000000">
      <w:pPr>
        <w:spacing w:line="360" w:lineRule="auto"/>
        <w:ind w:firstLineChars="181" w:firstLine="579"/>
        <w:rPr>
          <w:sz w:val="32"/>
          <w:szCs w:val="32"/>
        </w:rPr>
      </w:pPr>
      <w:r>
        <w:rPr>
          <w:rFonts w:hint="eastAsia"/>
          <w:sz w:val="32"/>
          <w:szCs w:val="32"/>
        </w:rPr>
        <w:t>根据《海南省财政厅关于做好</w:t>
      </w:r>
      <w:r>
        <w:rPr>
          <w:rFonts w:hint="eastAsia"/>
          <w:sz w:val="32"/>
          <w:szCs w:val="32"/>
        </w:rPr>
        <w:t>2024</w:t>
      </w:r>
      <w:r>
        <w:rPr>
          <w:rFonts w:hint="eastAsia"/>
          <w:sz w:val="32"/>
          <w:szCs w:val="32"/>
        </w:rPr>
        <w:t>年预算公开工作的通知》（琼财支审〔</w:t>
      </w:r>
      <w:r>
        <w:rPr>
          <w:rFonts w:hint="eastAsia"/>
          <w:sz w:val="32"/>
          <w:szCs w:val="32"/>
        </w:rPr>
        <w:t>2024</w:t>
      </w:r>
      <w:r>
        <w:rPr>
          <w:rFonts w:hint="eastAsia"/>
          <w:sz w:val="32"/>
          <w:szCs w:val="32"/>
        </w:rPr>
        <w:t>〕</w:t>
      </w:r>
      <w:r>
        <w:rPr>
          <w:rFonts w:hint="eastAsia"/>
          <w:sz w:val="32"/>
          <w:szCs w:val="32"/>
        </w:rPr>
        <w:t>45</w:t>
      </w:r>
      <w:r>
        <w:rPr>
          <w:rFonts w:hint="eastAsia"/>
          <w:sz w:val="32"/>
          <w:szCs w:val="32"/>
        </w:rPr>
        <w:t>号）、《海南省教育厅关于</w:t>
      </w:r>
      <w:r>
        <w:rPr>
          <w:rFonts w:hint="eastAsia"/>
          <w:sz w:val="32"/>
          <w:szCs w:val="32"/>
        </w:rPr>
        <w:t>2024</w:t>
      </w:r>
      <w:r>
        <w:rPr>
          <w:rFonts w:hint="eastAsia"/>
          <w:sz w:val="32"/>
          <w:szCs w:val="32"/>
        </w:rPr>
        <w:t>年省本级教育部门预算公开的通知》（琼教财〔</w:t>
      </w:r>
      <w:r>
        <w:rPr>
          <w:rFonts w:hint="eastAsia"/>
          <w:sz w:val="32"/>
          <w:szCs w:val="32"/>
        </w:rPr>
        <w:t>2024</w:t>
      </w:r>
      <w:r>
        <w:rPr>
          <w:rFonts w:hint="eastAsia"/>
          <w:sz w:val="32"/>
          <w:szCs w:val="32"/>
        </w:rPr>
        <w:t>〕</w:t>
      </w:r>
      <w:r>
        <w:rPr>
          <w:rFonts w:hint="eastAsia"/>
          <w:sz w:val="32"/>
          <w:szCs w:val="32"/>
        </w:rPr>
        <w:t>11</w:t>
      </w:r>
      <w:r>
        <w:rPr>
          <w:rFonts w:hint="eastAsia"/>
          <w:sz w:val="32"/>
          <w:szCs w:val="32"/>
        </w:rPr>
        <w:t>号）、《海南省教育厅关于</w:t>
      </w:r>
      <w:r>
        <w:rPr>
          <w:rFonts w:hint="eastAsia"/>
          <w:sz w:val="32"/>
          <w:szCs w:val="32"/>
        </w:rPr>
        <w:t>2024</w:t>
      </w:r>
      <w:r>
        <w:rPr>
          <w:rFonts w:hint="eastAsia"/>
          <w:sz w:val="32"/>
          <w:szCs w:val="32"/>
        </w:rPr>
        <w:t>年省本级教育部门预算的批复》（琼教财〔</w:t>
      </w:r>
      <w:r>
        <w:rPr>
          <w:rFonts w:hint="eastAsia"/>
          <w:sz w:val="32"/>
          <w:szCs w:val="32"/>
        </w:rPr>
        <w:t>2024</w:t>
      </w:r>
      <w:r>
        <w:rPr>
          <w:rFonts w:hint="eastAsia"/>
          <w:sz w:val="32"/>
          <w:szCs w:val="32"/>
        </w:rPr>
        <w:t>〕</w:t>
      </w:r>
      <w:r>
        <w:rPr>
          <w:rFonts w:hint="eastAsia"/>
          <w:sz w:val="32"/>
          <w:szCs w:val="32"/>
        </w:rPr>
        <w:t>10</w:t>
      </w:r>
      <w:r>
        <w:rPr>
          <w:rFonts w:hint="eastAsia"/>
          <w:sz w:val="32"/>
          <w:szCs w:val="32"/>
        </w:rPr>
        <w:t>号）等文件要求，现将海南大学</w:t>
      </w:r>
      <w:r>
        <w:rPr>
          <w:rFonts w:hint="eastAsia"/>
          <w:sz w:val="32"/>
          <w:szCs w:val="32"/>
        </w:rPr>
        <w:t>2024</w:t>
      </w:r>
      <w:r>
        <w:rPr>
          <w:rFonts w:hint="eastAsia"/>
          <w:sz w:val="32"/>
          <w:szCs w:val="32"/>
        </w:rPr>
        <w:t>年度预算进行公开，具体见附件。</w:t>
      </w:r>
      <w:r>
        <w:rPr>
          <w:rFonts w:hint="eastAsia"/>
          <w:sz w:val="32"/>
          <w:szCs w:val="32"/>
        </w:rPr>
        <w:t xml:space="preserve"> </w:t>
      </w:r>
    </w:p>
    <w:p w14:paraId="1EFC86E0" w14:textId="77777777" w:rsidR="00853449" w:rsidRDefault="00000000">
      <w:pPr>
        <w:spacing w:line="360" w:lineRule="auto"/>
        <w:ind w:firstLineChars="181" w:firstLine="579"/>
        <w:rPr>
          <w:sz w:val="32"/>
          <w:szCs w:val="32"/>
        </w:rPr>
      </w:pPr>
      <w:r>
        <w:rPr>
          <w:rFonts w:hint="eastAsia"/>
          <w:sz w:val="32"/>
          <w:szCs w:val="32"/>
        </w:rPr>
        <w:t xml:space="preserve"> </w:t>
      </w:r>
    </w:p>
    <w:p w14:paraId="4C3608BF" w14:textId="77777777" w:rsidR="00853449" w:rsidRDefault="00853449">
      <w:pPr>
        <w:spacing w:line="360" w:lineRule="auto"/>
        <w:ind w:firstLineChars="181" w:firstLine="579"/>
        <w:rPr>
          <w:sz w:val="32"/>
          <w:szCs w:val="32"/>
        </w:rPr>
      </w:pPr>
    </w:p>
    <w:p w14:paraId="57CC20AF" w14:textId="77777777" w:rsidR="00853449" w:rsidRDefault="00000000">
      <w:pPr>
        <w:spacing w:line="360" w:lineRule="auto"/>
        <w:ind w:firstLine="640"/>
        <w:rPr>
          <w:sz w:val="32"/>
          <w:szCs w:val="32"/>
        </w:rPr>
      </w:pPr>
      <w:r>
        <w:rPr>
          <w:rFonts w:hint="eastAsia"/>
          <w:sz w:val="32"/>
          <w:szCs w:val="32"/>
        </w:rPr>
        <w:t xml:space="preserve">  </w:t>
      </w:r>
      <w:r>
        <w:rPr>
          <w:rFonts w:hint="eastAsia"/>
          <w:sz w:val="32"/>
          <w:szCs w:val="32"/>
        </w:rPr>
        <w:t>附件：</w:t>
      </w:r>
      <w:r>
        <w:rPr>
          <w:rFonts w:hint="eastAsia"/>
          <w:sz w:val="32"/>
          <w:szCs w:val="32"/>
        </w:rPr>
        <w:t xml:space="preserve"> 2024</w:t>
      </w:r>
      <w:r>
        <w:rPr>
          <w:rFonts w:hint="eastAsia"/>
          <w:sz w:val="32"/>
          <w:szCs w:val="32"/>
        </w:rPr>
        <w:t>年海南大学预算</w:t>
      </w:r>
      <w:r>
        <w:rPr>
          <w:rFonts w:hint="eastAsia"/>
          <w:sz w:val="32"/>
          <w:szCs w:val="32"/>
        </w:rPr>
        <w:t xml:space="preserve"> (</w:t>
      </w:r>
      <w:r>
        <w:rPr>
          <w:rFonts w:hint="eastAsia"/>
          <w:sz w:val="32"/>
          <w:szCs w:val="32"/>
        </w:rPr>
        <w:t>含附属幼儿园</w:t>
      </w:r>
      <w:r>
        <w:rPr>
          <w:rFonts w:hint="eastAsia"/>
          <w:sz w:val="32"/>
          <w:szCs w:val="32"/>
        </w:rPr>
        <w:t xml:space="preserve">)  </w:t>
      </w:r>
    </w:p>
    <w:p w14:paraId="4F6835A2" w14:textId="77777777" w:rsidR="00853449" w:rsidRDefault="00000000">
      <w:pPr>
        <w:spacing w:line="360" w:lineRule="auto"/>
        <w:ind w:firstLine="640"/>
        <w:rPr>
          <w:sz w:val="32"/>
          <w:szCs w:val="32"/>
        </w:rPr>
      </w:pPr>
      <w:r>
        <w:rPr>
          <w:rFonts w:hint="eastAsia"/>
          <w:sz w:val="32"/>
          <w:szCs w:val="32"/>
        </w:rPr>
        <w:t xml:space="preserve">                                </w:t>
      </w:r>
    </w:p>
    <w:p w14:paraId="7E88A442" w14:textId="77777777" w:rsidR="00853449" w:rsidRDefault="00000000">
      <w:pPr>
        <w:spacing w:line="360" w:lineRule="auto"/>
        <w:ind w:firstLineChars="1680" w:firstLine="5376"/>
        <w:rPr>
          <w:sz w:val="32"/>
          <w:szCs w:val="32"/>
        </w:rPr>
      </w:pPr>
      <w:r>
        <w:rPr>
          <w:rFonts w:hint="eastAsia"/>
          <w:sz w:val="32"/>
          <w:szCs w:val="32"/>
        </w:rPr>
        <w:t xml:space="preserve"> 2024</w:t>
      </w:r>
      <w:r>
        <w:rPr>
          <w:rFonts w:hint="eastAsia"/>
          <w:sz w:val="32"/>
          <w:szCs w:val="32"/>
        </w:rPr>
        <w:t>年</w:t>
      </w:r>
      <w:r>
        <w:rPr>
          <w:rFonts w:hint="eastAsia"/>
          <w:sz w:val="32"/>
          <w:szCs w:val="32"/>
        </w:rPr>
        <w:t>2</w:t>
      </w:r>
      <w:r>
        <w:rPr>
          <w:rFonts w:hint="eastAsia"/>
          <w:sz w:val="32"/>
          <w:szCs w:val="32"/>
        </w:rPr>
        <w:t>月</w:t>
      </w:r>
      <w:r>
        <w:rPr>
          <w:rFonts w:hint="eastAsia"/>
          <w:sz w:val="32"/>
          <w:szCs w:val="32"/>
        </w:rPr>
        <w:t>22</w:t>
      </w:r>
      <w:r>
        <w:rPr>
          <w:rFonts w:hint="eastAsia"/>
          <w:sz w:val="32"/>
          <w:szCs w:val="32"/>
        </w:rPr>
        <w:t>日</w:t>
      </w:r>
    </w:p>
    <w:p w14:paraId="0307E80F" w14:textId="77777777" w:rsidR="00853449" w:rsidRDefault="00853449">
      <w:pPr>
        <w:ind w:firstLine="1680"/>
        <w:rPr>
          <w:sz w:val="84"/>
          <w:szCs w:val="84"/>
        </w:rPr>
      </w:pPr>
    </w:p>
    <w:p w14:paraId="69AF9E17" w14:textId="77777777" w:rsidR="00853449" w:rsidRDefault="00853449">
      <w:pPr>
        <w:ind w:firstLine="1680"/>
        <w:rPr>
          <w:sz w:val="84"/>
          <w:szCs w:val="84"/>
        </w:rPr>
      </w:pPr>
    </w:p>
    <w:p w14:paraId="0481EAAE" w14:textId="77777777" w:rsidR="00853449" w:rsidRDefault="00853449">
      <w:pPr>
        <w:ind w:firstLine="1680"/>
        <w:rPr>
          <w:sz w:val="84"/>
          <w:szCs w:val="84"/>
        </w:rPr>
      </w:pPr>
    </w:p>
    <w:p w14:paraId="04FBEA4C" w14:textId="77777777" w:rsidR="00853449" w:rsidRDefault="00853449">
      <w:pPr>
        <w:ind w:firstLine="1680"/>
        <w:rPr>
          <w:sz w:val="84"/>
          <w:szCs w:val="84"/>
        </w:rPr>
      </w:pPr>
    </w:p>
    <w:p w14:paraId="3128E14D" w14:textId="77777777" w:rsidR="00853449" w:rsidRDefault="00853449">
      <w:pPr>
        <w:ind w:firstLine="1040"/>
        <w:jc w:val="center"/>
        <w:rPr>
          <w:sz w:val="52"/>
          <w:szCs w:val="52"/>
        </w:rPr>
      </w:pPr>
    </w:p>
    <w:p w14:paraId="388AE9E8" w14:textId="77777777" w:rsidR="00853449" w:rsidRDefault="00853449">
      <w:pPr>
        <w:jc w:val="left"/>
        <w:rPr>
          <w:rFonts w:ascii="黑体" w:eastAsia="黑体" w:hAnsi="黑体" w:hint="eastAsia"/>
          <w:sz w:val="32"/>
          <w:szCs w:val="32"/>
        </w:rPr>
        <w:sectPr w:rsidR="00853449">
          <w:pgSz w:w="11906" w:h="16838"/>
          <w:pgMar w:top="1440" w:right="1800" w:bottom="1440" w:left="1800" w:header="851" w:footer="992" w:gutter="0"/>
          <w:cols w:space="720"/>
          <w:docGrid w:type="lines" w:linePitch="312"/>
        </w:sectPr>
      </w:pPr>
    </w:p>
    <w:p w14:paraId="5E4F53CB" w14:textId="77777777" w:rsidR="00853449" w:rsidRDefault="00000000">
      <w:pPr>
        <w:jc w:val="left"/>
        <w:rPr>
          <w:rFonts w:ascii="黑体" w:eastAsia="黑体" w:hAnsi="黑体" w:hint="eastAsia"/>
          <w:sz w:val="32"/>
          <w:szCs w:val="32"/>
        </w:rPr>
      </w:pPr>
      <w:r>
        <w:rPr>
          <w:rFonts w:ascii="黑体" w:eastAsia="黑体" w:hAnsi="黑体" w:hint="eastAsia"/>
          <w:sz w:val="32"/>
          <w:szCs w:val="32"/>
        </w:rPr>
        <w:lastRenderedPageBreak/>
        <w:t>附件</w:t>
      </w:r>
    </w:p>
    <w:p w14:paraId="25C99C10" w14:textId="77777777" w:rsidR="00853449" w:rsidRDefault="00853449">
      <w:pPr>
        <w:ind w:firstLine="1680"/>
        <w:jc w:val="center"/>
        <w:rPr>
          <w:rFonts w:ascii="黑体" w:eastAsia="黑体" w:hAnsi="黑体" w:hint="eastAsia"/>
          <w:sz w:val="84"/>
          <w:szCs w:val="84"/>
        </w:rPr>
      </w:pPr>
    </w:p>
    <w:p w14:paraId="7F806F12" w14:textId="77777777" w:rsidR="00853449" w:rsidRDefault="00853449">
      <w:pPr>
        <w:ind w:firstLine="1680"/>
        <w:jc w:val="center"/>
        <w:rPr>
          <w:rFonts w:ascii="黑体" w:eastAsia="黑体" w:hAnsi="黑体" w:hint="eastAsia"/>
          <w:sz w:val="84"/>
          <w:szCs w:val="84"/>
        </w:rPr>
      </w:pPr>
    </w:p>
    <w:p w14:paraId="2BDAD563" w14:textId="77777777" w:rsidR="00853449" w:rsidRDefault="00853449">
      <w:pPr>
        <w:ind w:firstLine="1680"/>
        <w:jc w:val="center"/>
        <w:rPr>
          <w:rFonts w:ascii="黑体" w:eastAsia="黑体" w:hAnsi="黑体" w:hint="eastAsia"/>
          <w:sz w:val="84"/>
          <w:szCs w:val="84"/>
        </w:rPr>
      </w:pPr>
    </w:p>
    <w:p w14:paraId="73FBB9FD" w14:textId="77777777" w:rsidR="00853449" w:rsidRDefault="00000000">
      <w:pPr>
        <w:jc w:val="center"/>
        <w:rPr>
          <w:rFonts w:ascii="黑体" w:eastAsia="黑体" w:hAnsi="黑体" w:hint="eastAsia"/>
          <w:sz w:val="84"/>
          <w:szCs w:val="84"/>
        </w:rPr>
      </w:pPr>
      <w:r>
        <w:rPr>
          <w:rFonts w:ascii="黑体" w:eastAsia="黑体" w:hAnsi="黑体" w:hint="eastAsia"/>
          <w:sz w:val="84"/>
          <w:szCs w:val="84"/>
        </w:rPr>
        <w:t>2024年海南大学预算</w:t>
      </w:r>
    </w:p>
    <w:p w14:paraId="30CED35B" w14:textId="77777777" w:rsidR="00853449" w:rsidRDefault="00000000">
      <w:pPr>
        <w:ind w:firstLine="1440"/>
        <w:rPr>
          <w:rFonts w:ascii="黑体" w:eastAsia="黑体" w:hAnsi="黑体" w:hint="eastAsia"/>
          <w:sz w:val="72"/>
          <w:szCs w:val="72"/>
        </w:rPr>
      </w:pPr>
      <w:r>
        <w:rPr>
          <w:rFonts w:ascii="黑体" w:eastAsia="黑体" w:hAnsi="黑体" w:hint="eastAsia"/>
          <w:sz w:val="72"/>
          <w:szCs w:val="72"/>
        </w:rPr>
        <w:t>（含附属幼儿园）</w:t>
      </w:r>
    </w:p>
    <w:p w14:paraId="79399B7A" w14:textId="77777777" w:rsidR="00853449" w:rsidRDefault="00853449">
      <w:pPr>
        <w:ind w:firstLine="1680"/>
        <w:jc w:val="center"/>
        <w:rPr>
          <w:sz w:val="84"/>
          <w:szCs w:val="84"/>
        </w:rPr>
      </w:pPr>
    </w:p>
    <w:p w14:paraId="08897D80" w14:textId="77777777" w:rsidR="00853449" w:rsidRDefault="00853449">
      <w:pPr>
        <w:ind w:firstLine="1680"/>
        <w:jc w:val="center"/>
        <w:rPr>
          <w:sz w:val="84"/>
          <w:szCs w:val="84"/>
        </w:rPr>
      </w:pPr>
    </w:p>
    <w:p w14:paraId="4A40780B" w14:textId="77777777" w:rsidR="00853449" w:rsidRDefault="00853449">
      <w:pPr>
        <w:ind w:firstLine="1680"/>
        <w:jc w:val="center"/>
        <w:rPr>
          <w:sz w:val="84"/>
          <w:szCs w:val="84"/>
        </w:rPr>
      </w:pPr>
    </w:p>
    <w:p w14:paraId="0E726F4B" w14:textId="77777777" w:rsidR="00853449" w:rsidRDefault="00853449">
      <w:pPr>
        <w:ind w:firstLine="1680"/>
        <w:jc w:val="center"/>
        <w:rPr>
          <w:sz w:val="84"/>
          <w:szCs w:val="84"/>
        </w:rPr>
      </w:pPr>
    </w:p>
    <w:p w14:paraId="28175065" w14:textId="77777777" w:rsidR="00853449" w:rsidRDefault="00853449">
      <w:pPr>
        <w:ind w:firstLine="1680"/>
        <w:rPr>
          <w:sz w:val="84"/>
          <w:szCs w:val="84"/>
        </w:rPr>
      </w:pPr>
    </w:p>
    <w:p w14:paraId="5E311946" w14:textId="77777777" w:rsidR="00853449" w:rsidRDefault="00853449">
      <w:pPr>
        <w:ind w:firstLine="1040"/>
        <w:jc w:val="center"/>
        <w:rPr>
          <w:rFonts w:ascii="黑体" w:eastAsia="黑体" w:hAnsi="黑体" w:hint="eastAsia"/>
          <w:sz w:val="52"/>
          <w:szCs w:val="52"/>
        </w:rPr>
      </w:pPr>
    </w:p>
    <w:p w14:paraId="67F54B0B" w14:textId="77777777" w:rsidR="00853449" w:rsidRDefault="00853449">
      <w:pPr>
        <w:ind w:firstLine="1040"/>
        <w:jc w:val="center"/>
        <w:rPr>
          <w:rFonts w:ascii="黑体" w:eastAsia="黑体" w:hAnsi="黑体" w:hint="eastAsia"/>
          <w:sz w:val="52"/>
          <w:szCs w:val="52"/>
        </w:rPr>
        <w:sectPr w:rsidR="00853449">
          <w:footerReference w:type="default" r:id="rId8"/>
          <w:pgSz w:w="11906" w:h="16838"/>
          <w:pgMar w:top="1440" w:right="1800" w:bottom="1440" w:left="1800" w:header="851" w:footer="992" w:gutter="0"/>
          <w:pgNumType w:start="1"/>
          <w:cols w:space="720"/>
          <w:docGrid w:type="lines" w:linePitch="312"/>
        </w:sectPr>
      </w:pPr>
    </w:p>
    <w:p w14:paraId="0220762B" w14:textId="77777777" w:rsidR="00853449" w:rsidRDefault="00853449">
      <w:pPr>
        <w:ind w:firstLine="1040"/>
        <w:jc w:val="center"/>
        <w:rPr>
          <w:rFonts w:ascii="黑体" w:eastAsia="黑体" w:hAnsi="黑体" w:hint="eastAsia"/>
          <w:sz w:val="52"/>
          <w:szCs w:val="52"/>
        </w:rPr>
      </w:pPr>
    </w:p>
    <w:p w14:paraId="52D9D8DC" w14:textId="77777777" w:rsidR="00853449" w:rsidRDefault="00000000">
      <w:pPr>
        <w:ind w:firstLine="1040"/>
        <w:jc w:val="center"/>
        <w:rPr>
          <w:rFonts w:ascii="黑体" w:eastAsia="黑体" w:hAnsi="黑体" w:hint="eastAsia"/>
          <w:sz w:val="52"/>
          <w:szCs w:val="52"/>
        </w:rPr>
      </w:pPr>
      <w:r>
        <w:rPr>
          <w:rFonts w:ascii="黑体" w:eastAsia="黑体" w:hAnsi="黑体" w:hint="eastAsia"/>
          <w:sz w:val="52"/>
          <w:szCs w:val="52"/>
        </w:rPr>
        <w:t>目   录</w:t>
      </w:r>
    </w:p>
    <w:p w14:paraId="18DDEC06" w14:textId="77777777" w:rsidR="00853449" w:rsidRDefault="00853449">
      <w:pPr>
        <w:ind w:firstLine="1040"/>
        <w:jc w:val="center"/>
        <w:rPr>
          <w:rFonts w:ascii="黑体" w:eastAsia="黑体" w:hAnsi="黑体" w:hint="eastAsia"/>
          <w:sz w:val="52"/>
          <w:szCs w:val="52"/>
        </w:rPr>
      </w:pPr>
    </w:p>
    <w:p w14:paraId="6A139B55" w14:textId="77777777" w:rsidR="00853449" w:rsidRDefault="00000000">
      <w:pPr>
        <w:pStyle w:val="11"/>
        <w:numPr>
          <w:ilvl w:val="0"/>
          <w:numId w:val="1"/>
        </w:numPr>
        <w:ind w:firstLineChars="0"/>
        <w:jc w:val="left"/>
        <w:rPr>
          <w:rFonts w:ascii="黑体" w:eastAsia="黑体" w:hAnsi="黑体" w:hint="eastAsia"/>
          <w:sz w:val="32"/>
          <w:szCs w:val="32"/>
        </w:rPr>
      </w:pPr>
      <w:r>
        <w:rPr>
          <w:rFonts w:ascii="黑体" w:eastAsia="黑体" w:hAnsi="黑体" w:hint="eastAsia"/>
          <w:sz w:val="32"/>
          <w:szCs w:val="32"/>
        </w:rPr>
        <w:t xml:space="preserve"> 海南大学概况</w:t>
      </w:r>
    </w:p>
    <w:p w14:paraId="756D05DE" w14:textId="77777777" w:rsidR="00853449" w:rsidRDefault="00000000">
      <w:pPr>
        <w:pStyle w:val="11"/>
        <w:numPr>
          <w:ilvl w:val="0"/>
          <w:numId w:val="2"/>
        </w:numPr>
        <w:ind w:firstLineChars="0"/>
        <w:jc w:val="left"/>
        <w:rPr>
          <w:rFonts w:ascii="黑体" w:eastAsia="黑体" w:hAnsi="黑体" w:hint="eastAsia"/>
          <w:sz w:val="32"/>
          <w:szCs w:val="32"/>
        </w:rPr>
      </w:pPr>
      <w:r>
        <w:rPr>
          <w:rFonts w:ascii="黑体" w:eastAsia="黑体" w:hAnsi="黑体" w:hint="eastAsia"/>
          <w:sz w:val="32"/>
          <w:szCs w:val="32"/>
        </w:rPr>
        <w:t>主要职能</w:t>
      </w:r>
    </w:p>
    <w:p w14:paraId="7246C2FB" w14:textId="77777777" w:rsidR="00853449" w:rsidRDefault="00000000">
      <w:pPr>
        <w:pStyle w:val="11"/>
        <w:numPr>
          <w:ilvl w:val="0"/>
          <w:numId w:val="2"/>
        </w:numPr>
        <w:ind w:firstLineChars="0"/>
        <w:jc w:val="left"/>
        <w:rPr>
          <w:rFonts w:ascii="黑体" w:eastAsia="黑体" w:hAnsi="黑体" w:hint="eastAsia"/>
          <w:sz w:val="32"/>
          <w:szCs w:val="32"/>
        </w:rPr>
      </w:pPr>
      <w:r>
        <w:rPr>
          <w:rFonts w:ascii="黑体" w:eastAsia="黑体" w:hAnsi="黑体" w:hint="eastAsia"/>
          <w:sz w:val="32"/>
          <w:szCs w:val="32"/>
        </w:rPr>
        <w:t>预算单位构成</w:t>
      </w:r>
    </w:p>
    <w:p w14:paraId="61ECE1E5" w14:textId="77777777" w:rsidR="00853449" w:rsidRDefault="00000000">
      <w:pPr>
        <w:pStyle w:val="11"/>
        <w:numPr>
          <w:ilvl w:val="0"/>
          <w:numId w:val="1"/>
        </w:numPr>
        <w:ind w:firstLineChars="0"/>
        <w:rPr>
          <w:rFonts w:ascii="黑体" w:eastAsia="黑体" w:hAnsi="黑体" w:hint="eastAsia"/>
          <w:sz w:val="32"/>
          <w:szCs w:val="32"/>
        </w:rPr>
      </w:pPr>
      <w:r>
        <w:rPr>
          <w:rFonts w:ascii="黑体" w:eastAsia="黑体" w:hAnsi="黑体" w:hint="eastAsia"/>
          <w:sz w:val="32"/>
          <w:szCs w:val="32"/>
        </w:rPr>
        <w:t xml:space="preserve"> 海南大学2024年单位预算表</w:t>
      </w:r>
    </w:p>
    <w:p w14:paraId="0ADC5351" w14:textId="77777777" w:rsidR="00853449" w:rsidRDefault="00000000">
      <w:pPr>
        <w:pStyle w:val="1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财政拨款收支总表</w:t>
      </w:r>
    </w:p>
    <w:p w14:paraId="1A487EEE" w14:textId="77777777" w:rsidR="00853449" w:rsidRDefault="00000000">
      <w:pPr>
        <w:pStyle w:val="1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一般公共预算支出表</w:t>
      </w:r>
    </w:p>
    <w:p w14:paraId="1EB7402C" w14:textId="77777777" w:rsidR="00853449" w:rsidRDefault="00000000">
      <w:pPr>
        <w:pStyle w:val="1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一般公共预算基本支出表</w:t>
      </w:r>
    </w:p>
    <w:p w14:paraId="19C550AC" w14:textId="77777777" w:rsidR="00853449" w:rsidRDefault="00000000">
      <w:pPr>
        <w:pStyle w:val="1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一般公共预算“三公”经费支出表</w:t>
      </w:r>
    </w:p>
    <w:p w14:paraId="2F91FCAF" w14:textId="77777777" w:rsidR="00853449" w:rsidRDefault="00000000">
      <w:pPr>
        <w:pStyle w:val="1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政府性基金预算支出表</w:t>
      </w:r>
    </w:p>
    <w:p w14:paraId="00CF2943" w14:textId="77777777" w:rsidR="00853449" w:rsidRDefault="00000000">
      <w:pPr>
        <w:pStyle w:val="1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政府性基金预算“三公”经费支出表</w:t>
      </w:r>
    </w:p>
    <w:p w14:paraId="51D04CFB" w14:textId="77777777" w:rsidR="00853449" w:rsidRDefault="00000000">
      <w:pPr>
        <w:pStyle w:val="1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部门（单位）收支总表</w:t>
      </w:r>
    </w:p>
    <w:p w14:paraId="1A8AD2A2" w14:textId="77777777" w:rsidR="00853449" w:rsidRDefault="00000000">
      <w:pPr>
        <w:pStyle w:val="1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部门（单位）收入总表</w:t>
      </w:r>
    </w:p>
    <w:p w14:paraId="033ACEE0" w14:textId="77777777" w:rsidR="00853449" w:rsidRDefault="00000000">
      <w:pPr>
        <w:pStyle w:val="1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部门（单位）支出总表</w:t>
      </w:r>
    </w:p>
    <w:p w14:paraId="109B0F20" w14:textId="77777777" w:rsidR="00853449" w:rsidRDefault="00000000">
      <w:pPr>
        <w:pStyle w:val="1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项目支出绩效信息表</w:t>
      </w:r>
    </w:p>
    <w:p w14:paraId="1EEF2690" w14:textId="77777777" w:rsidR="00853449" w:rsidRDefault="00000000">
      <w:pPr>
        <w:pStyle w:val="11"/>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 xml:space="preserve"> 海南大学2024年单位预算情况说明</w:t>
      </w:r>
    </w:p>
    <w:p w14:paraId="2270BA1D" w14:textId="77777777" w:rsidR="00853449" w:rsidRDefault="00000000">
      <w:pPr>
        <w:pStyle w:val="11"/>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 xml:space="preserve"> 名词解释</w:t>
      </w:r>
    </w:p>
    <w:p w14:paraId="1837A195" w14:textId="77777777" w:rsidR="00853449" w:rsidRDefault="00853449">
      <w:pPr>
        <w:pStyle w:val="11"/>
        <w:ind w:left="1320" w:firstLineChars="0" w:firstLine="0"/>
        <w:jc w:val="left"/>
        <w:rPr>
          <w:rFonts w:ascii="黑体" w:eastAsia="黑体" w:hAnsi="黑体" w:hint="eastAsia"/>
          <w:sz w:val="32"/>
          <w:szCs w:val="32"/>
        </w:rPr>
      </w:pPr>
    </w:p>
    <w:p w14:paraId="20C96DCA" w14:textId="77777777" w:rsidR="00853449" w:rsidRDefault="00853449">
      <w:pPr>
        <w:ind w:firstLine="1040"/>
        <w:jc w:val="center"/>
        <w:rPr>
          <w:rFonts w:ascii="黑体" w:eastAsia="黑体" w:hAnsi="黑体" w:hint="eastAsia"/>
          <w:sz w:val="52"/>
          <w:szCs w:val="52"/>
        </w:rPr>
        <w:sectPr w:rsidR="00853449">
          <w:footerReference w:type="default" r:id="rId9"/>
          <w:pgSz w:w="11906" w:h="16838"/>
          <w:pgMar w:top="1440" w:right="1800" w:bottom="1440" w:left="1800" w:header="851" w:footer="992" w:gutter="0"/>
          <w:pgNumType w:start="1"/>
          <w:cols w:space="720"/>
          <w:docGrid w:type="lines" w:linePitch="312"/>
        </w:sectPr>
      </w:pPr>
    </w:p>
    <w:p w14:paraId="162C5E10" w14:textId="77777777" w:rsidR="00853449" w:rsidRDefault="00853449">
      <w:pPr>
        <w:ind w:firstLine="1040"/>
        <w:jc w:val="center"/>
        <w:rPr>
          <w:rFonts w:ascii="黑体" w:eastAsia="黑体" w:hAnsi="黑体" w:hint="eastAsia"/>
          <w:sz w:val="52"/>
          <w:szCs w:val="52"/>
        </w:rPr>
      </w:pPr>
    </w:p>
    <w:p w14:paraId="2845B145" w14:textId="77777777" w:rsidR="00853449" w:rsidRDefault="00000000">
      <w:pPr>
        <w:pStyle w:val="1"/>
        <w:numPr>
          <w:ilvl w:val="255"/>
          <w:numId w:val="0"/>
        </w:numPr>
        <w:jc w:val="center"/>
        <w:rPr>
          <w:rFonts w:ascii="黑体" w:eastAsia="黑体" w:hAnsi="黑体" w:hint="eastAsia"/>
          <w:sz w:val="32"/>
          <w:szCs w:val="32"/>
        </w:rPr>
      </w:pPr>
      <w:r>
        <w:rPr>
          <w:rFonts w:ascii="黑体" w:eastAsia="黑体" w:hAnsi="黑体" w:hint="eastAsia"/>
          <w:sz w:val="32"/>
          <w:szCs w:val="32"/>
        </w:rPr>
        <w:t>第一部分  海南大学概况</w:t>
      </w:r>
    </w:p>
    <w:p w14:paraId="0F75B8B9" w14:textId="77777777" w:rsidR="00853449" w:rsidRDefault="00000000">
      <w:pPr>
        <w:pStyle w:val="1"/>
        <w:numPr>
          <w:ilvl w:val="255"/>
          <w:numId w:val="0"/>
        </w:numPr>
        <w:jc w:val="left"/>
        <w:rPr>
          <w:rFonts w:ascii="黑体" w:eastAsia="黑体" w:hAnsi="黑体" w:hint="eastAsia"/>
          <w:sz w:val="32"/>
          <w:szCs w:val="32"/>
        </w:rPr>
      </w:pPr>
      <w:r>
        <w:rPr>
          <w:rFonts w:ascii="黑体" w:eastAsia="黑体" w:hAnsi="黑体" w:hint="eastAsia"/>
          <w:sz w:val="32"/>
          <w:szCs w:val="32"/>
        </w:rPr>
        <w:t>一、主要职能</w:t>
      </w:r>
    </w:p>
    <w:p w14:paraId="2374DB4A" w14:textId="77777777" w:rsidR="00853449" w:rsidRDefault="00000000">
      <w:pPr>
        <w:widowControl/>
        <w:spacing w:line="288" w:lineRule="auto"/>
        <w:ind w:firstLineChars="200" w:firstLine="640"/>
        <w:jc w:val="left"/>
        <w:rPr>
          <w:rFonts w:ascii="楷体" w:eastAsia="楷体" w:hAnsi="楷体" w:cs="楷体" w:hint="eastAsia"/>
          <w:kern w:val="0"/>
          <w:sz w:val="32"/>
          <w:szCs w:val="24"/>
          <w:lang w:bidi="ar"/>
        </w:rPr>
      </w:pPr>
      <w:r>
        <w:rPr>
          <w:rFonts w:ascii="楷体" w:eastAsia="楷体" w:hAnsi="楷体" w:cs="楷体" w:hint="eastAsia"/>
          <w:kern w:val="0"/>
          <w:sz w:val="32"/>
          <w:szCs w:val="24"/>
          <w:lang w:bidi="ar"/>
        </w:rPr>
        <w:t>（一）海南大学（本级）</w:t>
      </w:r>
    </w:p>
    <w:p w14:paraId="210A56A2" w14:textId="77777777" w:rsidR="00853449" w:rsidRDefault="00000000">
      <w:pPr>
        <w:widowControl/>
        <w:spacing w:line="288" w:lineRule="auto"/>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海南大学本级工作任务和职责范围主要为，按照高等教育目标要求和教育行政主管部门下达的高等教育计划、任务，承担相应的专业人才培养工作；开展科学研究，为国民经济建设和社会事业发展服务；承办上级部门交办的其他工作。</w:t>
      </w:r>
    </w:p>
    <w:p w14:paraId="138DCA84" w14:textId="77777777" w:rsidR="00853449" w:rsidRDefault="00000000">
      <w:pPr>
        <w:pStyle w:val="ab"/>
        <w:widowControl/>
        <w:shd w:val="clear" w:color="auto" w:fill="FFFFFF"/>
        <w:spacing w:beforeAutospacing="0" w:afterAutospacing="0" w:line="210" w:lineRule="atLeast"/>
        <w:ind w:firstLineChars="200" w:firstLine="640"/>
        <w:jc w:val="both"/>
        <w:rPr>
          <w:rFonts w:ascii="仿宋_GB2312" w:eastAsia="仿宋_GB2312" w:hAnsi="黑体" w:cs="黑体" w:hint="eastAsia"/>
          <w:kern w:val="2"/>
          <w:sz w:val="32"/>
          <w:szCs w:val="32"/>
        </w:rPr>
      </w:pPr>
      <w:r>
        <w:rPr>
          <w:rFonts w:ascii="仿宋_GB2312" w:eastAsia="仿宋_GB2312" w:hAnsi="黑体" w:cs="黑体" w:hint="eastAsia"/>
          <w:kern w:val="2"/>
          <w:sz w:val="32"/>
          <w:szCs w:val="32"/>
        </w:rPr>
        <w:t>海南大学是2007年8月由原华南热带农业大学与原海南大学合并组建而成的综合性重点大学，是教育部和海南省人民政府“部省合建”高校，国家“双一流”建设高校。</w:t>
      </w:r>
    </w:p>
    <w:p w14:paraId="1DD01DF6" w14:textId="77777777" w:rsidR="00853449" w:rsidRDefault="00000000">
      <w:pPr>
        <w:pStyle w:val="ab"/>
        <w:widowControl/>
        <w:shd w:val="clear" w:color="auto" w:fill="FFFFFF"/>
        <w:spacing w:beforeAutospacing="0" w:afterAutospacing="0" w:line="210" w:lineRule="atLeast"/>
        <w:ind w:firstLineChars="200" w:firstLine="640"/>
        <w:jc w:val="both"/>
        <w:rPr>
          <w:rFonts w:ascii="仿宋_GB2312" w:eastAsia="仿宋_GB2312" w:hAnsi="黑体" w:cs="黑体" w:hint="eastAsia"/>
          <w:kern w:val="2"/>
          <w:sz w:val="32"/>
          <w:szCs w:val="32"/>
        </w:rPr>
      </w:pPr>
      <w:r>
        <w:rPr>
          <w:rFonts w:ascii="仿宋_GB2312" w:eastAsia="仿宋_GB2312" w:hAnsi="黑体" w:cs="黑体" w:hint="eastAsia"/>
          <w:kern w:val="2"/>
          <w:sz w:val="32"/>
          <w:szCs w:val="32"/>
        </w:rPr>
        <w:t>学校秉承“海纳百川、大道致远”的校训，弘扬“自强敬业、厚德弘毅”的校风。2008年，进入国家“211工程”重点建设高校行列；2012年，进入国家“中西部高等教育振兴计划”建设行列，先后获得“中西部高校基础能力建设工程”“中西部高校综合实力提升工程”等建设支持；2017年，入选国家“世界一流学科”建设高校；2018年，海南省委、省人民政府作出“聚全省之力办好海南大学”的重大决策部署；同年，学校成为教育部与海南省人民政府“部省合建”高校，纳入教育部直属高校序列。2018年4月13日，习近平总书记在海南建省办经济特区30周年庆祝大会上的重要</w:t>
      </w:r>
      <w:r>
        <w:rPr>
          <w:rFonts w:ascii="仿宋_GB2312" w:eastAsia="仿宋_GB2312" w:hAnsi="黑体" w:cs="黑体" w:hint="eastAsia"/>
          <w:kern w:val="2"/>
          <w:sz w:val="32"/>
          <w:szCs w:val="32"/>
        </w:rPr>
        <w:lastRenderedPageBreak/>
        <w:t>讲话中指出“要支持海南大学创建世界一流学科”，为新时代海南大学的建设发展指明了前进方向，提供了根本遵循。</w:t>
      </w:r>
    </w:p>
    <w:p w14:paraId="10868708" w14:textId="77777777" w:rsidR="00853449" w:rsidRDefault="00000000">
      <w:pPr>
        <w:pStyle w:val="ab"/>
        <w:widowControl/>
        <w:shd w:val="clear" w:color="auto" w:fill="FFFFFF"/>
        <w:spacing w:beforeAutospacing="0" w:afterAutospacing="0" w:line="210" w:lineRule="atLeast"/>
        <w:ind w:firstLineChars="200" w:firstLine="640"/>
        <w:jc w:val="both"/>
        <w:rPr>
          <w:rFonts w:ascii="仿宋_GB2312" w:eastAsia="仿宋_GB2312" w:hAnsi="黑体" w:cs="黑体" w:hint="eastAsia"/>
          <w:kern w:val="2"/>
          <w:sz w:val="32"/>
          <w:szCs w:val="32"/>
        </w:rPr>
      </w:pPr>
      <w:r>
        <w:rPr>
          <w:rFonts w:ascii="仿宋_GB2312" w:eastAsia="仿宋_GB2312" w:hAnsi="黑体" w:cs="黑体" w:hint="eastAsia"/>
          <w:kern w:val="2"/>
          <w:sz w:val="32"/>
          <w:szCs w:val="32"/>
        </w:rPr>
        <w:t>建校以来，周恩来、朱德、董必武、叶剑英、邓小平、胡耀邦、王震等老一辈革命家，江泽民、胡锦涛、李鹏、朱镕基、温家宝、贾庆林、李岚清、尉健行、曾庆红、刘延东、孙春兰等党和国家领导人先后亲临学校视察，给予亲切关怀。教育部和历届海南省委、省政府领导对学校的建设和发展关怀备至、倾力支持；社会各界和广大校友、海外华人华侨、港澳台同胞捐资兴建教学楼、图书馆、学术中心、体育场馆、学生活动中心等重要项目，设立了多项奖（助）学金，有力地推动了学校发展。</w:t>
      </w:r>
    </w:p>
    <w:p w14:paraId="539BD51B" w14:textId="77777777" w:rsidR="00853449" w:rsidRDefault="00000000">
      <w:pPr>
        <w:pStyle w:val="ab"/>
        <w:widowControl/>
        <w:shd w:val="clear" w:color="auto" w:fill="FFFFFF"/>
        <w:spacing w:beforeAutospacing="0" w:afterAutospacing="0" w:line="210" w:lineRule="atLeast"/>
        <w:ind w:firstLineChars="200" w:firstLine="640"/>
        <w:jc w:val="both"/>
        <w:rPr>
          <w:rFonts w:ascii="仿宋_GB2312" w:eastAsia="仿宋_GB2312" w:hAnsi="黑体" w:cs="黑体" w:hint="eastAsia"/>
          <w:kern w:val="2"/>
          <w:sz w:val="32"/>
          <w:szCs w:val="32"/>
        </w:rPr>
      </w:pPr>
      <w:r>
        <w:rPr>
          <w:rFonts w:ascii="仿宋_GB2312" w:eastAsia="仿宋_GB2312" w:hAnsi="黑体" w:cs="黑体" w:hint="eastAsia"/>
          <w:kern w:val="2"/>
          <w:sz w:val="32"/>
          <w:szCs w:val="32"/>
        </w:rPr>
        <w:t>海南大学现有校园面积404.33万平方米（6064.95亩），事业编制人数3895人，2023年末编制内实有在职人员3485人，离休人员0人，其他人员815人，遗属14人。其中，海南大学本级事业编制人数 3850人，2023年末编制内实有在职人员3428人，离休人员0人，其他人员771人，遗属14人；海南大学附属幼儿园事业编制人数45人，2023年末编制内实有在职人员57人，其他人员44人。</w:t>
      </w:r>
    </w:p>
    <w:p w14:paraId="1CEB232F" w14:textId="77777777" w:rsidR="00853449" w:rsidRDefault="00000000">
      <w:pPr>
        <w:pStyle w:val="ab"/>
        <w:widowControl/>
        <w:shd w:val="clear" w:color="auto" w:fill="FFFFFF"/>
        <w:spacing w:beforeAutospacing="0" w:afterAutospacing="0" w:line="210" w:lineRule="atLeast"/>
        <w:ind w:firstLineChars="200" w:firstLine="640"/>
        <w:jc w:val="both"/>
        <w:rPr>
          <w:rFonts w:ascii="仿宋_GB2312" w:eastAsia="仿宋_GB2312" w:hAnsi="黑体" w:cs="黑体" w:hint="eastAsia"/>
          <w:kern w:val="2"/>
          <w:sz w:val="32"/>
          <w:szCs w:val="32"/>
        </w:rPr>
      </w:pPr>
      <w:r>
        <w:rPr>
          <w:rFonts w:ascii="仿宋_GB2312" w:eastAsia="仿宋_GB2312" w:hAnsi="黑体" w:cs="黑体" w:hint="eastAsia"/>
          <w:kern w:val="2"/>
          <w:sz w:val="32"/>
          <w:szCs w:val="32"/>
        </w:rPr>
        <w:t>海南大学现有学生4.5万人，拥有13个一级学科博士点和1个专业学位博士点，33个一级学科硕士点、24个硕士专业学位类别，72个本科专业、10个博士后流动站，45个国家级一流本科专业建设点，12门国家级一流本科课程，</w:t>
      </w:r>
      <w:r>
        <w:rPr>
          <w:rFonts w:ascii="仿宋_GB2312" w:eastAsia="仿宋_GB2312" w:hAnsi="黑体" w:cs="黑体" w:hint="eastAsia"/>
          <w:kern w:val="2"/>
          <w:sz w:val="32"/>
          <w:szCs w:val="32"/>
        </w:rPr>
        <w:lastRenderedPageBreak/>
        <w:t>2门国家级精品课程，1门国家级精品在线开放课程，2门教育部课程思政示范课程。学科涵盖了哲学、经济学、法学、文学、理学、工学、农学、医学、管理学、艺术学等门类。作物学连续两轮入选世界一流学科建设名单，植物与动物科学、材料科学、化学、农业科学、工程学、环境科学/生态学、生物学与生物化学、一般社会科学等8个学科进入ESI全球前1%。专任教师2800多人，院士、杰青等国家级人才62人，其中，中国科学院院士1人，加拿大国家工程院院士、加拿大工程研究院院士1人，日本工程院外籍院士1人，俄罗斯工程院外籍院士1人，欧洲科学院院士3人，国家级教学名师2人。</w:t>
      </w:r>
    </w:p>
    <w:p w14:paraId="0612B967" w14:textId="77777777" w:rsidR="00853449" w:rsidRDefault="00000000">
      <w:pPr>
        <w:pStyle w:val="ab"/>
        <w:widowControl/>
        <w:shd w:val="clear" w:color="auto" w:fill="FFFFFF"/>
        <w:spacing w:beforeAutospacing="0" w:afterAutospacing="0" w:line="210" w:lineRule="atLeast"/>
        <w:ind w:firstLineChars="200" w:firstLine="640"/>
        <w:jc w:val="both"/>
        <w:rPr>
          <w:rFonts w:ascii="仿宋_GB2312" w:eastAsia="仿宋_GB2312" w:hAnsi="黑体" w:cs="黑体" w:hint="eastAsia"/>
          <w:kern w:val="2"/>
          <w:sz w:val="32"/>
          <w:szCs w:val="32"/>
        </w:rPr>
      </w:pPr>
      <w:r>
        <w:rPr>
          <w:rFonts w:ascii="仿宋_GB2312" w:eastAsia="仿宋_GB2312" w:hAnsi="黑体" w:cs="黑体" w:hint="eastAsia"/>
          <w:kern w:val="2"/>
          <w:sz w:val="32"/>
          <w:szCs w:val="32"/>
        </w:rPr>
        <w:t>学校实施科技强校战略。共建热带作物生物育种全国重点实验室和数字医学工程全国重点实验室，拥有省部共建南海海洋资源利用国家重点实验室，国家耐盐碱水稻技术创新中心，3个省部共建协同创新中心，23个省部级重点实验室，32个省部级工程研究中心，5个省级国际科技合作基地，15个院士工作站，29个院士团队创新中心，2个教育部国别和区域研究中心，1个文化和旅游部研究基地，2个省哲学社会科学重点新型智库，11个省哲学社会科学重点研究基地，成立了“海南省东坡文化研究与传播中心”，助力海南自贸港文化内涵建设。其中：海南大学“一带一路”研究院入选2022年度“中国智库索引（CTTI）高校智库百强榜”，获评</w:t>
      </w:r>
      <w:r>
        <w:rPr>
          <w:rFonts w:ascii="仿宋_GB2312" w:eastAsia="仿宋_GB2312" w:hAnsi="黑体" w:cs="黑体" w:hint="eastAsia"/>
          <w:kern w:val="2"/>
          <w:sz w:val="32"/>
          <w:szCs w:val="32"/>
        </w:rPr>
        <w:lastRenderedPageBreak/>
        <w:t>A等级智库。坚持面向国家和海南经济社会发展需求，按照“解决真问题，真解决问题”的思路，聚焦“自贸港发展和制度创新”“生态文明”“文化旅游”“南繁与热带高效农业”“海洋科技”“全健康”“信息技术”七个重点研究领域组建协同创新中心，支撑、引领学校相关领域或学科成为“海南急需、国家一流”，为实现高水平科技自立自强提供有力支撑。</w:t>
      </w:r>
    </w:p>
    <w:p w14:paraId="28E824CF" w14:textId="77777777" w:rsidR="00853449" w:rsidRDefault="00000000">
      <w:pPr>
        <w:pStyle w:val="ab"/>
        <w:widowControl/>
        <w:shd w:val="clear" w:color="auto" w:fill="FFFFFF"/>
        <w:spacing w:beforeAutospacing="0" w:afterAutospacing="0" w:line="210" w:lineRule="atLeast"/>
        <w:ind w:firstLineChars="200" w:firstLine="640"/>
        <w:jc w:val="both"/>
        <w:rPr>
          <w:rFonts w:ascii="仿宋_GB2312" w:eastAsia="仿宋_GB2312" w:hAnsi="黑体" w:cs="黑体" w:hint="eastAsia"/>
          <w:kern w:val="2"/>
          <w:sz w:val="32"/>
          <w:szCs w:val="32"/>
        </w:rPr>
      </w:pPr>
      <w:r>
        <w:rPr>
          <w:rFonts w:ascii="仿宋_GB2312" w:eastAsia="仿宋_GB2312" w:hAnsi="黑体" w:cs="黑体" w:hint="eastAsia"/>
          <w:kern w:val="2"/>
          <w:sz w:val="32"/>
          <w:szCs w:val="32"/>
        </w:rPr>
        <w:t>学校深化教育教学改革。《思想政治理论课“一主三辅”实践教学模式的研究与实践》《双跨融合，旺工淡学：海南自贸港新型旅游人才培养体系的创新与实践》先后获得2018年、2022年国家教学成果二等奖。2023年，我校教师荣获第六届全国高校青年教师教学竞赛决赛一等奖，实现海南省在该项赛事中的历史性突破。学生的培养质量和竞争力不断提高，2021年、2022年学生团队连续两年获得中国国际“互联网＋”大学生创新创业大赛金奖、“理律杯”全国高校模拟法庭竞赛冠军、全国第六届大学生艺术展演活动一等奖，2022年首次问鼎美国国际大学生数学建模竞赛（MCM）与交叉学科建模竞赛（ICM）SIAM奖。</w:t>
      </w:r>
    </w:p>
    <w:p w14:paraId="222AD29D" w14:textId="77777777" w:rsidR="00853449" w:rsidRDefault="00000000">
      <w:pPr>
        <w:pStyle w:val="ab"/>
        <w:widowControl/>
        <w:numPr>
          <w:ilvl w:val="255"/>
          <w:numId w:val="0"/>
        </w:numPr>
        <w:shd w:val="clear" w:color="auto" w:fill="FFFFFF"/>
        <w:spacing w:beforeAutospacing="0" w:afterAutospacing="0" w:line="400" w:lineRule="atLeast"/>
        <w:ind w:firstLineChars="200" w:firstLine="640"/>
        <w:jc w:val="both"/>
        <w:rPr>
          <w:rFonts w:ascii="仿宋_GB2312" w:eastAsia="仿宋_GB2312" w:hAnsi="黑体" w:cs="黑体" w:hint="eastAsia"/>
          <w:kern w:val="2"/>
          <w:sz w:val="32"/>
          <w:szCs w:val="32"/>
        </w:rPr>
      </w:pPr>
      <w:r>
        <w:rPr>
          <w:rFonts w:ascii="仿宋_GB2312" w:eastAsia="仿宋_GB2312" w:hAnsi="黑体" w:cs="黑体" w:hint="eastAsia"/>
          <w:kern w:val="2"/>
          <w:sz w:val="32"/>
          <w:szCs w:val="32"/>
        </w:rPr>
        <w:t>学校坚持开放办学理念。发挥海南自贸港对外开放的优势，逐步形成以服务“一带一路”教育合作与交流为重点、深耕热带国家和地区为特色的对外开放办学格局。学校实施“一院一校”国际合作交流行动计划，先后与41个国家和</w:t>
      </w:r>
      <w:r>
        <w:rPr>
          <w:rFonts w:ascii="仿宋_GB2312" w:eastAsia="仿宋_GB2312" w:hAnsi="黑体" w:cs="黑体" w:hint="eastAsia"/>
          <w:kern w:val="2"/>
          <w:sz w:val="32"/>
          <w:szCs w:val="32"/>
        </w:rPr>
        <w:lastRenderedPageBreak/>
        <w:t>地区223所高校和机构建立合作关系。学校现有中外合作办学机构和项目4个，合作办学招生计划达2950人。已建成完整的本硕博国际学生教育培养体系，学校入选教育部第二批来华留学示范基地。发起成立“热带高校联盟”“中国—东盟体育文化发展联盟”“海上丝绸之路艺术教育联盟”“海上丝绸之路沿线国家旅游教育联盟”。</w:t>
      </w:r>
    </w:p>
    <w:p w14:paraId="5CDBE740" w14:textId="77777777" w:rsidR="00853449" w:rsidRDefault="00000000">
      <w:pPr>
        <w:pStyle w:val="ab"/>
        <w:widowControl/>
        <w:numPr>
          <w:ilvl w:val="255"/>
          <w:numId w:val="0"/>
        </w:numPr>
        <w:shd w:val="clear" w:color="auto" w:fill="FFFFFF"/>
        <w:spacing w:beforeAutospacing="0" w:afterAutospacing="0" w:line="400" w:lineRule="atLeast"/>
        <w:ind w:firstLineChars="200" w:firstLine="640"/>
        <w:jc w:val="both"/>
        <w:rPr>
          <w:rFonts w:ascii="仿宋_GB2312" w:eastAsia="仿宋_GB2312" w:hAnsi="黑体" w:cs="黑体" w:hint="eastAsia"/>
          <w:kern w:val="2"/>
          <w:sz w:val="32"/>
          <w:szCs w:val="32"/>
        </w:rPr>
      </w:pPr>
      <w:r>
        <w:rPr>
          <w:rFonts w:ascii="仿宋_GB2312" w:eastAsia="仿宋_GB2312" w:hAnsi="黑体" w:cs="黑体" w:hint="eastAsia"/>
          <w:kern w:val="2"/>
          <w:sz w:val="32"/>
          <w:szCs w:val="32"/>
        </w:rPr>
        <w:t>面向未来，学校坚持以习近平总书记“要支持海南大学创建世界一流学科”的殷切嘱托为根本遵循，以当好海南全面深化改革开放和中国特色自由贸易港建设的“参与者、参谋部、孵化器、后备队”为发展目标，以“支撑引领、特色取胜、高位嫁接、开放创新”为发展理念，以“完全学分制、协同创新中心、书院制”三大改革为战略路径，不忘初心使命、勇于开拓创新，奋力建设综合性研究型国际化“双一流”大学，为加快建设教育强国和海南自由贸易港、以中国式现代化全面推进中华民族伟大复兴而团结奋斗！</w:t>
      </w:r>
    </w:p>
    <w:p w14:paraId="56F542B3" w14:textId="77777777" w:rsidR="00853449" w:rsidRDefault="00000000">
      <w:pPr>
        <w:widowControl/>
        <w:spacing w:line="288" w:lineRule="auto"/>
        <w:ind w:firstLineChars="200" w:firstLine="640"/>
        <w:jc w:val="left"/>
        <w:rPr>
          <w:rFonts w:ascii="楷体" w:eastAsia="楷体" w:hAnsi="楷体" w:cs="楷体" w:hint="eastAsia"/>
          <w:kern w:val="0"/>
          <w:sz w:val="32"/>
          <w:szCs w:val="24"/>
          <w:lang w:bidi="ar"/>
        </w:rPr>
      </w:pPr>
      <w:r>
        <w:rPr>
          <w:rFonts w:ascii="楷体" w:eastAsia="楷体" w:hAnsi="楷体" w:cs="楷体" w:hint="eastAsia"/>
          <w:kern w:val="0"/>
          <w:sz w:val="32"/>
          <w:szCs w:val="24"/>
          <w:lang w:bidi="ar"/>
        </w:rPr>
        <w:t>（二）海南大学附属幼儿园（下属单位）</w:t>
      </w:r>
    </w:p>
    <w:p w14:paraId="5A5F315E" w14:textId="77777777" w:rsidR="00853449" w:rsidRDefault="00000000">
      <w:pPr>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海南大学附属幼儿园主要职责为学龄前儿童提供保育和教育服务，幼儿保育、幼儿教育。</w:t>
      </w:r>
    </w:p>
    <w:p w14:paraId="15DA433E" w14:textId="77777777" w:rsidR="00853449" w:rsidRDefault="00000000">
      <w:pPr>
        <w:pStyle w:val="1"/>
        <w:numPr>
          <w:ilvl w:val="255"/>
          <w:numId w:val="0"/>
        </w:numPr>
        <w:jc w:val="left"/>
        <w:rPr>
          <w:rFonts w:ascii="黑体" w:eastAsia="黑体" w:hAnsi="黑体" w:hint="eastAsia"/>
          <w:sz w:val="32"/>
          <w:szCs w:val="32"/>
        </w:rPr>
      </w:pPr>
      <w:r>
        <w:rPr>
          <w:rFonts w:ascii="黑体" w:eastAsia="黑体" w:hAnsi="黑体" w:hint="eastAsia"/>
          <w:sz w:val="32"/>
          <w:szCs w:val="32"/>
        </w:rPr>
        <w:t>二、部门预算单位构成</w:t>
      </w:r>
    </w:p>
    <w:p w14:paraId="29FC10CD" w14:textId="77777777" w:rsidR="00853449" w:rsidRDefault="00000000">
      <w:pPr>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纳入海南大学2024年部门预算编制范围的二级预算单位包括：</w:t>
      </w:r>
    </w:p>
    <w:p w14:paraId="77A789C8" w14:textId="77777777" w:rsidR="00853449" w:rsidRDefault="00000000">
      <w:pPr>
        <w:widowControl/>
        <w:spacing w:line="288" w:lineRule="auto"/>
        <w:ind w:firstLineChars="200" w:firstLine="640"/>
        <w:jc w:val="left"/>
        <w:rPr>
          <w:rFonts w:ascii="楷体" w:eastAsia="楷体" w:hAnsi="楷体" w:cs="楷体" w:hint="eastAsia"/>
          <w:kern w:val="0"/>
          <w:sz w:val="32"/>
          <w:szCs w:val="24"/>
          <w:lang w:bidi="ar"/>
        </w:rPr>
      </w:pPr>
      <w:r>
        <w:rPr>
          <w:rFonts w:ascii="楷体" w:eastAsia="楷体" w:hAnsi="楷体" w:cs="楷体" w:hint="eastAsia"/>
          <w:kern w:val="0"/>
          <w:sz w:val="32"/>
          <w:szCs w:val="24"/>
          <w:lang w:bidi="ar"/>
        </w:rPr>
        <w:t>（一）海南大学本级</w:t>
      </w:r>
    </w:p>
    <w:p w14:paraId="12E719F3" w14:textId="77777777" w:rsidR="00853449" w:rsidRDefault="00000000">
      <w:pPr>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lastRenderedPageBreak/>
        <w:t>1.党政管理机构(24个)</w:t>
      </w:r>
    </w:p>
    <w:p w14:paraId="65F4D63B" w14:textId="77777777" w:rsidR="00853449" w:rsidRDefault="00000000">
      <w:pPr>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党委办公室、纪检监察一处、纪检监察二处、组织部(党校)、宣传部、统战部(侨务办公室)、学生工作部(学生工作处、人民武装部)、保卫处、校友事务与发展联络处(海外乡亲联谊中心)、教务处(继续教育学院、创新创业学院、退役军人教育学院)、科学技术发展院(科技处、乡村振兴办公室)、人文社科处、研究生院、发展规划与学科建设处(部省合建办公室)、人事处(党委教师工作部、教师发展中心)、财务处、国际合作交流处(国际教育学院、港澳台办公室)、审计处、基建处、实验室与设备管理处、儋州校区管理委员会、观澜湖校区管理委员会、崖州湾科教园管理委员会、后勤保障部(总务后勤处)。</w:t>
      </w:r>
    </w:p>
    <w:p w14:paraId="6F8CE9FC" w14:textId="77777777" w:rsidR="00853449" w:rsidRDefault="00000000">
      <w:pPr>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2.群团组织(2个)</w:t>
      </w:r>
    </w:p>
    <w:p w14:paraId="2081280F" w14:textId="77777777" w:rsidR="00853449" w:rsidRDefault="00000000">
      <w:pPr>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工会、团委。</w:t>
      </w:r>
    </w:p>
    <w:p w14:paraId="49988AFD" w14:textId="77777777" w:rsidR="00853449" w:rsidRDefault="00000000">
      <w:pPr>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3.教学机构(44个)</w:t>
      </w:r>
    </w:p>
    <w:p w14:paraId="6B141511" w14:textId="77777777" w:rsidR="00853449" w:rsidRDefault="00000000">
      <w:pPr>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人文学院、国际商学院、法学院(纪检监察学院)、马克思主义学院、体育学院、外国语学院、国际传播与艺术学院、数学与统计学院、物理与光电工程学院、化学化工学院、海洋生物与水产学院、海洋科学与工程学院、生命健康学院、生态与环境学院、机电工程学院、材料科学与工程学院、电子科学与技术学院、信息与通信工程学院、计算机科学与技术学院(国际数字影视学院)、土木建筑工程学院、生物医学</w:t>
      </w:r>
      <w:r>
        <w:rPr>
          <w:rFonts w:ascii="仿宋_GB2312" w:eastAsia="仿宋_GB2312" w:hAnsi="黑体" w:hint="eastAsia"/>
          <w:sz w:val="32"/>
          <w:szCs w:val="32"/>
        </w:rPr>
        <w:lastRenderedPageBreak/>
        <w:t>工程学院、食品科学与工程学院、热带农林学院(农业农村学院、乡村振兴学院)、网络空间安全学院(密码学院)、南繁学院(三亚南繁研究院)、药学院、国际旅游与公共管理学院、国际旅游学院(海南大学亚利桑那州立大学联合国际旅游学院)、椰风书院、乘风书院、凤翔书院、子衿书院、青云书院、南海书院、淳明书院、海德书院、天工书院、朴诚书院、今朝书院、中和书院、晨曦书院、檀雅书院、丹心书院、崖州书院。</w:t>
      </w:r>
    </w:p>
    <w:p w14:paraId="1F777C2E" w14:textId="77777777" w:rsidR="00853449" w:rsidRDefault="00000000">
      <w:pPr>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4.教辅机构(10个)</w:t>
      </w:r>
    </w:p>
    <w:p w14:paraId="5B003479" w14:textId="77777777" w:rsidR="00853449" w:rsidRDefault="00000000">
      <w:pPr>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教学质量评估中心、离退休人员服务中心(关心下一代工作委员会)、图书馆、学报编辑部、分析测试中心(精密仪器高等研究中心)、档案馆(校史馆)、信息化服务中心、采购与招标中心、城西基础教学部、招生考试中心。</w:t>
      </w:r>
    </w:p>
    <w:p w14:paraId="2CC7684A" w14:textId="77777777" w:rsidR="00853449" w:rsidRDefault="00000000">
      <w:pPr>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5.附属机构(2个)</w:t>
      </w:r>
    </w:p>
    <w:p w14:paraId="7225FF7D" w14:textId="77777777" w:rsidR="00853449" w:rsidRDefault="00000000">
      <w:pPr>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海南大学附属医院、海南大学附属幼儿园</w:t>
      </w:r>
    </w:p>
    <w:p w14:paraId="115DA3F7" w14:textId="77777777" w:rsidR="00853449" w:rsidRDefault="00000000">
      <w:pPr>
        <w:pStyle w:val="11"/>
        <w:ind w:leftChars="300" w:left="630" w:firstLineChars="0" w:firstLine="0"/>
        <w:jc w:val="left"/>
        <w:rPr>
          <w:rFonts w:ascii="楷体" w:eastAsia="楷体" w:hAnsi="楷体" w:cs="楷体" w:hint="eastAsia"/>
          <w:sz w:val="32"/>
          <w:szCs w:val="32"/>
        </w:rPr>
      </w:pPr>
      <w:r>
        <w:rPr>
          <w:rFonts w:ascii="楷体" w:eastAsia="楷体" w:hAnsi="楷体" w:cs="楷体" w:hint="eastAsia"/>
          <w:sz w:val="32"/>
          <w:szCs w:val="32"/>
        </w:rPr>
        <w:t>（二）海南大学附属幼儿园（下属单位）</w:t>
      </w:r>
    </w:p>
    <w:p w14:paraId="6779BCE2" w14:textId="77777777" w:rsidR="00853449" w:rsidRDefault="00000000">
      <w:pPr>
        <w:pStyle w:val="BodyText1I"/>
        <w:ind w:firstLineChars="200" w:firstLine="640"/>
        <w:rPr>
          <w:rFonts w:ascii="黑体" w:eastAsia="黑体" w:hAnsi="黑体"/>
          <w:szCs w:val="32"/>
        </w:rPr>
      </w:pPr>
      <w:r>
        <w:t>海南大学附属幼儿园内设机构有综合办、教务办、财务办和后勤办。</w:t>
      </w:r>
    </w:p>
    <w:p w14:paraId="6BECC557" w14:textId="77777777" w:rsidR="00853449" w:rsidRDefault="00000000">
      <w:pPr>
        <w:pStyle w:val="1"/>
        <w:numPr>
          <w:ilvl w:val="255"/>
          <w:numId w:val="0"/>
        </w:numPr>
        <w:jc w:val="center"/>
        <w:rPr>
          <w:rFonts w:ascii="黑体" w:eastAsia="黑体" w:hAnsi="黑体" w:hint="eastAsia"/>
          <w:sz w:val="32"/>
          <w:szCs w:val="32"/>
        </w:rPr>
      </w:pPr>
      <w:r>
        <w:rPr>
          <w:rFonts w:ascii="黑体" w:eastAsia="黑体" w:hAnsi="黑体" w:hint="eastAsia"/>
          <w:sz w:val="32"/>
          <w:szCs w:val="32"/>
        </w:rPr>
        <w:t>第二部分  海南大学2024年单位预算表</w:t>
      </w:r>
    </w:p>
    <w:p w14:paraId="44462236" w14:textId="77777777" w:rsidR="00853449" w:rsidRDefault="00000000">
      <w:pPr>
        <w:ind w:firstLineChars="200" w:firstLine="640"/>
        <w:rPr>
          <w:rFonts w:ascii="黑体" w:eastAsia="黑体" w:hAnsi="黑体" w:hint="eastAsia"/>
          <w:sz w:val="32"/>
          <w:szCs w:val="32"/>
        </w:rPr>
      </w:pPr>
      <w:r>
        <w:rPr>
          <w:rFonts w:ascii="黑体" w:eastAsia="黑体" w:hAnsi="黑体"/>
          <w:sz w:val="32"/>
          <w:szCs w:val="32"/>
        </w:rPr>
        <w:t>附表</w:t>
      </w:r>
      <w:r>
        <w:rPr>
          <w:rFonts w:ascii="黑体" w:eastAsia="黑体" w:hAnsi="黑体" w:hint="eastAsia"/>
          <w:sz w:val="32"/>
          <w:szCs w:val="32"/>
        </w:rPr>
        <w:t xml:space="preserve"> 1.海南大学预算公开表（含附属幼儿园）</w:t>
      </w:r>
    </w:p>
    <w:p w14:paraId="714E2BA1" w14:textId="77777777" w:rsidR="00853449" w:rsidRDefault="00000000">
      <w:pPr>
        <w:ind w:firstLine="640"/>
        <w:rPr>
          <w:rFonts w:ascii="黑体" w:eastAsia="黑体" w:hAnsi="黑体" w:hint="eastAsia"/>
          <w:sz w:val="32"/>
          <w:szCs w:val="32"/>
        </w:rPr>
      </w:pPr>
      <w:r>
        <w:rPr>
          <w:rFonts w:ascii="黑体" w:eastAsia="黑体" w:hAnsi="黑体" w:hint="eastAsia"/>
          <w:sz w:val="32"/>
          <w:szCs w:val="32"/>
        </w:rPr>
        <w:t>附表 2.海南大学本级预算公开表</w:t>
      </w:r>
    </w:p>
    <w:p w14:paraId="0B8C0C8A" w14:textId="77777777" w:rsidR="00853449" w:rsidRDefault="00000000">
      <w:pPr>
        <w:ind w:firstLine="640"/>
        <w:rPr>
          <w:rFonts w:ascii="黑体" w:eastAsia="黑体" w:hAnsi="黑体" w:hint="eastAsia"/>
          <w:sz w:val="32"/>
          <w:szCs w:val="32"/>
        </w:rPr>
      </w:pPr>
      <w:r>
        <w:rPr>
          <w:rFonts w:ascii="黑体" w:eastAsia="黑体" w:hAnsi="黑体" w:hint="eastAsia"/>
          <w:sz w:val="32"/>
          <w:szCs w:val="32"/>
        </w:rPr>
        <w:t>附表 3.海南大学附属幼儿园预算公开表</w:t>
      </w:r>
    </w:p>
    <w:p w14:paraId="5FB6D809" w14:textId="77777777" w:rsidR="00853449" w:rsidRDefault="00853449">
      <w:pPr>
        <w:pStyle w:val="1"/>
        <w:numPr>
          <w:ilvl w:val="255"/>
          <w:numId w:val="0"/>
        </w:numPr>
        <w:jc w:val="center"/>
        <w:rPr>
          <w:rFonts w:ascii="黑体" w:eastAsia="黑体" w:hAnsi="黑体" w:hint="eastAsia"/>
          <w:sz w:val="32"/>
          <w:szCs w:val="32"/>
        </w:rPr>
      </w:pPr>
    </w:p>
    <w:p w14:paraId="41944C97" w14:textId="77777777" w:rsidR="00853449" w:rsidRDefault="00000000">
      <w:pPr>
        <w:ind w:left="800"/>
        <w:jc w:val="center"/>
        <w:rPr>
          <w:rFonts w:ascii="黑体" w:eastAsia="黑体" w:hAnsi="黑体" w:hint="eastAsia"/>
          <w:sz w:val="32"/>
          <w:szCs w:val="32"/>
        </w:rPr>
      </w:pPr>
      <w:r>
        <w:rPr>
          <w:rFonts w:ascii="黑体" w:eastAsia="黑体" w:hAnsi="黑体" w:hint="eastAsia"/>
          <w:sz w:val="32"/>
          <w:szCs w:val="32"/>
        </w:rPr>
        <w:t>第三部分   海南大学</w:t>
      </w:r>
      <w:r>
        <w:rPr>
          <w:rFonts w:ascii="黑体" w:eastAsia="黑体" w:hAnsi="宋体"/>
          <w:color w:val="000000"/>
          <w:sz w:val="32"/>
          <w:szCs w:val="32"/>
          <w:shd w:val="clear" w:color="auto" w:fill="FFFFFF"/>
        </w:rPr>
        <w:t>（含附属幼儿园）</w:t>
      </w:r>
      <w:r>
        <w:rPr>
          <w:rFonts w:ascii="黑体" w:eastAsia="黑体" w:hAnsi="宋体" w:hint="eastAsia"/>
          <w:color w:val="000000"/>
          <w:sz w:val="32"/>
          <w:szCs w:val="32"/>
          <w:shd w:val="clear" w:color="auto" w:fill="FFFFFF"/>
        </w:rPr>
        <w:t>2024年</w:t>
      </w:r>
      <w:r>
        <w:rPr>
          <w:rFonts w:ascii="黑体" w:eastAsia="黑体" w:hAnsi="黑体" w:hint="eastAsia"/>
          <w:sz w:val="32"/>
          <w:szCs w:val="32"/>
        </w:rPr>
        <w:t>预算情况说明</w:t>
      </w:r>
    </w:p>
    <w:p w14:paraId="38A6B464" w14:textId="77777777" w:rsidR="00853449" w:rsidRDefault="00000000">
      <w:pPr>
        <w:ind w:firstLineChars="200" w:firstLine="640"/>
        <w:jc w:val="left"/>
        <w:rPr>
          <w:rFonts w:ascii="黑体" w:eastAsia="黑体" w:hAnsi="黑体" w:hint="eastAsia"/>
          <w:sz w:val="32"/>
          <w:szCs w:val="32"/>
        </w:rPr>
      </w:pPr>
      <w:r>
        <w:rPr>
          <w:rFonts w:ascii="黑体" w:eastAsia="黑体" w:hAnsi="黑体" w:hint="eastAsia"/>
          <w:sz w:val="32"/>
          <w:szCs w:val="32"/>
        </w:rPr>
        <w:t>一、关于海南大学（含附属幼儿园）财政拨款收支预算情况的总体说明</w:t>
      </w:r>
    </w:p>
    <w:p w14:paraId="2E798C25" w14:textId="77777777" w:rsidR="00853449" w:rsidRDefault="00000000">
      <w:pPr>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海南大学（含附属幼儿园）财政拨款收支总预算304,361.23万元，比上年预算数</w:t>
      </w:r>
      <w:r>
        <w:rPr>
          <w:rFonts w:ascii="仿宋_GB2312" w:eastAsia="仿宋_GB2312" w:hAnsi="黑体" w:cs="仿宋_GB2312" w:hint="eastAsia"/>
          <w:sz w:val="32"/>
          <w:szCs w:val="32"/>
        </w:rPr>
        <w:t>增加50,759.43</w:t>
      </w:r>
      <w:r>
        <w:rPr>
          <w:rFonts w:ascii="仿宋_GB2312" w:eastAsia="仿宋_GB2312" w:hAnsi="黑体" w:hint="eastAsia"/>
          <w:sz w:val="32"/>
          <w:szCs w:val="32"/>
        </w:rPr>
        <w:t>万元，主要是一般公共预算收入增长。其中，收入总计304,361.23万元，包括一般公共预算本年收入269,691.71万元、上年结转34,623.45万元，政府性基金预算本年收入36.00万元、上年结转10.07万元；支出总计304,361.23万元，包括一般公共服务支出260.00万元、教育支出224,056.24万元、科学技术支出37,927.15万元、</w:t>
      </w:r>
      <w:r>
        <w:rPr>
          <w:rFonts w:ascii="仿宋_GB2312" w:eastAsia="仿宋_GB2312" w:hAnsi="黑体" w:hint="eastAsia"/>
          <w:sz w:val="32"/>
          <w:szCs w:val="32"/>
        </w:rPr>
        <w:t> </w:t>
      </w:r>
      <w:r>
        <w:rPr>
          <w:rFonts w:ascii="仿宋_GB2312" w:eastAsia="仿宋_GB2312" w:hAnsi="黑体" w:hint="eastAsia"/>
          <w:sz w:val="32"/>
          <w:szCs w:val="32"/>
        </w:rPr>
        <w:t>社会保障和就业支出13,983.57万元，</w:t>
      </w:r>
      <w:r>
        <w:rPr>
          <w:rFonts w:ascii="仿宋_GB2312" w:eastAsia="仿宋_GB2312" w:hAnsi="黑体" w:hint="eastAsia"/>
          <w:sz w:val="32"/>
          <w:szCs w:val="32"/>
        </w:rPr>
        <w:t> </w:t>
      </w:r>
      <w:r>
        <w:rPr>
          <w:rFonts w:ascii="仿宋_GB2312" w:eastAsia="仿宋_GB2312" w:hAnsi="黑体" w:hint="eastAsia"/>
          <w:sz w:val="32"/>
          <w:szCs w:val="32"/>
        </w:rPr>
        <w:t>卫生健康支出4,380.55万元，</w:t>
      </w:r>
      <w:r>
        <w:rPr>
          <w:rFonts w:ascii="仿宋_GB2312" w:eastAsia="仿宋_GB2312" w:hAnsi="黑体" w:hint="eastAsia"/>
          <w:sz w:val="32"/>
          <w:szCs w:val="32"/>
        </w:rPr>
        <w:t> </w:t>
      </w:r>
      <w:r>
        <w:rPr>
          <w:rFonts w:ascii="仿宋_GB2312" w:eastAsia="仿宋_GB2312" w:hAnsi="黑体" w:hint="eastAsia"/>
          <w:sz w:val="32"/>
          <w:szCs w:val="32"/>
        </w:rPr>
        <w:t>农林水支出42.99万元，</w:t>
      </w:r>
      <w:r>
        <w:rPr>
          <w:rFonts w:ascii="仿宋_GB2312" w:eastAsia="仿宋_GB2312" w:hAnsi="黑体" w:hint="eastAsia"/>
          <w:sz w:val="32"/>
          <w:szCs w:val="32"/>
        </w:rPr>
        <w:t> </w:t>
      </w:r>
      <w:r>
        <w:rPr>
          <w:rFonts w:ascii="仿宋_GB2312" w:eastAsia="仿宋_GB2312" w:hAnsi="黑体" w:hint="eastAsia"/>
          <w:sz w:val="32"/>
          <w:szCs w:val="32"/>
        </w:rPr>
        <w:t>住房保障支出6,309.98万元，</w:t>
      </w:r>
      <w:r>
        <w:rPr>
          <w:rFonts w:ascii="仿宋_GB2312" w:eastAsia="仿宋_GB2312" w:hAnsi="黑体" w:hint="eastAsia"/>
          <w:sz w:val="32"/>
          <w:szCs w:val="32"/>
        </w:rPr>
        <w:t> </w:t>
      </w:r>
      <w:r>
        <w:rPr>
          <w:rFonts w:ascii="仿宋_GB2312" w:eastAsia="仿宋_GB2312" w:hAnsi="黑体" w:hint="eastAsia"/>
          <w:sz w:val="32"/>
          <w:szCs w:val="32"/>
        </w:rPr>
        <w:t>其他支出17,400.75万，结转下年0万元。</w:t>
      </w:r>
    </w:p>
    <w:p w14:paraId="7ECD3875" w14:textId="77777777" w:rsidR="00853449" w:rsidRDefault="00000000">
      <w:pPr>
        <w:ind w:firstLine="640"/>
        <w:jc w:val="left"/>
        <w:rPr>
          <w:rFonts w:ascii="黑体" w:eastAsia="黑体" w:hAnsi="黑体" w:hint="eastAsia"/>
          <w:sz w:val="32"/>
          <w:szCs w:val="32"/>
        </w:rPr>
      </w:pPr>
      <w:r>
        <w:rPr>
          <w:rFonts w:ascii="黑体" w:eastAsia="黑体" w:hAnsi="黑体" w:hint="eastAsia"/>
          <w:sz w:val="32"/>
          <w:szCs w:val="32"/>
        </w:rPr>
        <w:t>二、关于海南大学（含附属幼儿园）2024年一般公共预算当年拨款情况说明</w:t>
      </w:r>
    </w:p>
    <w:p w14:paraId="131DD8C4" w14:textId="77777777" w:rsidR="00853449" w:rsidRDefault="00000000">
      <w:pPr>
        <w:ind w:firstLine="640"/>
        <w:jc w:val="left"/>
        <w:rPr>
          <w:rFonts w:ascii="楷体" w:eastAsia="楷体" w:hAnsi="楷体" w:hint="eastAsia"/>
          <w:sz w:val="32"/>
          <w:szCs w:val="32"/>
        </w:rPr>
      </w:pPr>
      <w:r>
        <w:rPr>
          <w:rFonts w:ascii="楷体" w:eastAsia="楷体" w:hAnsi="楷体" w:hint="eastAsia"/>
          <w:sz w:val="32"/>
          <w:szCs w:val="32"/>
        </w:rPr>
        <w:t>（一）一般公共预算当年规模变化情况</w:t>
      </w:r>
    </w:p>
    <w:p w14:paraId="1305FE72" w14:textId="77777777" w:rsidR="00853449"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海南大学（含附属幼儿园）2024年一般公共预算当年拨款304,315.16万元，比上年预算数</w:t>
      </w:r>
      <w:r>
        <w:rPr>
          <w:rFonts w:ascii="仿宋_GB2312" w:eastAsia="仿宋_GB2312" w:hAnsi="黑体" w:cs="仿宋_GB2312" w:hint="eastAsia"/>
          <w:sz w:val="32"/>
          <w:szCs w:val="32"/>
        </w:rPr>
        <w:t>增加50,772.94</w:t>
      </w:r>
      <w:r>
        <w:rPr>
          <w:rFonts w:ascii="仿宋_GB2312" w:eastAsia="仿宋_GB2312" w:hAnsi="黑体" w:hint="eastAsia"/>
          <w:sz w:val="32"/>
          <w:szCs w:val="32"/>
        </w:rPr>
        <w:t>万元，主要是基本支出增加了8,786.95万元，项目支出增加了</w:t>
      </w:r>
      <w:r>
        <w:rPr>
          <w:rFonts w:ascii="仿宋_GB2312" w:eastAsia="仿宋_GB2312" w:hAnsi="黑体" w:hint="eastAsia"/>
          <w:sz w:val="32"/>
          <w:szCs w:val="32"/>
        </w:rPr>
        <w:lastRenderedPageBreak/>
        <w:t>41,985.99万元。</w:t>
      </w:r>
    </w:p>
    <w:p w14:paraId="61147ACE" w14:textId="77777777" w:rsidR="00853449" w:rsidRDefault="00000000">
      <w:pPr>
        <w:ind w:firstLine="640"/>
        <w:jc w:val="left"/>
        <w:rPr>
          <w:rFonts w:ascii="楷体" w:eastAsia="楷体" w:hAnsi="楷体" w:hint="eastAsia"/>
          <w:sz w:val="32"/>
          <w:szCs w:val="32"/>
        </w:rPr>
      </w:pPr>
      <w:r>
        <w:rPr>
          <w:rFonts w:ascii="楷体" w:eastAsia="楷体" w:hAnsi="楷体" w:hint="eastAsia"/>
          <w:sz w:val="32"/>
          <w:szCs w:val="32"/>
        </w:rPr>
        <w:t>（二）一般公共预算当年拨款结构情况</w:t>
      </w:r>
    </w:p>
    <w:p w14:paraId="7009393F" w14:textId="77777777" w:rsidR="00853449" w:rsidRDefault="00000000">
      <w:pPr>
        <w:ind w:firstLineChars="250" w:firstLine="800"/>
        <w:rPr>
          <w:rFonts w:ascii="仿宋_GB2312" w:eastAsia="仿宋_GB2312" w:hAnsi="黑体" w:hint="eastAsia"/>
          <w:sz w:val="32"/>
          <w:szCs w:val="32"/>
        </w:rPr>
      </w:pPr>
      <w:r>
        <w:rPr>
          <w:rFonts w:ascii="仿宋_GB2312" w:eastAsia="仿宋_GB2312" w:hAnsi="黑体" w:cs="仿宋_GB2312" w:hint="eastAsia"/>
          <w:sz w:val="32"/>
          <w:szCs w:val="32"/>
        </w:rPr>
        <w:t>一般公共服务（类）支出260</w:t>
      </w:r>
      <w:r>
        <w:rPr>
          <w:rFonts w:ascii="仿宋_GB2312" w:eastAsia="仿宋_GB2312" w:hAnsi="黑体" w:hint="eastAsia"/>
          <w:sz w:val="32"/>
          <w:szCs w:val="32"/>
        </w:rPr>
        <w:t>万元，占0.09%；；教育（类）</w:t>
      </w:r>
      <w:r>
        <w:rPr>
          <w:rFonts w:ascii="仿宋_GB2312" w:eastAsia="仿宋_GB2312" w:hAnsi="黑体" w:cs="仿宋_GB2312" w:hint="eastAsia"/>
          <w:sz w:val="32"/>
          <w:szCs w:val="32"/>
        </w:rPr>
        <w:t>支出224,056.24</w:t>
      </w:r>
      <w:r>
        <w:rPr>
          <w:rFonts w:ascii="仿宋_GB2312" w:eastAsia="仿宋_GB2312" w:hAnsi="黑体" w:hint="eastAsia"/>
          <w:sz w:val="32"/>
          <w:szCs w:val="32"/>
        </w:rPr>
        <w:t>万元，占73.63%；科学技术（类）</w:t>
      </w:r>
      <w:r>
        <w:rPr>
          <w:rFonts w:ascii="仿宋_GB2312" w:eastAsia="仿宋_GB2312" w:hAnsi="黑体" w:cs="仿宋_GB2312" w:hint="eastAsia"/>
          <w:sz w:val="32"/>
          <w:szCs w:val="32"/>
        </w:rPr>
        <w:t>支出37,927.15</w:t>
      </w:r>
      <w:r>
        <w:rPr>
          <w:rFonts w:ascii="仿宋_GB2312" w:eastAsia="仿宋_GB2312" w:hAnsi="黑体" w:hint="eastAsia"/>
          <w:sz w:val="32"/>
          <w:szCs w:val="32"/>
        </w:rPr>
        <w:t>万元，占12.46%; 社会保障和就业(类）支出13,983.57万元，占4.60%；卫生健康（类）支出4，380.55万元，占1.44%；农林水（类）支出42.99万元，占0.01%； 住房保障（类）支出6,309.98万元，占2.07%；其他（类）支出17,354.67万元，占5.70%。</w:t>
      </w:r>
    </w:p>
    <w:p w14:paraId="4FEAEE78" w14:textId="77777777" w:rsidR="00853449" w:rsidRDefault="00000000">
      <w:pPr>
        <w:ind w:firstLine="640"/>
        <w:jc w:val="left"/>
        <w:rPr>
          <w:rFonts w:ascii="楷体" w:eastAsia="楷体" w:hAnsi="楷体" w:hint="eastAsia"/>
          <w:sz w:val="32"/>
          <w:szCs w:val="32"/>
        </w:rPr>
      </w:pPr>
      <w:r>
        <w:rPr>
          <w:rFonts w:ascii="楷体" w:eastAsia="楷体" w:hAnsi="楷体" w:hint="eastAsia"/>
          <w:sz w:val="32"/>
          <w:szCs w:val="32"/>
        </w:rPr>
        <w:t>（三）一般公共预算当年拨款具体使用情况</w:t>
      </w:r>
    </w:p>
    <w:p w14:paraId="347B21B9" w14:textId="77777777" w:rsidR="00853449"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1.一般公共服务支出（类）知识产权事务（款）其他知识产权事务支出（项）2024</w:t>
      </w:r>
      <w:r>
        <w:rPr>
          <w:rFonts w:ascii="仿宋_GB2312" w:eastAsia="仿宋_GB2312" w:hAnsi="黑体" w:hint="eastAsia"/>
          <w:sz w:val="32"/>
          <w:szCs w:val="32"/>
        </w:rPr>
        <w:t>年预算数为260万元，比上年预算数</w:t>
      </w:r>
      <w:r>
        <w:rPr>
          <w:rFonts w:ascii="仿宋_GB2312" w:eastAsia="仿宋_GB2312" w:hAnsi="黑体" w:cs="仿宋_GB2312" w:hint="eastAsia"/>
          <w:sz w:val="32"/>
          <w:szCs w:val="32"/>
        </w:rPr>
        <w:t>增加120.6</w:t>
      </w:r>
      <w:r>
        <w:rPr>
          <w:rFonts w:ascii="仿宋_GB2312" w:eastAsia="仿宋_GB2312" w:hAnsi="黑体" w:hint="eastAsia"/>
          <w:sz w:val="32"/>
          <w:szCs w:val="32"/>
        </w:rPr>
        <w:t>万元，主要是知识产权事务中其他知识产权事务支出项目支出预算增加。</w:t>
      </w:r>
    </w:p>
    <w:p w14:paraId="36AC1FD6" w14:textId="77777777" w:rsidR="00853449"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2.</w:t>
      </w:r>
      <w:r>
        <w:rPr>
          <w:rFonts w:ascii="仿宋_GB2312" w:eastAsia="仿宋_GB2312" w:hAnsi="黑体" w:cs="仿宋_GB2312" w:hint="eastAsia"/>
          <w:sz w:val="32"/>
          <w:szCs w:val="32"/>
        </w:rPr>
        <w:t xml:space="preserve"> 教育支出（类）普通教育（款）学前教育（项）2024</w:t>
      </w:r>
      <w:r>
        <w:rPr>
          <w:rFonts w:ascii="仿宋_GB2312" w:eastAsia="仿宋_GB2312" w:hAnsi="黑体" w:hint="eastAsia"/>
          <w:sz w:val="32"/>
          <w:szCs w:val="32"/>
        </w:rPr>
        <w:t>年预算数为1,298.12万元，比上年预算数</w:t>
      </w:r>
      <w:r>
        <w:rPr>
          <w:rFonts w:ascii="仿宋_GB2312" w:eastAsia="仿宋_GB2312" w:hAnsi="黑体" w:cs="仿宋_GB2312" w:hint="eastAsia"/>
          <w:sz w:val="32"/>
          <w:szCs w:val="32"/>
        </w:rPr>
        <w:t>减少181.96</w:t>
      </w:r>
      <w:r>
        <w:rPr>
          <w:rFonts w:ascii="仿宋_GB2312" w:eastAsia="仿宋_GB2312" w:hAnsi="黑体" w:hint="eastAsia"/>
          <w:sz w:val="32"/>
          <w:szCs w:val="32"/>
        </w:rPr>
        <w:t>万元，主要是学前教育的基本支出预算增加55.35万元，项目支出预算减少237.31万元。</w:t>
      </w:r>
    </w:p>
    <w:p w14:paraId="3C54F061" w14:textId="77777777" w:rsidR="00853449"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3.</w:t>
      </w:r>
      <w:r>
        <w:rPr>
          <w:rFonts w:ascii="仿宋_GB2312" w:eastAsia="仿宋_GB2312" w:hAnsi="黑体" w:cs="仿宋_GB2312" w:hint="eastAsia"/>
          <w:sz w:val="32"/>
          <w:szCs w:val="32"/>
        </w:rPr>
        <w:t xml:space="preserve"> 教育支出（类）普通教育（款）高等教育（项）2024</w:t>
      </w:r>
      <w:r>
        <w:rPr>
          <w:rFonts w:ascii="仿宋_GB2312" w:eastAsia="仿宋_GB2312" w:hAnsi="黑体" w:hint="eastAsia"/>
          <w:sz w:val="32"/>
          <w:szCs w:val="32"/>
        </w:rPr>
        <w:t>年预算数为222,758.12万元，比上年预算数增加19,957.52万元，主要是普通教育中高等教育的基本支出预算增加8,137.62万元，项目支出预算增加11,819.9万元。</w:t>
      </w:r>
    </w:p>
    <w:p w14:paraId="172EBD7B" w14:textId="77777777" w:rsidR="00853449"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lastRenderedPageBreak/>
        <w:t>4.科学技术支出（类）基础研究（款）自然科学基金（项）2024年预算数为2,567.28万元，比上年预算数增加1,004.06万元，主要是增加的自然科学基金项目支出预算。</w:t>
      </w:r>
    </w:p>
    <w:p w14:paraId="5945028E" w14:textId="77777777" w:rsidR="00853449"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5.科学技术支出（类）基础研究（款）科技人才队伍建设（项）2024年预算数为6,823.2万元，比上年预算数增加5,610.92万元，主要是增加的科技人才队伍建设项目支出预算。</w:t>
      </w:r>
    </w:p>
    <w:p w14:paraId="41B5E527" w14:textId="77777777" w:rsidR="00853449"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6.科学技术支出（类）基础研究（款）其他基础研究支出（项）2024年预算数为15万元，比上年预算数增加15万元，主要是增加的其他基础研究支出项目支出预算。</w:t>
      </w:r>
    </w:p>
    <w:p w14:paraId="53C4CBC6" w14:textId="77777777" w:rsidR="00853449"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7.科学技术支出（类）应用研究（款）高技术研究（项）2024年预算数为648.6万元，比上年预算数增加438.6万元，主要是增加的高技术研究项目支出预算。</w:t>
      </w:r>
    </w:p>
    <w:p w14:paraId="29321D44" w14:textId="77777777" w:rsidR="00853449"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8.科学技术支出（类）应用研究（款）其他应用研究支出（项）2024年预算数为14,899万元，比上年预算数增加14,899万元，主要是增加的其他应用研究支出项目（重点研发专项）支出预算。</w:t>
      </w:r>
    </w:p>
    <w:p w14:paraId="33455DC8" w14:textId="77777777" w:rsidR="00853449"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9.科学技术支出（类）技术研究与开发（款）其他技术研究与开发支出（项）2024年预算数为190.18万元，比上年预算数增加180.18万元，主要是增加的其他技术研究与开发支出项目支出预算。</w:t>
      </w:r>
    </w:p>
    <w:p w14:paraId="1A6159C5" w14:textId="77777777" w:rsidR="00853449"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10.科学技术支出（类）科技条件与服务（款）科技条</w:t>
      </w:r>
      <w:r>
        <w:rPr>
          <w:rFonts w:ascii="仿宋_GB2312" w:eastAsia="仿宋_GB2312" w:hAnsi="黑体" w:hint="eastAsia"/>
          <w:sz w:val="32"/>
          <w:szCs w:val="32"/>
        </w:rPr>
        <w:lastRenderedPageBreak/>
        <w:t>件专项（项）2024年预算数为2,114.64万元，比上年预算数减少1,495.81万元，主要是减少的科技条件专项项目支出预算。</w:t>
      </w:r>
    </w:p>
    <w:p w14:paraId="3203F928" w14:textId="77777777" w:rsidR="00853449"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11.科学技术支出（类）科技条件与服务（款）其他科技条件与服务支出（项）2024年预算数为1,080.91万元，比上年预算数增加1,080.91万元，主要是增加的其他科技条件与服务支出项目支出预算。</w:t>
      </w:r>
    </w:p>
    <w:p w14:paraId="51F05C8D" w14:textId="77777777" w:rsidR="00853449"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12.科学技术支出（类）社会科学（款）社会科学研究（项）2024年预算数为188.4万元，比上年预算数减少258.1万元，主要是社会科学研究项目支出预算减少</w:t>
      </w:r>
      <w:r>
        <w:rPr>
          <w:rFonts w:ascii="仿宋_GB2312" w:eastAsia="仿宋_GB2312" w:hAnsi="黑体" w:hint="eastAsia"/>
          <w:b/>
          <w:bCs/>
          <w:sz w:val="32"/>
          <w:szCs w:val="32"/>
        </w:rPr>
        <w:t>。</w:t>
      </w:r>
    </w:p>
    <w:p w14:paraId="12433910" w14:textId="77777777" w:rsidR="00853449"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13.科学技术支出（类）社会科学（款）其他社会科学支出（项）2024年预算数为9.03万元，比上年预算数减少12.97万元，主要是减少的其他社会科学支出项目支出预算。</w:t>
      </w:r>
    </w:p>
    <w:p w14:paraId="441CB4BB" w14:textId="77777777" w:rsidR="00853449"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14.科学技术支出（类）科学技术普及（款）科普活动（项）2024年预算数为23.00万，比上年预算数增加23.00万，主要是增加的科普活动项目支出预算。</w:t>
      </w:r>
    </w:p>
    <w:p w14:paraId="308AC9F8" w14:textId="77777777" w:rsidR="00853449"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15.科学技术支出（类）科技交流与合作（款）国际交流与合作（项）2024年预算数为640.00万，比上年预算数增加640.00万，主要是增加的国际交流与合作项目支出预算。</w:t>
      </w:r>
    </w:p>
    <w:p w14:paraId="523AD101" w14:textId="77777777" w:rsidR="00853449"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16.科学技术支出（类）科技交流与合作（款）其他科技交流与合作支出（项）2024年预算数为536.55万元，比</w:t>
      </w:r>
      <w:r>
        <w:rPr>
          <w:rFonts w:ascii="仿宋_GB2312" w:eastAsia="仿宋_GB2312" w:hAnsi="黑体" w:hint="eastAsia"/>
          <w:sz w:val="32"/>
          <w:szCs w:val="32"/>
        </w:rPr>
        <w:lastRenderedPageBreak/>
        <w:t>上年预算数减少322.3万元，主要是减少的其他科技交流与合作支出项目支出预算。</w:t>
      </w:r>
    </w:p>
    <w:p w14:paraId="2661FF76" w14:textId="77777777" w:rsidR="00853449"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17.科学技术支出（类）科技重大项目（款）科技重大专项（项）2024年预算数为1,271.84万元，比上年预算数减少1,111.09万元，主要是科技重大专项项目支出预算减少。</w:t>
      </w:r>
    </w:p>
    <w:p w14:paraId="1E7B5370" w14:textId="77777777" w:rsidR="00853449"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18.科学技术支出（类）科技重大项目（款）重点研发计划（项）2024年预算数为6,119.33万元，比上年预算数减少9,150.97万元，主要是重点研发专项支出预算重分类到其他类别。</w:t>
      </w:r>
    </w:p>
    <w:p w14:paraId="709409E0" w14:textId="77777777" w:rsidR="00853449"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19.科学技术支出（类）其他科学技术支出（款）科技奖励（项）2024年预算数为141万元，比上年预算数增加43万元，主要是科技奖励项目支出预算增加。</w:t>
      </w:r>
    </w:p>
    <w:p w14:paraId="58FD2454" w14:textId="77777777" w:rsidR="00853449"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20.科学技术支出（类）其他科学技术支出（款）其他科学技术支出（项）2024年预算数为659.19万元，比上年预算数增加346.10万元，主要是增加其他科学技术支出项目支出预算。</w:t>
      </w:r>
    </w:p>
    <w:p w14:paraId="0F502878" w14:textId="77777777" w:rsidR="00853449"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21.社会保障和就业支出（类）行政事业单位养老支出（款）机关事业单位基本养老保险缴费支出（项）2024年预算数为9,076.75万元，比上年增加946.46</w:t>
      </w:r>
      <w:r>
        <w:rPr>
          <w:rFonts w:ascii="仿宋_GB2312" w:eastAsia="仿宋_GB2312" w:hAnsi="黑体" w:hint="eastAsia"/>
          <w:sz w:val="32"/>
          <w:szCs w:val="32"/>
        </w:rPr>
        <w:t> </w:t>
      </w:r>
      <w:r>
        <w:rPr>
          <w:rFonts w:ascii="仿宋_GB2312" w:eastAsia="仿宋_GB2312" w:hAnsi="黑体" w:hint="eastAsia"/>
          <w:sz w:val="32"/>
          <w:szCs w:val="32"/>
        </w:rPr>
        <w:t>万元。主要是新增人员增加和政策性调资导致社保基数增加。</w:t>
      </w:r>
    </w:p>
    <w:p w14:paraId="5DFB63E1" w14:textId="77777777" w:rsidR="00853449"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22.社会保障和就业支出（类）行政事业单位养老支出</w:t>
      </w:r>
      <w:r>
        <w:rPr>
          <w:rFonts w:ascii="仿宋_GB2312" w:eastAsia="仿宋_GB2312" w:hAnsi="黑体" w:hint="eastAsia"/>
          <w:sz w:val="32"/>
          <w:szCs w:val="32"/>
        </w:rPr>
        <w:lastRenderedPageBreak/>
        <w:t>（款）机关事业单位职业年金缴费支出（项）2024年预算数为4,886.82万元，比上年增加1,325.83</w:t>
      </w:r>
      <w:r>
        <w:rPr>
          <w:rFonts w:ascii="仿宋_GB2312" w:eastAsia="仿宋_GB2312" w:hAnsi="黑体" w:hint="eastAsia"/>
          <w:sz w:val="32"/>
          <w:szCs w:val="32"/>
        </w:rPr>
        <w:t> </w:t>
      </w:r>
      <w:r>
        <w:rPr>
          <w:rFonts w:ascii="仿宋_GB2312" w:eastAsia="仿宋_GB2312" w:hAnsi="黑体" w:hint="eastAsia"/>
          <w:sz w:val="32"/>
          <w:szCs w:val="32"/>
        </w:rPr>
        <w:t>万元。主要是新增人员增加和政策性调资导致社保基数增加。</w:t>
      </w:r>
    </w:p>
    <w:p w14:paraId="17B8FFAA" w14:textId="77777777" w:rsidR="00853449"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23.社会保障和就业支出（类）抚恤（款）其他优抚支出（项）2024年预算数为20万元，比上年预算数增加4万元，主要是抚恤人数变化导致的机关事业单位抚恤支出预算增加。</w:t>
      </w:r>
    </w:p>
    <w:p w14:paraId="50FB2108" w14:textId="77777777" w:rsidR="00853449"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24.卫生健康支出（类）行政事业单位医疗（款）事业单位医疗（项）2024年预算数为4,380.55万元，比上年增加144.72万元，主要是事业单位医疗基本支出预算减少195.74万元，项目支出预算增加340.46万元。</w:t>
      </w:r>
    </w:p>
    <w:p w14:paraId="12AD2735" w14:textId="77777777" w:rsidR="00853449"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25.农林水支出（类）农业农村（款）农业生产发展（项）2024年预算数为42.99万元，比上年减少1,513.01万元，主要是农业生产发展项目支出预算减少。</w:t>
      </w:r>
    </w:p>
    <w:p w14:paraId="1D4841D3" w14:textId="77777777" w:rsidR="00853449"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26.住房保障支出（类）住房改革支出（款）住房公积金（项）2024年预算数为6,309.98万元，比上年预算数1,243.08万元，主要是住房公积金基本支出预算增加306.81万元，项目支出预算增加936.27万元。</w:t>
      </w:r>
    </w:p>
    <w:p w14:paraId="33362BA6" w14:textId="77777777" w:rsidR="00853449"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27.其他支出（类）其他支出（款）其他支出（类）2024年预算数为17,354.67万元，比上年预算数增加17,354.67万元，主要是南海海洋资源利用国家重点实验室项目和海南大学协同创新中心项目资金结转。</w:t>
      </w:r>
    </w:p>
    <w:p w14:paraId="0C10FB34" w14:textId="77777777" w:rsidR="00853449" w:rsidRDefault="00000000">
      <w:pPr>
        <w:ind w:firstLine="640"/>
        <w:rPr>
          <w:rFonts w:ascii="黑体" w:eastAsia="黑体" w:hAnsi="黑体" w:hint="eastAsia"/>
          <w:sz w:val="32"/>
          <w:szCs w:val="32"/>
        </w:rPr>
      </w:pPr>
      <w:r>
        <w:rPr>
          <w:rFonts w:ascii="黑体" w:eastAsia="黑体" w:hAnsi="黑体" w:hint="eastAsia"/>
          <w:sz w:val="32"/>
          <w:szCs w:val="32"/>
        </w:rPr>
        <w:lastRenderedPageBreak/>
        <w:t>三、关于海南大学（含附属幼儿园）2024年一般公共预算基本支出情况说明</w:t>
      </w:r>
    </w:p>
    <w:p w14:paraId="3DB7494F" w14:textId="77777777" w:rsidR="00853449"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海南大学（含附属幼儿园）2024年一般公共预算基本支出为99,007.95万元，其中：</w:t>
      </w:r>
    </w:p>
    <w:p w14:paraId="3D774B7D" w14:textId="77777777" w:rsidR="00853449"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人员经费81,722.32万元，主要包括：基本工资、津贴补贴、绩效工资、机关事业单位基本养老保险缴费、职业年金缴费、职工基本医疗保险缴费、其他社会保障缴费、住房公积金、医疗费、其他工资福利支出、邮电费、生活补助、奖励金等;</w:t>
      </w:r>
    </w:p>
    <w:p w14:paraId="157045A0" w14:textId="77777777" w:rsidR="00853449"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公用经费17,285.63万元，主要包括：办公费、印刷费、咨询费、手续费、水费、电费、邮电费、物业管理费、差旅费、维修(护)费、租赁费、会议费、培训费、专用材料费、委托业务费、其他商品和服务支出、其他对个人和家庭的补助、办公设备购置、其他社会保障缴费、其他工资福利支出等。</w:t>
      </w:r>
    </w:p>
    <w:p w14:paraId="617FCE24" w14:textId="77777777" w:rsidR="00853449"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四、</w:t>
      </w:r>
      <w:r>
        <w:rPr>
          <w:rFonts w:ascii="黑体" w:eastAsia="黑体" w:hAnsi="黑体" w:hint="eastAsia"/>
          <w:sz w:val="32"/>
          <w:szCs w:val="32"/>
        </w:rPr>
        <w:t>海南大学（含附属幼儿园）2024年</w:t>
      </w:r>
      <w:r>
        <w:rPr>
          <w:rFonts w:ascii="黑体" w:eastAsia="黑体" w:hAnsi="黑体" w:cs="Times New Roman"/>
          <w:sz w:val="32"/>
          <w:shd w:val="clear" w:color="auto" w:fill="FFFFFF"/>
        </w:rPr>
        <w:t>“三公”经费预算情况</w:t>
      </w:r>
      <w:r>
        <w:rPr>
          <w:rFonts w:ascii="黑体" w:eastAsia="黑体" w:hAnsi="黑体" w:cs="Times New Roman" w:hint="eastAsia"/>
          <w:sz w:val="32"/>
          <w:shd w:val="clear" w:color="auto" w:fill="FFFFFF"/>
        </w:rPr>
        <w:t>说明</w:t>
      </w:r>
    </w:p>
    <w:p w14:paraId="41391104" w14:textId="77777777" w:rsidR="00853449" w:rsidRDefault="00000000">
      <w:pPr>
        <w:ind w:firstLineChars="200" w:firstLine="640"/>
        <w:rPr>
          <w:rFonts w:ascii="仿宋_GB2312" w:eastAsia="仿宋_GB2312" w:hAnsi="黑体" w:cs="Times New Roman" w:hint="eastAsia"/>
          <w:sz w:val="32"/>
          <w:szCs w:val="32"/>
        </w:rPr>
      </w:pPr>
      <w:r>
        <w:rPr>
          <w:rFonts w:ascii="仿宋_GB2312" w:eastAsia="仿宋_GB2312" w:hAnsi="黑体" w:hint="eastAsia"/>
          <w:sz w:val="32"/>
          <w:szCs w:val="32"/>
        </w:rPr>
        <w:t>（一）海南大学（含附属幼儿园）2024年一般公共预算“三公”经费预算数为141万元，其中：</w:t>
      </w:r>
    </w:p>
    <w:p w14:paraId="1EB663AA" w14:textId="77777777" w:rsidR="00853449" w:rsidRDefault="00000000">
      <w:pPr>
        <w:ind w:firstLine="640"/>
        <w:rPr>
          <w:rFonts w:ascii="仿宋_GB2312" w:eastAsia="仿宋_GB2312" w:hAnsi="仿宋_GB2312" w:cs="仿宋_GB2312" w:hint="eastAsia"/>
          <w:sz w:val="32"/>
          <w:shd w:val="clear" w:color="auto" w:fill="FFFFFF"/>
        </w:rPr>
      </w:pPr>
      <w:r>
        <w:rPr>
          <w:rFonts w:ascii="仿宋_GB2312" w:eastAsia="仿宋_GB2312" w:hAnsi="仿宋_GB2312" w:cs="仿宋_GB2312" w:hint="eastAsia"/>
          <w:sz w:val="32"/>
          <w:shd w:val="clear" w:color="auto" w:fill="FFFFFF"/>
        </w:rPr>
        <w:t>因公出国（境）经费40</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hd w:val="clear" w:color="auto" w:fill="FFFFFF"/>
        </w:rPr>
        <w:t>，与上年预算持平。根据海南省主管部门安排和学校实际情况的2024年出国计划，拟安排出国（境）团（组）2次，出国（境）12人。出国（境）</w:t>
      </w:r>
      <w:r>
        <w:rPr>
          <w:rFonts w:ascii="仿宋_GB2312" w:eastAsia="仿宋_GB2312" w:hAnsi="仿宋_GB2312" w:cs="仿宋_GB2312" w:hint="eastAsia"/>
          <w:sz w:val="32"/>
          <w:shd w:val="clear" w:color="auto" w:fill="FFFFFF"/>
        </w:rPr>
        <w:lastRenderedPageBreak/>
        <w:t>团组主要包括：（1）海南大学赴美国、加拿大、巴西团，目的地为美国、加拿大、巴西，人数为6人，天数为10天，任务是开展教育合作交流；（2）海南大学出访埃及、沙特阿拉伯、阿联酋团，目的地为埃及、沙特阿拉伯、阿联酋，人数为6人，天数是10天，任务是开展教育合作交流。</w:t>
      </w:r>
    </w:p>
    <w:p w14:paraId="0719546E" w14:textId="77777777" w:rsidR="00853449" w:rsidRDefault="00000000">
      <w:pPr>
        <w:ind w:firstLine="640"/>
        <w:rPr>
          <w:rFonts w:ascii="仿宋_GB2312" w:eastAsia="仿宋_GB2312" w:hAnsi="仿宋_GB2312" w:cs="仿宋_GB2312" w:hint="eastAsia"/>
          <w:sz w:val="32"/>
          <w:shd w:val="clear" w:color="auto" w:fill="FFFFFF"/>
        </w:rPr>
      </w:pPr>
      <w:r>
        <w:rPr>
          <w:rFonts w:ascii="仿宋_GB2312" w:eastAsia="仿宋_GB2312" w:hAnsi="仿宋_GB2312" w:cs="仿宋_GB2312" w:hint="eastAsia"/>
          <w:sz w:val="32"/>
          <w:shd w:val="clear" w:color="auto" w:fill="FFFFFF"/>
        </w:rPr>
        <w:t>公务用车购置及运行费40</w:t>
      </w:r>
      <w:r>
        <w:rPr>
          <w:rFonts w:ascii="仿宋_GB2312" w:eastAsia="仿宋_GB2312" w:hAnsi="仿宋_GB2312" w:cs="仿宋_GB2312" w:hint="eastAsia"/>
          <w:sz w:val="32"/>
          <w:szCs w:val="32"/>
        </w:rPr>
        <w:t>万元（其中，</w:t>
      </w:r>
      <w:r>
        <w:rPr>
          <w:rFonts w:ascii="仿宋_GB2312" w:eastAsia="仿宋_GB2312" w:hAnsi="仿宋_GB2312" w:cs="仿宋_GB2312" w:hint="eastAsia"/>
          <w:sz w:val="32"/>
          <w:shd w:val="clear" w:color="auto" w:fill="FFFFFF"/>
        </w:rPr>
        <w:t>公务用车购置费0</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hd w:val="clear" w:color="auto" w:fill="FFFFFF"/>
        </w:rPr>
        <w:t>，公务用车运行费40</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hd w:val="clear" w:color="auto" w:fill="FFFFFF"/>
        </w:rPr>
        <w:t>，与上年预算持平；公务车保有量18</w:t>
      </w:r>
      <w:r>
        <w:rPr>
          <w:rFonts w:ascii="仿宋_GB2312" w:eastAsia="仿宋_GB2312" w:hAnsi="仿宋_GB2312" w:cs="仿宋_GB2312" w:hint="eastAsia"/>
          <w:sz w:val="32"/>
          <w:szCs w:val="32"/>
        </w:rPr>
        <w:t>辆，计划购置0辆</w:t>
      </w:r>
      <w:r>
        <w:rPr>
          <w:rFonts w:ascii="仿宋_GB2312" w:eastAsia="仿宋_GB2312" w:hAnsi="仿宋_GB2312" w:cs="仿宋_GB2312" w:hint="eastAsia"/>
          <w:sz w:val="32"/>
          <w:shd w:val="clear" w:color="auto" w:fill="FFFFFF"/>
        </w:rPr>
        <w:t>。</w:t>
      </w:r>
    </w:p>
    <w:p w14:paraId="5FE823CF" w14:textId="77777777" w:rsidR="00853449" w:rsidRDefault="00000000">
      <w:pPr>
        <w:ind w:firstLine="640"/>
        <w:rPr>
          <w:rFonts w:ascii="Times New Roman" w:eastAsia="仿宋_GB2312" w:hAnsi="Times New Roman" w:cs="Times New Roman"/>
          <w:sz w:val="32"/>
          <w:shd w:val="clear" w:color="auto" w:fill="FFFFFF"/>
        </w:rPr>
      </w:pPr>
      <w:r>
        <w:rPr>
          <w:rFonts w:ascii="仿宋_GB2312" w:eastAsia="仿宋_GB2312" w:hAnsi="黑体" w:cs="Times New Roman"/>
          <w:sz w:val="32"/>
          <w:szCs w:val="32"/>
        </w:rPr>
        <w:t>公务接待费</w:t>
      </w:r>
      <w:r>
        <w:rPr>
          <w:rFonts w:ascii="仿宋_GB2312" w:eastAsia="仿宋_GB2312" w:hAnsi="黑体" w:cs="Times New Roman" w:hint="eastAsia"/>
          <w:sz w:val="32"/>
          <w:szCs w:val="32"/>
        </w:rPr>
        <w:t>61</w:t>
      </w:r>
      <w:r>
        <w:rPr>
          <w:rFonts w:ascii="Times New Roman" w:eastAsia="仿宋_GB2312" w:hAnsi="Times New Roman" w:cs="Times New Roman"/>
          <w:sz w:val="32"/>
          <w:shd w:val="clear" w:color="auto" w:fill="FFFFFF"/>
        </w:rPr>
        <w:t>万元，与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Times New Roman" w:eastAsia="仿宋_GB2312" w:hAnsi="Times New Roman" w:cs="Times New Roman" w:hint="eastAsia"/>
          <w:sz w:val="32"/>
          <w:shd w:val="clear" w:color="auto" w:fill="FFFFFF"/>
        </w:rPr>
        <w:t>，计划接待</w:t>
      </w:r>
      <w:r>
        <w:rPr>
          <w:rFonts w:ascii="仿宋_GB2312" w:eastAsia="仿宋_GB2312" w:hAnsi="仿宋_GB2312" w:cs="仿宋_GB2312" w:hint="eastAsia"/>
          <w:sz w:val="32"/>
          <w:shd w:val="clear" w:color="auto" w:fill="FFFFFF"/>
        </w:rPr>
        <w:t>300</w:t>
      </w:r>
      <w:r>
        <w:rPr>
          <w:rFonts w:ascii="仿宋_GB2312" w:eastAsia="仿宋_GB2312" w:hAnsi="黑体" w:cs="仿宋_GB2312" w:hint="eastAsia"/>
          <w:sz w:val="32"/>
          <w:szCs w:val="32"/>
        </w:rPr>
        <w:t>批2033人</w:t>
      </w:r>
      <w:r>
        <w:rPr>
          <w:rFonts w:ascii="Times New Roman" w:eastAsia="仿宋_GB2312" w:hAnsi="Times New Roman" w:cs="Times New Roman" w:hint="eastAsia"/>
          <w:sz w:val="32"/>
          <w:shd w:val="clear" w:color="auto" w:fill="FFFFFF"/>
        </w:rPr>
        <w:t>。</w:t>
      </w:r>
    </w:p>
    <w:p w14:paraId="5D1C1F82" w14:textId="77777777" w:rsidR="00853449" w:rsidRDefault="00000000">
      <w:pPr>
        <w:ind w:firstLineChars="200" w:firstLine="640"/>
        <w:rPr>
          <w:rFonts w:ascii="Times New Roman" w:eastAsia="仿宋_GB2312" w:hAnsi="Times New Roman" w:cs="Times New Roman"/>
          <w:sz w:val="32"/>
          <w:shd w:val="clear" w:color="auto" w:fill="FFFFFF"/>
        </w:rPr>
      </w:pPr>
      <w:r>
        <w:rPr>
          <w:rFonts w:ascii="仿宋_GB2312" w:eastAsia="仿宋_GB2312" w:hAnsi="黑体" w:hint="eastAsia"/>
          <w:sz w:val="32"/>
          <w:szCs w:val="32"/>
        </w:rPr>
        <w:t>（二）海南大学（含附属幼儿园）2024年政府性基金预算“三公”经费预算数为0万元。</w:t>
      </w:r>
    </w:p>
    <w:p w14:paraId="3F461CCA" w14:textId="77777777" w:rsidR="00853449"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五、关于</w:t>
      </w:r>
      <w:r>
        <w:rPr>
          <w:rFonts w:ascii="黑体" w:eastAsia="黑体" w:hAnsi="黑体" w:hint="eastAsia"/>
          <w:sz w:val="32"/>
          <w:szCs w:val="32"/>
        </w:rPr>
        <w:t>海南大学（含附属幼儿园）2024年</w:t>
      </w:r>
      <w:r>
        <w:rPr>
          <w:rFonts w:ascii="黑体" w:eastAsia="黑体" w:hAnsi="黑体" w:cs="Times New Roman" w:hint="eastAsia"/>
          <w:sz w:val="32"/>
          <w:shd w:val="clear" w:color="auto" w:fill="FFFFFF"/>
        </w:rPr>
        <w:t>政府性基金预算当年拨款情况说明</w:t>
      </w:r>
    </w:p>
    <w:p w14:paraId="021D9348" w14:textId="77777777" w:rsidR="00853449" w:rsidRDefault="00000000">
      <w:pPr>
        <w:ind w:firstLine="640"/>
        <w:jc w:val="left"/>
        <w:rPr>
          <w:rFonts w:ascii="楷体" w:eastAsia="楷体" w:hAnsi="楷体" w:hint="eastAsia"/>
          <w:sz w:val="32"/>
          <w:szCs w:val="32"/>
        </w:rPr>
      </w:pPr>
      <w:r>
        <w:rPr>
          <w:rFonts w:ascii="楷体" w:eastAsia="楷体" w:hAnsi="楷体" w:hint="eastAsia"/>
          <w:sz w:val="32"/>
          <w:szCs w:val="32"/>
        </w:rPr>
        <w:t>（一）政府性基金预算当年规模变化情况</w:t>
      </w:r>
    </w:p>
    <w:p w14:paraId="1197E942" w14:textId="77777777" w:rsidR="00853449"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海南大学（含附属幼儿园）2024年政府性基金预算当年拨款46.07万元，比上年预算数减少13.51万元，主要是项目支出预算减少了13.51万元。</w:t>
      </w:r>
    </w:p>
    <w:p w14:paraId="70036F56" w14:textId="77777777" w:rsidR="00853449" w:rsidRDefault="00000000">
      <w:pPr>
        <w:ind w:firstLine="640"/>
        <w:jc w:val="left"/>
        <w:rPr>
          <w:rFonts w:ascii="楷体" w:eastAsia="楷体" w:hAnsi="楷体" w:hint="eastAsia"/>
          <w:sz w:val="32"/>
          <w:szCs w:val="32"/>
        </w:rPr>
      </w:pPr>
      <w:r>
        <w:rPr>
          <w:rFonts w:ascii="楷体" w:eastAsia="楷体" w:hAnsi="楷体" w:hint="eastAsia"/>
          <w:sz w:val="32"/>
          <w:szCs w:val="32"/>
        </w:rPr>
        <w:t>（二）政府性基金预算当年拨款结构情况</w:t>
      </w:r>
    </w:p>
    <w:p w14:paraId="58A46D04" w14:textId="77777777" w:rsidR="00853449" w:rsidRDefault="00000000">
      <w:pPr>
        <w:ind w:firstLineChars="250" w:firstLine="800"/>
        <w:rPr>
          <w:rFonts w:ascii="仿宋_GB2312" w:eastAsia="仿宋_GB2312" w:hAnsi="黑体" w:hint="eastAsia"/>
          <w:sz w:val="32"/>
          <w:szCs w:val="32"/>
        </w:rPr>
      </w:pPr>
      <w:r>
        <w:rPr>
          <w:rFonts w:ascii="仿宋_GB2312" w:eastAsia="仿宋_GB2312" w:hAnsi="黑体" w:cs="仿宋_GB2312" w:hint="eastAsia"/>
          <w:sz w:val="32"/>
          <w:szCs w:val="32"/>
        </w:rPr>
        <w:t>其他支出（类）支出46.07万元，占100.00%。</w:t>
      </w:r>
    </w:p>
    <w:p w14:paraId="08EECEAC" w14:textId="77777777" w:rsidR="00853449" w:rsidRDefault="00000000">
      <w:pPr>
        <w:ind w:firstLine="640"/>
        <w:jc w:val="left"/>
        <w:rPr>
          <w:rFonts w:ascii="楷体" w:eastAsia="楷体" w:hAnsi="楷体" w:hint="eastAsia"/>
          <w:sz w:val="32"/>
          <w:szCs w:val="32"/>
        </w:rPr>
      </w:pPr>
      <w:r>
        <w:rPr>
          <w:rFonts w:ascii="楷体" w:eastAsia="楷体" w:hAnsi="楷体" w:hint="eastAsia"/>
          <w:sz w:val="32"/>
          <w:szCs w:val="32"/>
        </w:rPr>
        <w:t>（三）政府性基金预算当年拨款具体使用情况</w:t>
      </w:r>
    </w:p>
    <w:p w14:paraId="74E4C4CF" w14:textId="77777777" w:rsidR="00853449"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其他支出（类）彩票公益金安排的支出（款）用于教育</w:t>
      </w:r>
      <w:r>
        <w:rPr>
          <w:rFonts w:ascii="仿宋_GB2312" w:eastAsia="仿宋_GB2312" w:hAnsi="黑体" w:cs="仿宋_GB2312" w:hint="eastAsia"/>
          <w:sz w:val="32"/>
          <w:szCs w:val="32"/>
        </w:rPr>
        <w:lastRenderedPageBreak/>
        <w:t>事业的彩票公益金支出（项）2024年预算数为46.07万元，比上年预算数减少13.51万元，主要是用于教育事业的彩票公益金支出项目支出预算减少13.51万元。</w:t>
      </w:r>
    </w:p>
    <w:p w14:paraId="1F63AC25" w14:textId="77777777" w:rsidR="00853449"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六、关于</w:t>
      </w:r>
      <w:r>
        <w:rPr>
          <w:rFonts w:ascii="黑体" w:eastAsia="黑体" w:hAnsi="黑体" w:hint="eastAsia"/>
          <w:sz w:val="32"/>
          <w:szCs w:val="32"/>
        </w:rPr>
        <w:t>海南大学（含附属幼儿园）2024年</w:t>
      </w:r>
      <w:r>
        <w:rPr>
          <w:rFonts w:ascii="黑体" w:eastAsia="黑体" w:hAnsi="黑体" w:cs="Times New Roman" w:hint="eastAsia"/>
          <w:sz w:val="32"/>
          <w:shd w:val="clear" w:color="auto" w:fill="FFFFFF"/>
        </w:rPr>
        <w:t>收支预算情况的总体说明</w:t>
      </w:r>
    </w:p>
    <w:p w14:paraId="6B9FB6FD" w14:textId="77777777" w:rsidR="00853449"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按照综合预算原则，海南大学（含附属幼儿园）所有收入和支出均纳入部门预算管理。收入包括：一般公共预算拨款收入、政府性基金预算拨款收入、财政专户管理资金收入、事业收入、其他收入；支出包括：一般公共服务支出、教育支出、科学技术支出、社会保障和就业支出、卫生健康支出、农林水支出、住房保障支出、其他支出。海南大学（含附属幼儿园）2024年收支总预算457,383.89万元。</w:t>
      </w:r>
    </w:p>
    <w:p w14:paraId="544757B9" w14:textId="77777777" w:rsidR="00853449"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七、关于</w:t>
      </w:r>
      <w:r>
        <w:rPr>
          <w:rFonts w:ascii="黑体" w:eastAsia="黑体" w:hAnsi="黑体" w:hint="eastAsia"/>
          <w:sz w:val="32"/>
          <w:szCs w:val="32"/>
        </w:rPr>
        <w:t>海南大学（含附属幼儿园）2024年</w:t>
      </w:r>
      <w:r>
        <w:rPr>
          <w:rFonts w:ascii="黑体" w:eastAsia="黑体" w:hAnsi="黑体" w:cs="Times New Roman" w:hint="eastAsia"/>
          <w:sz w:val="32"/>
          <w:shd w:val="clear" w:color="auto" w:fill="FFFFFF"/>
        </w:rPr>
        <w:t>预算收入情况说明</w:t>
      </w:r>
    </w:p>
    <w:p w14:paraId="66C374C6" w14:textId="77777777" w:rsidR="00853449"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海南大学（含附属幼儿园）2024年</w:t>
      </w:r>
      <w:r>
        <w:rPr>
          <w:rFonts w:ascii="仿宋_GB2312" w:eastAsia="仿宋_GB2312" w:hAnsi="黑体" w:hint="eastAsia"/>
          <w:sz w:val="32"/>
          <w:szCs w:val="32"/>
        </w:rPr>
        <w:t>收入预算</w:t>
      </w:r>
      <w:r>
        <w:rPr>
          <w:rFonts w:ascii="仿宋_GB2312" w:eastAsia="仿宋_GB2312" w:hAnsi="黑体" w:cs="仿宋_GB2312" w:hint="eastAsia"/>
          <w:sz w:val="32"/>
          <w:szCs w:val="32"/>
        </w:rPr>
        <w:t>457,383.89</w:t>
      </w:r>
      <w:r>
        <w:rPr>
          <w:rFonts w:ascii="仿宋_GB2312" w:eastAsia="仿宋_GB2312" w:hAnsi="黑体" w:hint="eastAsia"/>
          <w:sz w:val="32"/>
          <w:szCs w:val="32"/>
        </w:rPr>
        <w:t>万元，其中：上年结转84,633.52万元，占18.50%；一般公共预算拨款收入269,691.71万元，占58.96%；政府性基金预算拨款收入36.00万元，占0.01%；财政专户管理资金收入46,863.68万元，占10.25%；事业收入35,353.00万元，占7.73%；其他收入20,805.98万元，占4.55%。</w:t>
      </w:r>
    </w:p>
    <w:p w14:paraId="13C435AF" w14:textId="77777777" w:rsidR="00853449"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八、关于</w:t>
      </w:r>
      <w:r>
        <w:rPr>
          <w:rFonts w:ascii="黑体" w:eastAsia="黑体" w:hAnsi="黑体" w:hint="eastAsia"/>
          <w:sz w:val="32"/>
          <w:szCs w:val="32"/>
        </w:rPr>
        <w:t>海南大学（含附属幼儿园）2024年</w:t>
      </w:r>
      <w:r>
        <w:rPr>
          <w:rFonts w:ascii="黑体" w:eastAsia="黑体" w:hAnsi="黑体" w:cs="Times New Roman" w:hint="eastAsia"/>
          <w:sz w:val="32"/>
          <w:shd w:val="clear" w:color="auto" w:fill="FFFFFF"/>
        </w:rPr>
        <w:t>支出预算情况说明</w:t>
      </w:r>
    </w:p>
    <w:p w14:paraId="0139ACA9" w14:textId="77777777" w:rsidR="00853449"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lastRenderedPageBreak/>
        <w:t>海南大学（含附属幼儿园）2024年</w:t>
      </w:r>
      <w:r>
        <w:rPr>
          <w:rFonts w:ascii="仿宋_GB2312" w:eastAsia="仿宋_GB2312" w:hAnsi="黑体" w:hint="eastAsia"/>
          <w:sz w:val="32"/>
          <w:szCs w:val="32"/>
        </w:rPr>
        <w:t>支出预算457,383.89万元，其中：基本支出151,331.63万元，占33.09%；项目支出306,052.27万元，占66.91%。比上年预算数</w:t>
      </w:r>
      <w:r>
        <w:rPr>
          <w:rFonts w:ascii="仿宋_GB2312" w:eastAsia="仿宋_GB2312" w:hAnsi="黑体" w:cs="仿宋_GB2312" w:hint="eastAsia"/>
          <w:sz w:val="32"/>
          <w:szCs w:val="32"/>
        </w:rPr>
        <w:t>增加69,020.18</w:t>
      </w:r>
      <w:r>
        <w:rPr>
          <w:rFonts w:ascii="仿宋_GB2312" w:eastAsia="仿宋_GB2312" w:hAnsi="黑体" w:hint="eastAsia"/>
          <w:sz w:val="32"/>
          <w:szCs w:val="32"/>
        </w:rPr>
        <w:t>万元，主要是基本支出增加16,860.32万元和项目支出增加52,159.86万元。</w:t>
      </w:r>
    </w:p>
    <w:p w14:paraId="6DEBE294" w14:textId="77777777" w:rsidR="00853449"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九、其他重要事项的情况说明</w:t>
      </w:r>
    </w:p>
    <w:p w14:paraId="313037F5" w14:textId="3AD61CDF" w:rsidR="00853449" w:rsidRDefault="00000000">
      <w:pPr>
        <w:ind w:firstLineChars="200" w:firstLine="640"/>
        <w:rPr>
          <w:rFonts w:ascii="楷体" w:eastAsia="楷体" w:hAnsi="楷体" w:hint="eastAsia"/>
          <w:sz w:val="32"/>
          <w:szCs w:val="32"/>
        </w:rPr>
      </w:pPr>
      <w:r>
        <w:rPr>
          <w:rFonts w:ascii="楷体" w:eastAsia="楷体" w:hAnsi="楷体" w:hint="eastAsia"/>
          <w:sz w:val="32"/>
          <w:szCs w:val="32"/>
        </w:rPr>
        <w:t>（一）机关运行经费</w:t>
      </w:r>
    </w:p>
    <w:p w14:paraId="4D3066B0" w14:textId="77777777" w:rsidR="00853449" w:rsidRDefault="00000000">
      <w:pPr>
        <w:ind w:firstLineChars="200" w:firstLine="640"/>
        <w:rPr>
          <w:rFonts w:ascii="楷体" w:eastAsia="楷体" w:hAnsi="楷体" w:hint="eastAsia"/>
          <w:sz w:val="32"/>
          <w:szCs w:val="32"/>
        </w:rPr>
      </w:pPr>
      <w:r>
        <w:rPr>
          <w:rFonts w:ascii="仿宋_GB2312" w:eastAsia="仿宋_GB2312" w:hAnsi="仿宋_GB2312" w:cs="仿宋_GB2312"/>
          <w:color w:val="000000"/>
          <w:sz w:val="32"/>
          <w:szCs w:val="32"/>
          <w:shd w:val="clear" w:color="auto" w:fill="FFFFFF"/>
        </w:rPr>
        <w:t>海南大学（含附属幼儿园）是事业单位</w:t>
      </w:r>
      <w:r>
        <w:rPr>
          <w:rFonts w:ascii="仿宋_GB2312" w:eastAsia="仿宋_GB2312" w:hAnsi="仿宋_GB2312" w:cs="仿宋_GB2312" w:hint="eastAsia"/>
          <w:color w:val="000000"/>
          <w:sz w:val="32"/>
          <w:szCs w:val="32"/>
          <w:shd w:val="clear" w:color="auto" w:fill="FFFFFF"/>
        </w:rPr>
        <w:t>，</w:t>
      </w:r>
      <w:r>
        <w:rPr>
          <w:rFonts w:ascii="仿宋_GB2312" w:eastAsia="仿宋_GB2312" w:hAnsi="仿宋_GB2312" w:cs="仿宋_GB2312"/>
          <w:color w:val="000000"/>
          <w:sz w:val="32"/>
          <w:szCs w:val="32"/>
          <w:shd w:val="clear" w:color="auto" w:fill="FFFFFF"/>
        </w:rPr>
        <w:t>202</w:t>
      </w:r>
      <w:r>
        <w:rPr>
          <w:rFonts w:ascii="仿宋_GB2312" w:eastAsia="仿宋_GB2312" w:hAnsi="仿宋_GB2312" w:cs="仿宋_GB2312" w:hint="eastAsia"/>
          <w:color w:val="000000"/>
          <w:sz w:val="32"/>
          <w:szCs w:val="32"/>
          <w:shd w:val="clear" w:color="auto" w:fill="FFFFFF"/>
        </w:rPr>
        <w:t>4</w:t>
      </w:r>
      <w:r>
        <w:rPr>
          <w:rFonts w:ascii="仿宋_GB2312" w:eastAsia="仿宋_GB2312" w:hAnsi="仿宋_GB2312" w:cs="仿宋_GB2312"/>
          <w:color w:val="000000"/>
          <w:sz w:val="32"/>
          <w:szCs w:val="32"/>
          <w:shd w:val="clear" w:color="auto" w:fill="FFFFFF"/>
        </w:rPr>
        <w:t>年无需说明。</w:t>
      </w:r>
    </w:p>
    <w:p w14:paraId="28AC6732" w14:textId="77777777" w:rsidR="00853449" w:rsidRDefault="00000000">
      <w:pPr>
        <w:ind w:firstLineChars="200" w:firstLine="640"/>
        <w:rPr>
          <w:rFonts w:ascii="楷体" w:eastAsia="楷体" w:hAnsi="楷体" w:hint="eastAsia"/>
          <w:sz w:val="32"/>
          <w:szCs w:val="32"/>
        </w:rPr>
      </w:pPr>
      <w:r>
        <w:rPr>
          <w:rFonts w:ascii="楷体" w:eastAsia="楷体" w:hAnsi="楷体" w:hint="eastAsia"/>
          <w:sz w:val="32"/>
          <w:szCs w:val="32"/>
        </w:rPr>
        <w:t>（二）政府采购情况</w:t>
      </w:r>
    </w:p>
    <w:p w14:paraId="7EF0F9AB" w14:textId="77777777" w:rsidR="00853449" w:rsidRDefault="00000000">
      <w:pPr>
        <w:ind w:firstLine="640"/>
        <w:rPr>
          <w:rFonts w:ascii="仿宋_GB2312" w:eastAsia="仿宋_GB2312" w:hAnsi="黑体" w:hint="eastAsia"/>
          <w:sz w:val="32"/>
          <w:szCs w:val="32"/>
        </w:rPr>
      </w:pPr>
      <w:r>
        <w:rPr>
          <w:rFonts w:ascii="仿宋_GB2312" w:eastAsia="仿宋_GB2312" w:hAnsi="黑体" w:cs="仿宋_GB2312" w:hint="eastAsia"/>
          <w:sz w:val="32"/>
          <w:szCs w:val="32"/>
        </w:rPr>
        <w:t>2024年海南大学（含附属幼儿园）政府采购预算总额92,796.42万元，其中：政府采购货物预算52，746.42万元，政府采购工程预算38,300.00万元，政府采购服务预算1,750.00万元。</w:t>
      </w:r>
    </w:p>
    <w:p w14:paraId="4E27862C" w14:textId="77777777" w:rsidR="00853449" w:rsidRDefault="00000000">
      <w:pPr>
        <w:ind w:firstLineChars="200" w:firstLine="640"/>
        <w:rPr>
          <w:rFonts w:ascii="楷体" w:eastAsia="楷体" w:hAnsi="楷体" w:hint="eastAsia"/>
          <w:sz w:val="32"/>
          <w:szCs w:val="32"/>
        </w:rPr>
      </w:pPr>
      <w:r>
        <w:rPr>
          <w:rFonts w:ascii="楷体" w:eastAsia="楷体" w:hAnsi="楷体" w:hint="eastAsia"/>
          <w:sz w:val="32"/>
          <w:szCs w:val="32"/>
        </w:rPr>
        <w:t>（三）国有资产占有使用情况</w:t>
      </w:r>
    </w:p>
    <w:p w14:paraId="504F0E83" w14:textId="77777777" w:rsidR="00853449"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截至2023</w:t>
      </w:r>
      <w:r>
        <w:rPr>
          <w:rFonts w:ascii="仿宋_GB2312" w:eastAsia="仿宋_GB2312" w:hAnsi="黑体" w:hint="eastAsia"/>
          <w:sz w:val="32"/>
          <w:szCs w:val="32"/>
        </w:rPr>
        <w:t>年12月31日，海南大学本级及下属各预算单位共有车辆18辆，其中，领导干部用车0辆，机要通信应急用车1辆，一般执法执勤用车0辆,特种专业技术用车8辆，其他用车9辆。</w:t>
      </w:r>
      <w:r>
        <w:rPr>
          <w:rFonts w:ascii="仿宋_GB2312" w:eastAsia="仿宋_GB2312" w:hAnsi="黑体" w:cs="仿宋_GB2312" w:hint="eastAsia"/>
          <w:sz w:val="32"/>
          <w:szCs w:val="32"/>
        </w:rPr>
        <w:t>单位价值100万元以上设备174台（套）。</w:t>
      </w:r>
    </w:p>
    <w:p w14:paraId="6F1C1009" w14:textId="77777777" w:rsidR="00853449" w:rsidRDefault="00000000">
      <w:pPr>
        <w:widowControl/>
        <w:ind w:firstLineChars="200" w:firstLine="640"/>
        <w:jc w:val="left"/>
        <w:rPr>
          <w:rFonts w:ascii="楷体" w:eastAsia="楷体" w:hAnsi="楷体" w:hint="eastAsia"/>
          <w:sz w:val="32"/>
          <w:szCs w:val="32"/>
        </w:rPr>
      </w:pPr>
      <w:r>
        <w:rPr>
          <w:rFonts w:ascii="楷体" w:eastAsia="楷体" w:hAnsi="楷体" w:hint="eastAsia"/>
          <w:sz w:val="32"/>
          <w:szCs w:val="32"/>
        </w:rPr>
        <w:t>（四）绩效目标设置及重点项目绩效目标说明</w:t>
      </w:r>
    </w:p>
    <w:p w14:paraId="1D0304B1" w14:textId="77777777" w:rsidR="00853449"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2024</w:t>
      </w:r>
      <w:r>
        <w:rPr>
          <w:rFonts w:ascii="仿宋_GB2312" w:eastAsia="仿宋_GB2312" w:hAnsi="黑体" w:hint="eastAsia"/>
          <w:sz w:val="32"/>
          <w:szCs w:val="32"/>
        </w:rPr>
        <w:t>年</w:t>
      </w:r>
      <w:r>
        <w:rPr>
          <w:rFonts w:ascii="仿宋_GB2312" w:eastAsia="仿宋_GB2312" w:hAnsi="黑体" w:cs="仿宋_GB2312" w:hint="eastAsia"/>
          <w:sz w:val="32"/>
          <w:szCs w:val="32"/>
        </w:rPr>
        <w:t>海南大学（含附属幼儿园）66个项目实行绩效目标管理，涉及一般公共预算269,691.71</w:t>
      </w:r>
      <w:r>
        <w:rPr>
          <w:rFonts w:ascii="仿宋_GB2312" w:eastAsia="仿宋_GB2312" w:hAnsi="黑体" w:hint="eastAsia"/>
          <w:sz w:val="32"/>
          <w:szCs w:val="32"/>
        </w:rPr>
        <w:t>万元、政府性基</w:t>
      </w:r>
      <w:r>
        <w:rPr>
          <w:rFonts w:ascii="仿宋_GB2312" w:eastAsia="仿宋_GB2312" w:hAnsi="黑体" w:hint="eastAsia"/>
          <w:sz w:val="32"/>
          <w:szCs w:val="32"/>
        </w:rPr>
        <w:lastRenderedPageBreak/>
        <w:t>金</w:t>
      </w:r>
      <w:r>
        <w:rPr>
          <w:rFonts w:ascii="仿宋_GB2312" w:eastAsia="仿宋_GB2312" w:hAnsi="黑体" w:cs="仿宋_GB2312" w:hint="eastAsia"/>
          <w:sz w:val="32"/>
          <w:szCs w:val="32"/>
        </w:rPr>
        <w:t>36</w:t>
      </w:r>
      <w:r>
        <w:rPr>
          <w:rFonts w:ascii="仿宋_GB2312" w:eastAsia="仿宋_GB2312" w:hAnsi="黑体" w:hint="eastAsia"/>
          <w:sz w:val="32"/>
          <w:szCs w:val="32"/>
        </w:rPr>
        <w:t>万元。其中，重点项目预算绩效情况如下：</w:t>
      </w:r>
    </w:p>
    <w:p w14:paraId="59E6F004" w14:textId="77777777" w:rsidR="00853449" w:rsidRDefault="00000000">
      <w:pPr>
        <w:ind w:firstLineChars="200" w:firstLine="640"/>
        <w:rPr>
          <w:rFonts w:ascii="仿宋_GB2312" w:eastAsia="仿宋_GB2312" w:hAnsi="黑体" w:cs="仿宋_GB2312" w:hint="eastAsia"/>
          <w:sz w:val="32"/>
          <w:szCs w:val="32"/>
        </w:rPr>
      </w:pPr>
      <w:r>
        <w:rPr>
          <w:rFonts w:ascii="仿宋_GB2312" w:eastAsia="仿宋_GB2312" w:hAnsi="黑体" w:hint="eastAsia"/>
          <w:sz w:val="32"/>
          <w:szCs w:val="32"/>
        </w:rPr>
        <w:t>1.</w:t>
      </w:r>
      <w:r>
        <w:rPr>
          <w:rFonts w:ascii="仿宋_GB2312" w:eastAsia="仿宋_GB2312" w:hAnsi="黑体" w:cs="仿宋_GB2312" w:hint="eastAsia"/>
          <w:sz w:val="32"/>
          <w:szCs w:val="32"/>
        </w:rPr>
        <w:t>人才开发专项资金项目，预算安排1,695.00万元，主要用于培养、引进科技创新人才，构建低门槛、中门槛、高门槛科技人才培养项目体系，营造“来得了、留得住、用得好”科技人才发展生态。绩效目标是发表高质量论文≥50篇，国家级项目立项≥15项，评审通过率≥95%，培养研究生及高质量人才≥100人，申请专利≥15项，科研成果转化利用率≥95%。</w:t>
      </w:r>
    </w:p>
    <w:p w14:paraId="1B8BA6BB" w14:textId="77777777" w:rsidR="00853449"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2.研究生公寓及附属食堂项目，预算安排1,300.00万元，主要用于新建一栋地上17层、地下1层的研究生公寓及一栋地上3层的附属食堂。绩效目标是竣工验收合格率=100%,建设任务完成率≥100%,建设成本≤24605万元，重大安全事故发生数=0次。</w:t>
      </w:r>
    </w:p>
    <w:p w14:paraId="2AE7803C" w14:textId="77777777" w:rsidR="00853449"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3.法学科研中心项目，预算安排1,000.00万元，新建一栋地下1层，地上12层的法学科研大楼。绩效目标是竣工验收合格率=100%，建设任务完成率≥100%，建设成本≤8155万元，建筑（工程）综合利用率≥90%。</w:t>
      </w:r>
    </w:p>
    <w:p w14:paraId="11EBD468" w14:textId="77777777" w:rsidR="00853449"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4.紫荆学生公寓3号楼项目，预算安排8,000.00万元,主要用于完成紫荆学生公寓3号楼整体建设，以及配套工程室内给排水、供电、通讯、监控、防雷及排风、消防及安全、室外停车场、给排水、供电及绿化等工程。绩效目标是竣工验收合格率=100%，建设任务完成率≥90%，建设成本≤32293</w:t>
      </w:r>
      <w:r>
        <w:rPr>
          <w:rFonts w:ascii="仿宋_GB2312" w:eastAsia="仿宋_GB2312" w:hAnsi="黑体" w:cs="仿宋_GB2312" w:hint="eastAsia"/>
          <w:sz w:val="32"/>
          <w:szCs w:val="32"/>
        </w:rPr>
        <w:lastRenderedPageBreak/>
        <w:t>万元，建筑（工程）综合利用率≥60%。</w:t>
      </w:r>
    </w:p>
    <w:p w14:paraId="1F2856CE" w14:textId="77777777" w:rsidR="00853449" w:rsidRDefault="00000000">
      <w:pPr>
        <w:ind w:firstLineChars="200" w:firstLine="640"/>
        <w:jc w:val="left"/>
        <w:rPr>
          <w:rFonts w:ascii="仿宋_GB2312" w:eastAsia="仿宋_GB2312" w:hAnsi="黑体" w:cs="仿宋_GB2312" w:hint="eastAsia"/>
          <w:sz w:val="32"/>
          <w:szCs w:val="32"/>
        </w:rPr>
      </w:pPr>
      <w:r>
        <w:rPr>
          <w:rFonts w:ascii="仿宋_GB2312" w:eastAsia="仿宋_GB2312" w:hAnsi="黑体" w:cs="仿宋_GB2312" w:hint="eastAsia"/>
          <w:sz w:val="32"/>
          <w:szCs w:val="32"/>
        </w:rPr>
        <w:t>5.学生事务补助项目，预算安排</w:t>
      </w:r>
      <w:r>
        <w:rPr>
          <w:rFonts w:ascii="仿宋_GB2312" w:eastAsia="仿宋_GB2312" w:hAnsi="宋体" w:cs="宋体" w:hint="eastAsia"/>
          <w:color w:val="000000"/>
          <w:kern w:val="0"/>
          <w:sz w:val="32"/>
          <w:szCs w:val="30"/>
        </w:rPr>
        <w:t>9,000.00万元,主要用于</w:t>
      </w:r>
      <w:r>
        <w:rPr>
          <w:rFonts w:ascii="仿宋_GB2312" w:eastAsia="仿宋_GB2312" w:hAnsi="宋体" w:cs="宋体"/>
          <w:color w:val="000000"/>
          <w:kern w:val="0"/>
          <w:sz w:val="32"/>
          <w:szCs w:val="30"/>
        </w:rPr>
        <w:t>帮助家庭经济困难学生、残疾学生，缓解经济压力，顺利完成学业</w:t>
      </w:r>
      <w:r>
        <w:rPr>
          <w:rFonts w:ascii="仿宋_GB2312" w:eastAsia="仿宋_GB2312" w:hAnsi="宋体" w:cs="宋体" w:hint="eastAsia"/>
          <w:color w:val="000000"/>
          <w:kern w:val="0"/>
          <w:sz w:val="32"/>
          <w:szCs w:val="30"/>
        </w:rPr>
        <w:t>等。</w:t>
      </w:r>
      <w:r>
        <w:rPr>
          <w:rFonts w:ascii="仿宋_GB2312" w:eastAsia="仿宋_GB2312" w:hAnsi="黑体" w:cs="仿宋_GB2312" w:hint="eastAsia"/>
          <w:sz w:val="32"/>
          <w:szCs w:val="32"/>
        </w:rPr>
        <w:t>绩效目标是资助在校本科生≥33000人，资助在校研究生≥8943人，奖补资金执行率≥92%。</w:t>
      </w:r>
    </w:p>
    <w:p w14:paraId="5F42080A" w14:textId="77777777" w:rsidR="00853449" w:rsidRDefault="00000000">
      <w:pPr>
        <w:numPr>
          <w:ilvl w:val="255"/>
          <w:numId w:val="0"/>
        </w:numPr>
        <w:ind w:firstLineChars="200" w:firstLine="640"/>
        <w:jc w:val="left"/>
        <w:rPr>
          <w:rFonts w:ascii="仿宋_GB2312" w:eastAsia="仿宋_GB2312" w:hAnsi="黑体" w:cs="仿宋_GB2312" w:hint="eastAsia"/>
          <w:sz w:val="32"/>
          <w:szCs w:val="32"/>
        </w:rPr>
      </w:pPr>
      <w:r>
        <w:rPr>
          <w:rFonts w:ascii="仿宋_GB2312" w:eastAsia="仿宋_GB2312" w:hAnsi="黑体" w:cs="仿宋_GB2312" w:hint="eastAsia"/>
          <w:sz w:val="32"/>
          <w:szCs w:val="32"/>
        </w:rPr>
        <w:t>6.</w:t>
      </w:r>
      <w:r>
        <w:rPr>
          <w:rFonts w:ascii="仿宋_GB2312" w:eastAsia="仿宋_GB2312" w:hAnsi="黑体" w:cs="仿宋_GB2312"/>
          <w:sz w:val="32"/>
          <w:szCs w:val="32"/>
        </w:rPr>
        <w:t>高水平大学和一流学科建设</w:t>
      </w:r>
      <w:r>
        <w:rPr>
          <w:rFonts w:ascii="仿宋_GB2312" w:eastAsia="仿宋_GB2312" w:hAnsi="黑体" w:cs="仿宋_GB2312" w:hint="eastAsia"/>
          <w:sz w:val="32"/>
          <w:szCs w:val="32"/>
        </w:rPr>
        <w:t xml:space="preserve">项目，预算安排17,154.39万元，主要用于主要用于教学能力提升、教学实验平台建设、科研及科研平台建设、人才引进与师资队伍建设、公共服务体系等支持学校发展相关业务。绩效目标是引培国家级人才≥10人，购置纸质中文图书≥25000册，支持重点学科数量≥19个，支持举办学术讲座数量≥60场，新引进博士及以上高层次人才数量≥300人,支持教学实验仪器设备更新维护数量≥150件, </w:t>
      </w:r>
      <w:r>
        <w:rPr>
          <w:rFonts w:ascii="仿宋_GB2312" w:eastAsia="仿宋_GB2312" w:hAnsi="黑体" w:cs="仿宋_GB2312"/>
          <w:sz w:val="32"/>
          <w:szCs w:val="32"/>
        </w:rPr>
        <w:t>国家级一流课程建设</w:t>
      </w:r>
      <w:r>
        <w:rPr>
          <w:rFonts w:ascii="仿宋_GB2312" w:eastAsia="仿宋_GB2312" w:hAnsi="黑体" w:cs="仿宋_GB2312" w:hint="eastAsia"/>
          <w:sz w:val="32"/>
          <w:szCs w:val="32"/>
        </w:rPr>
        <w:t>≥6门，采购成本不超过采购需求金额，发表SCI论文（含SSCI）≥500篇，国家级、省部级立项数量≥500个，保障新校区及办学点正常运行的数量≥3个。</w:t>
      </w:r>
    </w:p>
    <w:p w14:paraId="3ECA8AAA" w14:textId="77777777" w:rsidR="00853449" w:rsidRDefault="00000000">
      <w:pPr>
        <w:numPr>
          <w:ilvl w:val="255"/>
          <w:numId w:val="0"/>
        </w:numPr>
        <w:ind w:firstLineChars="200" w:firstLine="640"/>
        <w:jc w:val="left"/>
        <w:rPr>
          <w:rFonts w:ascii="仿宋_GB2312" w:eastAsia="仿宋_GB2312" w:hAnsi="黑体" w:cs="仿宋_GB2312" w:hint="eastAsia"/>
          <w:sz w:val="32"/>
          <w:szCs w:val="32"/>
        </w:rPr>
      </w:pPr>
      <w:r>
        <w:rPr>
          <w:rFonts w:ascii="仿宋_GB2312" w:eastAsia="仿宋_GB2312" w:hAnsi="黑体" w:cs="仿宋_GB2312" w:hint="eastAsia"/>
          <w:sz w:val="32"/>
          <w:szCs w:val="32"/>
        </w:rPr>
        <w:t>7.生物医学与健康研究中心项目，预算安排5,000.00万元，主要用于完成生物医学与健康研究中心科研大楼整体建设，完成配套科研设备采购、安装及运行。绩效目标是项目按计划开工率≥90%，项目按计划完工率≥80%，年度建设任务完成率=100%，新建/改建/扩建建筑面积≥51615平方米，项目验收合格率=100%，</w:t>
      </w:r>
      <w:r>
        <w:rPr>
          <w:rFonts w:ascii="仿宋_GB2312" w:eastAsia="仿宋_GB2312" w:hAnsi="黑体" w:cs="仿宋_GB2312"/>
          <w:sz w:val="32"/>
          <w:szCs w:val="32"/>
        </w:rPr>
        <w:t>超概率</w:t>
      </w:r>
      <w:r>
        <w:rPr>
          <w:rFonts w:ascii="仿宋_GB2312" w:eastAsia="仿宋_GB2312" w:hAnsi="黑体" w:cs="仿宋_GB2312" w:hint="eastAsia"/>
          <w:sz w:val="32"/>
          <w:szCs w:val="32"/>
        </w:rPr>
        <w:t>=0%，重大安全事故发生</w:t>
      </w:r>
      <w:r>
        <w:rPr>
          <w:rFonts w:ascii="仿宋_GB2312" w:eastAsia="仿宋_GB2312" w:hAnsi="黑体" w:cs="仿宋_GB2312" w:hint="eastAsia"/>
          <w:sz w:val="32"/>
          <w:szCs w:val="32"/>
        </w:rPr>
        <w:lastRenderedPageBreak/>
        <w:t>数=0次。</w:t>
      </w:r>
    </w:p>
    <w:p w14:paraId="108F63E0" w14:textId="77777777" w:rsidR="00853449" w:rsidRDefault="00000000">
      <w:pPr>
        <w:ind w:firstLine="640"/>
        <w:rPr>
          <w:rFonts w:ascii="仿宋_GB2312" w:eastAsia="仿宋_GB2312" w:hAnsi="黑体" w:hint="eastAsia"/>
          <w:sz w:val="32"/>
          <w:szCs w:val="32"/>
        </w:rPr>
      </w:pPr>
      <w:r>
        <w:rPr>
          <w:rFonts w:ascii="仿宋_GB2312" w:eastAsia="仿宋_GB2312" w:hAnsi="黑体" w:hint="eastAsia"/>
          <w:sz w:val="32"/>
          <w:szCs w:val="32"/>
        </w:rPr>
        <w:t>8.重点研发专项项目，预算安排14,899.00万元，主要用于落实全省经济社会发展和科技发展规划部署，实施省委、省政府重点工作，促进科技成果转化等。绩效目标是国家级科研项目立项数年增量≥20项，培养研究生人数≥300人，国内外核心期刊发表论文数≥80篇，新增省部级及以上平台/基地≥2个，转化科技成果合同金额≥2000万元，专利申请数≥20项，科技成果转化数量≥20项，实现关键核心技术突破数量≥2项。</w:t>
      </w:r>
    </w:p>
    <w:p w14:paraId="07259098" w14:textId="77777777" w:rsidR="00853449" w:rsidRDefault="00000000">
      <w:pPr>
        <w:ind w:firstLine="640"/>
        <w:rPr>
          <w:rFonts w:ascii="仿宋_GB2312" w:eastAsia="仿宋_GB2312" w:hAnsi="黑体" w:hint="eastAsia"/>
          <w:sz w:val="32"/>
          <w:szCs w:val="32"/>
        </w:rPr>
      </w:pPr>
      <w:r>
        <w:rPr>
          <w:rFonts w:ascii="仿宋_GB2312" w:eastAsia="仿宋_GB2312" w:hAnsi="黑体" w:hint="eastAsia"/>
          <w:sz w:val="32"/>
          <w:szCs w:val="32"/>
        </w:rPr>
        <w:t>9.科技条件平台专项项目，预算安排1,080.91万元，主要用于科技条件平台建设，推动科研成果实际应用，维修维护设备升级等。绩效目标是专利申请数≥5篇，设备维修维护升级数量≥10套，SCI收录论文数≥10篇，国内外核心期刊发表论文数≥5篇，得到实际应用的科研成果数量≥3个。</w:t>
      </w:r>
    </w:p>
    <w:p w14:paraId="496D5633" w14:textId="77777777" w:rsidR="00853449" w:rsidRDefault="00000000">
      <w:pPr>
        <w:ind w:firstLine="640"/>
        <w:rPr>
          <w:rFonts w:ascii="仿宋_GB2312" w:eastAsia="仿宋_GB2312" w:hAnsi="黑体" w:hint="eastAsia"/>
          <w:sz w:val="32"/>
          <w:szCs w:val="32"/>
        </w:rPr>
      </w:pPr>
      <w:r>
        <w:rPr>
          <w:rFonts w:ascii="仿宋_GB2312" w:eastAsia="仿宋_GB2312" w:hAnsi="黑体" w:hint="eastAsia"/>
          <w:sz w:val="32"/>
          <w:szCs w:val="32"/>
        </w:rPr>
        <w:t>10.海南大学密码科研实验环境平台建设项目，预算安排2,000.00万元，主要用于打造密码实训与攻防教学平台等，提高密码科技创新能力，加强密码学院建设，促进高质量密码人才培训，将为海南自由贸易港建设、“一带一路”倡议、一流密码强国建设提供有力保障。绩效目标是密码应用员等培训班≥5场，打造密码实训与攻防教学平台、密码实验室及工程中心科研平台和先进的密码科研实验环境平</w:t>
      </w:r>
      <w:r>
        <w:rPr>
          <w:rFonts w:ascii="仿宋_GB2312" w:eastAsia="仿宋_GB2312" w:hAnsi="黑体" w:hint="eastAsia"/>
          <w:sz w:val="32"/>
          <w:szCs w:val="32"/>
        </w:rPr>
        <w:lastRenderedPageBreak/>
        <w:t>台≥3个，采购设备金额小于采购需求金额，实验室利用率≥90%，国家级项目个数≥10个，培养博士研究生人数≥6人，培养硕士研究生人数≥50人，引进高层次人才人数≥6人。</w:t>
      </w:r>
    </w:p>
    <w:p w14:paraId="6EB22383" w14:textId="77777777" w:rsidR="00853449" w:rsidRDefault="00000000">
      <w:pPr>
        <w:ind w:firstLine="640"/>
        <w:rPr>
          <w:rFonts w:ascii="仿宋_GB2312" w:eastAsia="仿宋_GB2312" w:hAnsi="黑体" w:hint="eastAsia"/>
          <w:sz w:val="32"/>
          <w:szCs w:val="32"/>
        </w:rPr>
      </w:pPr>
      <w:r>
        <w:rPr>
          <w:rFonts w:ascii="仿宋_GB2312" w:eastAsia="仿宋_GB2312" w:hAnsi="黑体" w:hint="eastAsia"/>
          <w:sz w:val="32"/>
          <w:szCs w:val="32"/>
        </w:rPr>
        <w:t>11.海南大学海甸校区电力改造—热农科群楼配电房扩容改造及供电线路扩容改造项目，预算安排1,000.00万元，主要用于提高配电房的供电能力和供电容量，解决热农科群楼已出现用电紧张和配电房超载运行的情况，保障热农科群楼、海洋实验楼和基础实验楼的教学科研工作和供电安全，保障实验楼的教学科研正常进行。绩效目标是建设任务完成率≥90%，竣工验收合格率=100%，建设成本≤1863万元，重大安全事故发生数=0次。</w:t>
      </w:r>
    </w:p>
    <w:p w14:paraId="23CCE90A" w14:textId="77777777" w:rsidR="00853449" w:rsidRDefault="00000000">
      <w:pPr>
        <w:ind w:firstLineChars="200" w:firstLine="640"/>
        <w:jc w:val="left"/>
        <w:rPr>
          <w:rFonts w:ascii="仿宋_GB2312" w:eastAsia="仿宋_GB2312" w:hAnsi="黑体" w:cs="仿宋_GB2312" w:hint="eastAsia"/>
          <w:sz w:val="32"/>
          <w:szCs w:val="32"/>
        </w:rPr>
      </w:pPr>
      <w:r>
        <w:rPr>
          <w:rFonts w:ascii="仿宋_GB2312" w:eastAsia="仿宋_GB2312" w:hAnsi="黑体" w:hint="eastAsia"/>
          <w:sz w:val="32"/>
          <w:szCs w:val="32"/>
        </w:rPr>
        <w:t>12.海南大学观澜湖校区教学及生活服务设施（二期）项目，预算安排6,000.00万元，主要用于建设综合学术中心、国际影视设计与传媒学院楼、师生活动中心。绩效目标是项目按计划开工率=100%，项目按计划完工率=100%，建设任务完成率=100%，建设（改造、修缮）工程量≥30000平方米，竣工验收合格率=100%，建设成本≤84693万元，重大安全事故发生数=0次。</w:t>
      </w:r>
    </w:p>
    <w:p w14:paraId="3DA57D16" w14:textId="77777777" w:rsidR="00853449" w:rsidRDefault="00000000">
      <w:pPr>
        <w:ind w:firstLineChars="200" w:firstLine="640"/>
        <w:jc w:val="left"/>
        <w:rPr>
          <w:rFonts w:ascii="仿宋_GB2312" w:eastAsia="仿宋_GB2312" w:hAnsi="黑体" w:cs="仿宋_GB2312" w:hint="eastAsia"/>
          <w:sz w:val="32"/>
          <w:szCs w:val="32"/>
        </w:rPr>
      </w:pPr>
      <w:r>
        <w:rPr>
          <w:rFonts w:ascii="仿宋_GB2312" w:eastAsia="仿宋_GB2312" w:hAnsi="黑体" w:hint="eastAsia"/>
          <w:sz w:val="32"/>
          <w:szCs w:val="32"/>
        </w:rPr>
        <w:t>13.海南大学新药筛选及评价平台项目，预算安排5,000.00万元，主要用于建设公共服务平台、创新药物研究平台、动物评价平台的实验主体设施，以及配套的地下车库、</w:t>
      </w:r>
      <w:r>
        <w:rPr>
          <w:rFonts w:ascii="仿宋_GB2312" w:eastAsia="仿宋_GB2312" w:hAnsi="黑体" w:hint="eastAsia"/>
          <w:sz w:val="32"/>
          <w:szCs w:val="32"/>
        </w:rPr>
        <w:lastRenderedPageBreak/>
        <w:t>人防工程和设备用房等地下建筑。绩效目标是项目按计划开工率≥90%，项目按计划完工率≥80%，建设任务完成率=100%，当年工程建设计划完成率≥95%，建设(改造、修缮)建筑面积≥19300平方米/公里，超概率=0%，重大安全事故发生数=0次。</w:t>
      </w:r>
    </w:p>
    <w:p w14:paraId="471A5680" w14:textId="77777777" w:rsidR="00853449" w:rsidRDefault="00000000">
      <w:pPr>
        <w:ind w:firstLine="640"/>
        <w:rPr>
          <w:rFonts w:ascii="仿宋_GB2312" w:eastAsia="仿宋_GB2312" w:hAnsi="黑体" w:hint="eastAsia"/>
          <w:sz w:val="32"/>
          <w:szCs w:val="32"/>
        </w:rPr>
      </w:pPr>
      <w:r>
        <w:rPr>
          <w:rFonts w:ascii="仿宋_GB2312" w:eastAsia="仿宋_GB2312" w:hAnsi="黑体" w:hint="eastAsia"/>
          <w:sz w:val="32"/>
          <w:szCs w:val="32"/>
        </w:rPr>
        <w:t>14.南海海洋资源利用国家重点实验室项目，预算安排5,000.00万元,主要用于建设国家重点实验室科研实验大楼和万宁海洋科学试验平台。绩效目标是建设任务完成率≥50%，项目设计变更率≤10%，建设成本≤84383万元，重大安全事故发生数=0次。</w:t>
      </w:r>
    </w:p>
    <w:p w14:paraId="5A93C937" w14:textId="77777777" w:rsidR="00853449" w:rsidRDefault="00000000">
      <w:pPr>
        <w:ind w:firstLine="640"/>
        <w:rPr>
          <w:rFonts w:ascii="仿宋_GB2312" w:eastAsia="仿宋_GB2312" w:hAnsi="黑体" w:hint="eastAsia"/>
          <w:sz w:val="32"/>
          <w:szCs w:val="32"/>
        </w:rPr>
      </w:pPr>
      <w:r>
        <w:rPr>
          <w:rFonts w:ascii="仿宋_GB2312" w:eastAsia="仿宋_GB2312" w:hAnsi="黑体" w:hint="eastAsia"/>
          <w:sz w:val="32"/>
          <w:szCs w:val="32"/>
        </w:rPr>
        <w:t>15.省自然科学基金专项项目，预算安排1,904.00万元，主要用于围绕省委、省政府部署的重点科技任务，推动基础研究与应用基础研究融通创新发展。绩效目标是培养研究生人数≥100人，发表SCI、EI、核心期刊论文≥80篇（部），申请专利≥20项。</w:t>
      </w:r>
    </w:p>
    <w:p w14:paraId="69A14B63" w14:textId="77777777" w:rsidR="00853449" w:rsidRDefault="00000000">
      <w:pPr>
        <w:ind w:firstLine="640"/>
        <w:rPr>
          <w:rFonts w:ascii="仿宋_GB2312" w:eastAsia="仿宋_GB2312" w:hAnsi="黑体" w:hint="eastAsia"/>
          <w:sz w:val="32"/>
          <w:szCs w:val="32"/>
        </w:rPr>
      </w:pPr>
      <w:r>
        <w:rPr>
          <w:rFonts w:ascii="仿宋_GB2312" w:eastAsia="仿宋_GB2312" w:hAnsi="黑体" w:hint="eastAsia"/>
          <w:sz w:val="32"/>
          <w:szCs w:val="32"/>
        </w:rPr>
        <w:t>16.中央支持地方高校发展项目，预算安排23,103.00万元，主要用于办学条件改善，办学质量提升，人才培养、科学研究、社会服务、文化传承创新等水平提高，更好地服务经济社会发展。绩效目标是引培国家级人才≥10人，支持的重点学科数量≥19个，支持的教学实验室数量≥8个，国家级、省部级项目立项数量≥500项，新引进博士及以上高层次人才数量≥300人，采购金额不超过采购需求金额，受</w:t>
      </w:r>
      <w:r>
        <w:rPr>
          <w:rFonts w:ascii="仿宋_GB2312" w:eastAsia="仿宋_GB2312" w:hAnsi="黑体" w:hint="eastAsia"/>
          <w:sz w:val="32"/>
          <w:szCs w:val="32"/>
        </w:rPr>
        <w:lastRenderedPageBreak/>
        <w:t>益学生数≥39000人。</w:t>
      </w:r>
    </w:p>
    <w:p w14:paraId="7BD24DC0" w14:textId="77777777" w:rsidR="00853449" w:rsidRDefault="00000000">
      <w:pPr>
        <w:ind w:firstLine="640"/>
        <w:rPr>
          <w:rFonts w:ascii="仿宋_GB2312" w:eastAsia="仿宋_GB2312" w:hAnsi="黑体" w:hint="eastAsia"/>
          <w:sz w:val="32"/>
          <w:szCs w:val="32"/>
        </w:rPr>
      </w:pPr>
      <w:r>
        <w:rPr>
          <w:rFonts w:ascii="仿宋_GB2312" w:eastAsia="仿宋_GB2312" w:hAnsi="黑体" w:hint="eastAsia"/>
          <w:sz w:val="32"/>
          <w:szCs w:val="32"/>
        </w:rPr>
        <w:t>17.学生资助补助项目（高校）项目，预算安排13,829.80万元，主要用于按政策要求及时有效地将研究生国家助学金按月发放给符合条件的研究生，及时评选并发放研究生国家奖学金、学业奖学金。绩效目标是奖励本科生人数≥1100人，奖励研究生人数≥4500人，资助家庭经济困难学生人数≥7200人次，学生应发尽发率=100%，奖助学金发放准确率=100%，奖助学金按规定按时发放率=100%，因贫辍学人数≤1人，贫困学生获补助率≥90%。</w:t>
      </w:r>
    </w:p>
    <w:p w14:paraId="6A5698C5" w14:textId="77777777" w:rsidR="00853449" w:rsidRDefault="00000000">
      <w:pPr>
        <w:ind w:firstLine="640"/>
        <w:rPr>
          <w:rFonts w:ascii="仿宋_GB2312" w:eastAsia="仿宋_GB2312" w:hAnsi="黑体" w:hint="eastAsia"/>
          <w:sz w:val="32"/>
          <w:szCs w:val="32"/>
        </w:rPr>
      </w:pPr>
      <w:r>
        <w:rPr>
          <w:rFonts w:ascii="仿宋_GB2312" w:eastAsia="仿宋_GB2312" w:hAnsi="黑体" w:hint="eastAsia"/>
          <w:sz w:val="32"/>
          <w:szCs w:val="32"/>
        </w:rPr>
        <w:t>18.高等学校发展项目，预算安排1,089.20万元，主要用于引进和培养学科带头人及学术骨干，提升本科人才培养质量，圆满完成我省各项创新创业赛事承办任务等。绩效目标是教改科研课题≥50门，举办学科竞赛≥10个，创新科研论文数量≥100篇，举办创新创业讲座≥5场次，国家级一流本科课程建设≥6门，资助博士生创新科研项目数≥100项，采购金额不超过采购需求金额，参加创新创业讲座≥2000人，建设省级特色重点学科数量≥1个。</w:t>
      </w:r>
    </w:p>
    <w:p w14:paraId="37B8F188" w14:textId="77777777" w:rsidR="00853449" w:rsidRDefault="00000000">
      <w:pPr>
        <w:ind w:firstLine="640"/>
        <w:rPr>
          <w:rFonts w:ascii="仿宋_GB2312" w:eastAsia="仿宋_GB2312" w:hAnsi="黑体" w:hint="eastAsia"/>
          <w:sz w:val="32"/>
          <w:szCs w:val="32"/>
        </w:rPr>
      </w:pPr>
      <w:r>
        <w:rPr>
          <w:rFonts w:ascii="仿宋_GB2312" w:eastAsia="仿宋_GB2312" w:hAnsi="黑体" w:hint="eastAsia"/>
          <w:sz w:val="32"/>
          <w:szCs w:val="32"/>
        </w:rPr>
        <w:t>19.十四五高层次人才引进项目，预算安排22,000.00万元，主要用于引进高层次人才及博士，购置设备等。绩效目标是设备到位即时率=100%，设备购置完成率=100%，引进或培养国家级人才≥10人，新引进博士及以上高层次人才数量≥300人，设备验收合格率=100%，设备购置金额不超预算，</w:t>
      </w:r>
      <w:r>
        <w:rPr>
          <w:rFonts w:ascii="仿宋_GB2312" w:eastAsia="仿宋_GB2312" w:hAnsi="黑体" w:hint="eastAsia"/>
          <w:sz w:val="32"/>
          <w:szCs w:val="32"/>
        </w:rPr>
        <w:lastRenderedPageBreak/>
        <w:t>设备利用率≥90%，发表高水平论文≥500篇，申报省部级奖项≥6项，国家级项目立项数量≥230项。</w:t>
      </w:r>
    </w:p>
    <w:p w14:paraId="7B62B668" w14:textId="77777777" w:rsidR="00853449" w:rsidRDefault="00000000">
      <w:pPr>
        <w:ind w:firstLineChars="200" w:firstLine="640"/>
        <w:jc w:val="left"/>
        <w:rPr>
          <w:rFonts w:ascii="仿宋_GB2312" w:eastAsia="仿宋_GB2312" w:hAnsi="黑体" w:cs="仿宋_GB2312" w:hint="eastAsia"/>
          <w:sz w:val="32"/>
          <w:szCs w:val="32"/>
        </w:rPr>
      </w:pPr>
      <w:r>
        <w:rPr>
          <w:rFonts w:ascii="仿宋_GB2312" w:eastAsia="仿宋_GB2312" w:hAnsi="黑体" w:hint="eastAsia"/>
          <w:sz w:val="32"/>
          <w:szCs w:val="32"/>
        </w:rPr>
        <w:t>20.自贸港大学建设项目，预算安排98,698.98万元，主要用于培育重大科研成果、提高科研学术交流质量等，为中国特色自由贸易港建设、海洋强国战略等提供有力支持。绩效目标是国家级项目立项≥200项，发表SCI论文（含SSCI）≥500篇，采购金额不超过采购需求金额，提交研究报告≥60篇，科技成果转化额≥2000万元，科研成果获奖个数≥5个，支持举办学术讲座数量≥60场次。</w:t>
      </w:r>
    </w:p>
    <w:p w14:paraId="0CDCE1BA" w14:textId="77777777" w:rsidR="00853449"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21.</w:t>
      </w:r>
      <w:r>
        <w:rPr>
          <w:rFonts w:ascii="仿宋_GB2312" w:eastAsia="仿宋_GB2312" w:hAnsi="黑体" w:cs="仿宋_GB2312"/>
          <w:sz w:val="32"/>
          <w:szCs w:val="32"/>
        </w:rPr>
        <w:t>高水平大学人才引进（人员）</w:t>
      </w:r>
      <w:r>
        <w:rPr>
          <w:rFonts w:ascii="仿宋_GB2312" w:eastAsia="仿宋_GB2312" w:hAnsi="黑体" w:cs="仿宋_GB2312" w:hint="eastAsia"/>
          <w:sz w:val="32"/>
          <w:szCs w:val="32"/>
        </w:rPr>
        <w:t>，预算安排25,000.00万元，主要用于完成引进国家级人才10人，高层次人才300人任务，助力学校“双一流”建设。绩效目标是引培国家级人才≥10人，引进高层次人才数量≥300人，引进人才到岗率=100%，发表高水平论文≥500篇，申报省部级奖项≥6个，</w:t>
      </w:r>
      <w:r>
        <w:rPr>
          <w:rFonts w:ascii="仿宋_GB2312" w:eastAsia="仿宋_GB2312" w:hAnsi="黑体" w:cs="仿宋_GB2312"/>
          <w:sz w:val="32"/>
          <w:szCs w:val="32"/>
        </w:rPr>
        <w:t>国家级、省部级项目立项数量</w:t>
      </w:r>
      <w:r>
        <w:rPr>
          <w:rFonts w:ascii="仿宋_GB2312" w:eastAsia="仿宋_GB2312" w:hAnsi="黑体" w:cs="仿宋_GB2312" w:hint="eastAsia"/>
          <w:sz w:val="32"/>
          <w:szCs w:val="32"/>
        </w:rPr>
        <w:t>≥500个。</w:t>
      </w:r>
    </w:p>
    <w:p w14:paraId="31846011" w14:textId="77777777" w:rsidR="00853449" w:rsidRDefault="00000000">
      <w:pPr>
        <w:ind w:firstLine="643"/>
        <w:jc w:val="center"/>
        <w:rPr>
          <w:rFonts w:ascii="黑体" w:eastAsia="黑体" w:hAnsi="黑体" w:hint="eastAsia"/>
          <w:b/>
          <w:sz w:val="32"/>
          <w:szCs w:val="32"/>
        </w:rPr>
      </w:pPr>
      <w:r>
        <w:rPr>
          <w:rFonts w:ascii="黑体" w:eastAsia="黑体" w:hAnsi="黑体" w:hint="eastAsia"/>
          <w:b/>
          <w:sz w:val="32"/>
          <w:szCs w:val="32"/>
        </w:rPr>
        <w:t>第四部分  名词解释</w:t>
      </w:r>
    </w:p>
    <w:p w14:paraId="12B8C63E" w14:textId="77777777" w:rsidR="00853449"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一、财政拨款收入：指本级财政当年拨付的资金。</w:t>
      </w:r>
    </w:p>
    <w:p w14:paraId="532F3B41" w14:textId="77777777" w:rsidR="00853449"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二、一般公共预算拨款收入：指用于反映税收收入、专项收入、行政事业性收费收入、罚没收入、国有资源（资产）有偿使用收入、政府住房基金收入、捐赠收入等财政收入。</w:t>
      </w:r>
    </w:p>
    <w:p w14:paraId="1B37532A" w14:textId="77777777" w:rsidR="00853449"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三、政府性基金预算拨款收入：指是用于反映政府为支持某项事业发展或特定基础设施建设，依法依规向公民、法</w:t>
      </w:r>
      <w:r>
        <w:rPr>
          <w:rFonts w:ascii="仿宋_GB2312" w:eastAsia="仿宋_GB2312" w:hAnsi="宋体" w:cs="宋体" w:hint="eastAsia"/>
          <w:color w:val="000000"/>
          <w:kern w:val="0"/>
          <w:sz w:val="32"/>
          <w:szCs w:val="30"/>
        </w:rPr>
        <w:lastRenderedPageBreak/>
        <w:t>人和其他组织征收的以及出让土地、发行彩票等方式取得的具有专门用途的资金</w:t>
      </w:r>
    </w:p>
    <w:p w14:paraId="4B2BF0CB" w14:textId="77777777" w:rsidR="00853449"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 xml:space="preserve">四、事业收入：指用于反映事业单位开展专业业务活动及辅助活动所取得的收入。 </w:t>
      </w:r>
    </w:p>
    <w:p w14:paraId="3AA05DFF" w14:textId="77777777" w:rsidR="00853449"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五、事业单位经营收入：指用于反映事业单位在专业活动及辅助活动之外开展非独立核算经营活动取得的收入。</w:t>
      </w:r>
    </w:p>
    <w:p w14:paraId="3D73934C" w14:textId="77777777" w:rsidR="00853449"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六、其他收入：指除上述“财政拨款收入”“事业收入”“经营收入”等以外的收入。</w:t>
      </w:r>
    </w:p>
    <w:p w14:paraId="77C97A43" w14:textId="77777777" w:rsidR="00853449"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七、上年结转：指以前年度尚未完成、结转到本年按有关规定继续使用的资金。</w:t>
      </w:r>
    </w:p>
    <w:p w14:paraId="4E61894B" w14:textId="77777777" w:rsidR="00853449"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八、基本支出：指行政事业单位用于为保障其机构正常运转、完成日常工作任务而发生的人员支出和公用支出。</w:t>
      </w:r>
    </w:p>
    <w:p w14:paraId="4E21722C" w14:textId="77777777" w:rsidR="00853449"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九、工资福利支出：反映单位开支的在职职工和编制外长期聘用人员的各类劳动报酬，以及为上述人员缴纳的各项社会保险费等。</w:t>
      </w:r>
    </w:p>
    <w:p w14:paraId="2989FB42" w14:textId="77777777" w:rsidR="00853449"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14:paraId="2985F088" w14:textId="77777777" w:rsidR="00853449"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十一、商品和服务支出：反映单位购买商品和服务的支出，包括办公费、水费、电费、邮电费、培训费、公务用车运行维护费、差旅费、因公出国（境）费用、公务接待费、</w:t>
      </w:r>
      <w:r>
        <w:rPr>
          <w:rFonts w:ascii="仿宋_GB2312" w:eastAsia="仿宋_GB2312" w:hAnsi="宋体" w:cs="宋体" w:hint="eastAsia"/>
          <w:color w:val="000000"/>
          <w:kern w:val="0"/>
          <w:sz w:val="32"/>
          <w:szCs w:val="30"/>
        </w:rPr>
        <w:lastRenderedPageBreak/>
        <w:t>工会经费、会议费、福利费、物业管理费、维修（护）费、其他等。</w:t>
      </w:r>
    </w:p>
    <w:p w14:paraId="253ECEA4" w14:textId="77777777" w:rsidR="00853449"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十二、项目支出：指各部门、各单位为完成其特定的工作任务和事业发展目标所发生的支出。</w:t>
      </w:r>
    </w:p>
    <w:p w14:paraId="7110ADC4" w14:textId="77777777" w:rsidR="00853449"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14:paraId="55091ADA" w14:textId="77777777" w:rsidR="00853449"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6D81E246" w14:textId="77777777" w:rsidR="00853449" w:rsidRDefault="00853449">
      <w:pPr>
        <w:ind w:firstLineChars="200" w:firstLine="640"/>
        <w:rPr>
          <w:rFonts w:ascii="仿宋_GB2312" w:eastAsia="仿宋_GB2312" w:hAnsi="黑体" w:cs="仿宋_GB2312" w:hint="eastAsia"/>
          <w:sz w:val="32"/>
          <w:szCs w:val="32"/>
        </w:rPr>
      </w:pPr>
    </w:p>
    <w:p w14:paraId="1E080D4A" w14:textId="77777777" w:rsidR="00853449" w:rsidRDefault="00853449">
      <w:pPr>
        <w:ind w:firstLineChars="200" w:firstLine="640"/>
        <w:jc w:val="left"/>
        <w:rPr>
          <w:rFonts w:ascii="仿宋_GB2312" w:eastAsia="仿宋_GB2312" w:hAnsi="黑体" w:cs="仿宋_GB2312" w:hint="eastAsia"/>
          <w:sz w:val="32"/>
          <w:szCs w:val="32"/>
        </w:rPr>
      </w:pPr>
    </w:p>
    <w:sectPr w:rsidR="00853449">
      <w:footerReference w:type="default" r:id="rId10"/>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229980" w14:textId="77777777" w:rsidR="00F72489" w:rsidRDefault="00F72489">
      <w:r>
        <w:separator/>
      </w:r>
    </w:p>
  </w:endnote>
  <w:endnote w:type="continuationSeparator" w:id="0">
    <w:p w14:paraId="67EDF500" w14:textId="77777777" w:rsidR="00F72489" w:rsidRDefault="00F72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embedRegular r:id="rId1" w:subsetted="1" w:fontKey="{8E4062D2-D2F8-4A41-A2EA-7FD619CE8A46}"/>
    <w:embedBold r:id="rId2" w:subsetted="1" w:fontKey="{B67C0D4F-1846-4B21-9DE7-A5D87BDA9F1D}"/>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auto"/>
    <w:pitch w:val="default"/>
    <w:sig w:usb0="00000001" w:usb1="080E0000" w:usb2="00000000" w:usb3="00000000" w:csb0="00040000" w:csb1="00000000"/>
    <w:embedRegular r:id="rId3" w:fontKey="{AE97D721-01D5-43EC-9385-245B0D44630E}"/>
    <w:embedBold r:id="rId4" w:subsetted="1" w:fontKey="{FC8D4F1D-0E12-47DB-9951-911880271F5D}"/>
  </w:font>
  <w:font w:name="Calibri">
    <w:panose1 w:val="020F0502020204030204"/>
    <w:charset w:val="00"/>
    <w:family w:val="swiss"/>
    <w:pitch w:val="variable"/>
    <w:sig w:usb0="E4002EFF" w:usb1="C000247B" w:usb2="00000009" w:usb3="00000000" w:csb0="000001FF" w:csb1="00000000"/>
    <w:embedRegular r:id="rId5" w:subsetted="1" w:fontKey="{73D455D9-2B4C-4C0E-8B61-73599824B105}"/>
    <w:embedBold r:id="rId6" w:subsetted="1" w:fontKey="{08B93813-0F08-4266-B834-018C353B9EC7}"/>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embedRegular r:id="rId7" w:subsetted="1" w:fontKey="{BA6F9270-EB51-4ACF-A9CC-6385A62EBE13}"/>
  </w:font>
  <w:font w:name="楷体">
    <w:panose1 w:val="02010609060101010101"/>
    <w:charset w:val="86"/>
    <w:family w:val="modern"/>
    <w:pitch w:val="fixed"/>
    <w:sig w:usb0="800002BF" w:usb1="38CF7CFA" w:usb2="00000016" w:usb3="00000000" w:csb0="00040001" w:csb1="00000000"/>
    <w:embedRegular r:id="rId8" w:subsetted="1" w:fontKey="{E5C02C56-4916-45B1-981A-60AF1105C3B9}"/>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DA4CE0" w14:textId="77777777" w:rsidR="00853449" w:rsidRDefault="0085344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3FC86F" w14:textId="77777777" w:rsidR="00853449" w:rsidRDefault="00853449">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30CD0F" w14:textId="77777777" w:rsidR="00853449" w:rsidRDefault="00000000">
    <w:pPr>
      <w:pStyle w:val="a7"/>
    </w:pPr>
    <w:r>
      <w:pict w14:anchorId="18CC7014">
        <v:shapetype id="_x0000_t202" coordsize="21600,21600" o:spt="202" path="m,l,21600r21600,l21600,xe">
          <v:stroke joinstyle="miter"/>
          <v:path gradientshapeok="t" o:connecttype="rect"/>
        </v:shapetype>
        <v:shape id="_x0000_s1028" type="#_x0000_t202" style="position:absolute;margin-left:0;margin-top:0;width:2in;height:2in;z-index:1;mso-wrap-style:none;mso-position-horizontal:center;mso-position-horizontal-relative:margin;mso-width-relative:page;mso-height-relative:page" filled="f" stroked="f">
          <v:textbox style="mso-fit-shape-to-text:t" inset="0,0,0,0">
            <w:txbxContent>
              <w:p w14:paraId="64AEC819" w14:textId="77777777" w:rsidR="00853449" w:rsidRDefault="00000000">
                <w:pPr>
                  <w:pStyle w:val="a7"/>
                </w:pPr>
                <w:r>
                  <w:fldChar w:fldCharType="begin"/>
                </w:r>
                <w:r>
                  <w:instrText xml:space="preserve"> PAGE  \* MERGEFORMAT </w:instrText>
                </w:r>
                <w:r>
                  <w:fldChar w:fldCharType="separate"/>
                </w:r>
                <w:r>
                  <w:t>1</w:t>
                </w:r>
                <w: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D0AB6F" w14:textId="77777777" w:rsidR="00F72489" w:rsidRDefault="00F72489">
      <w:r>
        <w:separator/>
      </w:r>
    </w:p>
  </w:footnote>
  <w:footnote w:type="continuationSeparator" w:id="0">
    <w:p w14:paraId="6F45E966" w14:textId="77777777" w:rsidR="00F72489" w:rsidRDefault="00F724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C9A6287"/>
    <w:multiLevelType w:val="multilevel"/>
    <w:tmpl w:val="4C9A6287"/>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830752270">
    <w:abstractNumId w:val="0"/>
  </w:num>
  <w:num w:numId="2" w16cid:durableId="1170174991">
    <w:abstractNumId w:val="1"/>
  </w:num>
  <w:num w:numId="3" w16cid:durableId="3156472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TrueTypeFonts/>
  <w:saveSubsetFonts/>
  <w:bordersDoNotSurroundHeader/>
  <w:bordersDoNotSurroundFooter/>
  <w:doNotTrackMoves/>
  <w:defaultTabStop w:val="420"/>
  <w:drawingGridHorizontalSpacing w:val="0"/>
  <w:drawingGridVerticalSpacing w:val="156"/>
  <w:noPunctuationKerning/>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mmondata" w:val="eyJoZGlkIjoiZGQ1NjI3MjBlNTJlYzRjMzUzODBhMzA3OThiZGQ0YWMifQ=="/>
    <w:docVar w:name="KSO_WPS_MARK_KEY" w:val="e57160a6-f716-4b94-8bed-6c45e87d842b"/>
  </w:docVars>
  <w:rsids>
    <w:rsidRoot w:val="000036B8"/>
    <w:rsid w:val="D3DA912A"/>
    <w:rsid w:val="D97F626E"/>
    <w:rsid w:val="EF4F270F"/>
    <w:rsid w:val="FC6FBB23"/>
    <w:rsid w:val="FF5F5C3D"/>
    <w:rsid w:val="FF7C1A10"/>
    <w:rsid w:val="000036B8"/>
    <w:rsid w:val="000E2A15"/>
    <w:rsid w:val="001033B9"/>
    <w:rsid w:val="001A16C6"/>
    <w:rsid w:val="0026551D"/>
    <w:rsid w:val="002A3FBF"/>
    <w:rsid w:val="00302D88"/>
    <w:rsid w:val="00485439"/>
    <w:rsid w:val="005468E5"/>
    <w:rsid w:val="0054718A"/>
    <w:rsid w:val="005F1D56"/>
    <w:rsid w:val="00785841"/>
    <w:rsid w:val="007A1D79"/>
    <w:rsid w:val="007D0207"/>
    <w:rsid w:val="007F1FC0"/>
    <w:rsid w:val="00853449"/>
    <w:rsid w:val="009635B5"/>
    <w:rsid w:val="009D6B42"/>
    <w:rsid w:val="009E3095"/>
    <w:rsid w:val="00A4047F"/>
    <w:rsid w:val="00B859F3"/>
    <w:rsid w:val="00D246EE"/>
    <w:rsid w:val="00D86451"/>
    <w:rsid w:val="00F72489"/>
    <w:rsid w:val="01284C10"/>
    <w:rsid w:val="020328F3"/>
    <w:rsid w:val="022E56C7"/>
    <w:rsid w:val="02B524D4"/>
    <w:rsid w:val="03A10CAA"/>
    <w:rsid w:val="03D35081"/>
    <w:rsid w:val="081952B3"/>
    <w:rsid w:val="0F031B3B"/>
    <w:rsid w:val="0F8C0A60"/>
    <w:rsid w:val="12486EC1"/>
    <w:rsid w:val="16DD6EA4"/>
    <w:rsid w:val="179B7A92"/>
    <w:rsid w:val="19A8293B"/>
    <w:rsid w:val="1D11289F"/>
    <w:rsid w:val="1E1C7453"/>
    <w:rsid w:val="1F5D7D23"/>
    <w:rsid w:val="20995FD6"/>
    <w:rsid w:val="21FC3824"/>
    <w:rsid w:val="22B660C8"/>
    <w:rsid w:val="238A4946"/>
    <w:rsid w:val="23C01F3E"/>
    <w:rsid w:val="25C26B32"/>
    <w:rsid w:val="279165EB"/>
    <w:rsid w:val="28757EBD"/>
    <w:rsid w:val="298567F4"/>
    <w:rsid w:val="2C83526D"/>
    <w:rsid w:val="2CFFD3C3"/>
    <w:rsid w:val="2EB1600D"/>
    <w:rsid w:val="2FBF19B9"/>
    <w:rsid w:val="306D5869"/>
    <w:rsid w:val="309B06AC"/>
    <w:rsid w:val="31C205E6"/>
    <w:rsid w:val="32B31CDC"/>
    <w:rsid w:val="3402116D"/>
    <w:rsid w:val="347B4A7C"/>
    <w:rsid w:val="34B8182C"/>
    <w:rsid w:val="37DF1B78"/>
    <w:rsid w:val="383F59A4"/>
    <w:rsid w:val="38542D7F"/>
    <w:rsid w:val="39462346"/>
    <w:rsid w:val="3A9C56FB"/>
    <w:rsid w:val="3AC56A51"/>
    <w:rsid w:val="3AE259E0"/>
    <w:rsid w:val="3E967AAC"/>
    <w:rsid w:val="40832C17"/>
    <w:rsid w:val="40BA692C"/>
    <w:rsid w:val="40E47643"/>
    <w:rsid w:val="412C5A7C"/>
    <w:rsid w:val="41775767"/>
    <w:rsid w:val="431604A8"/>
    <w:rsid w:val="48B37760"/>
    <w:rsid w:val="4B571947"/>
    <w:rsid w:val="4BB56699"/>
    <w:rsid w:val="50546455"/>
    <w:rsid w:val="50CF3508"/>
    <w:rsid w:val="536C1D08"/>
    <w:rsid w:val="537E1A3B"/>
    <w:rsid w:val="543F4F9B"/>
    <w:rsid w:val="5476419E"/>
    <w:rsid w:val="5B091CD3"/>
    <w:rsid w:val="5BBF5337"/>
    <w:rsid w:val="5BC10EDF"/>
    <w:rsid w:val="5E632E6E"/>
    <w:rsid w:val="5F9D3F0F"/>
    <w:rsid w:val="6138147B"/>
    <w:rsid w:val="61600A4B"/>
    <w:rsid w:val="63B75221"/>
    <w:rsid w:val="6764548F"/>
    <w:rsid w:val="6B300F92"/>
    <w:rsid w:val="6DB22DC0"/>
    <w:rsid w:val="6E667C95"/>
    <w:rsid w:val="6F1352D6"/>
    <w:rsid w:val="6FDB1131"/>
    <w:rsid w:val="71E27509"/>
    <w:rsid w:val="725D6F93"/>
    <w:rsid w:val="72BA4EE6"/>
    <w:rsid w:val="73217FC1"/>
    <w:rsid w:val="73CF45A9"/>
    <w:rsid w:val="742064CB"/>
    <w:rsid w:val="77E617D9"/>
    <w:rsid w:val="78563351"/>
    <w:rsid w:val="7A1475ED"/>
    <w:rsid w:val="7AF67F85"/>
    <w:rsid w:val="7BBF10FE"/>
    <w:rsid w:val="7BF736D2"/>
    <w:rsid w:val="7C8D4919"/>
    <w:rsid w:val="7EFDD520"/>
    <w:rsid w:val="7FAAE0CC"/>
    <w:rsid w:val="7FFFDC33"/>
    <w:rsid w:val="ABBF3834"/>
    <w:rsid w:val="AFFF78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60ABFB"/>
  <w15:docId w15:val="{488537AE-CD67-4730-BF48-CC8F0C4B7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99"/>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unhideWhenUsed/>
    <w:qFormat/>
    <w:pPr>
      <w:jc w:val="left"/>
    </w:pPr>
  </w:style>
  <w:style w:type="paragraph" w:styleId="a5">
    <w:name w:val="Balloon Text"/>
    <w:basedOn w:val="a"/>
    <w:link w:val="a6"/>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nhideWhenUsed/>
    <w:qFormat/>
    <w:pPr>
      <w:spacing w:beforeAutospacing="1" w:afterAutospacing="1"/>
      <w:jc w:val="left"/>
    </w:pPr>
    <w:rPr>
      <w:rFonts w:cs="Times New Roman"/>
      <w:kern w:val="0"/>
      <w:sz w:val="24"/>
    </w:rPr>
  </w:style>
  <w:style w:type="paragraph" w:styleId="ac">
    <w:name w:val="annotation subject"/>
    <w:basedOn w:val="a3"/>
    <w:next w:val="a3"/>
    <w:link w:val="ad"/>
    <w:semiHidden/>
    <w:unhideWhenUsed/>
    <w:qFormat/>
    <w:rPr>
      <w:b/>
      <w:bCs/>
    </w:rPr>
  </w:style>
  <w:style w:type="character" w:styleId="ae">
    <w:name w:val="annotation reference"/>
    <w:semiHidden/>
    <w:unhideWhenUsed/>
    <w:qFormat/>
    <w:rPr>
      <w:sz w:val="21"/>
      <w:szCs w:val="21"/>
    </w:rPr>
  </w:style>
  <w:style w:type="paragraph" w:customStyle="1" w:styleId="1">
    <w:name w:val="列出段落1"/>
    <w:basedOn w:val="a"/>
    <w:uiPriority w:val="34"/>
    <w:qFormat/>
    <w:pPr>
      <w:ind w:firstLineChars="200" w:firstLine="420"/>
    </w:pPr>
  </w:style>
  <w:style w:type="paragraph" w:customStyle="1" w:styleId="1CharCharChar">
    <w:name w:val="正文1 Char Char Char"/>
    <w:basedOn w:val="a"/>
    <w:qFormat/>
    <w:pPr>
      <w:widowControl/>
      <w:spacing w:line="360" w:lineRule="auto"/>
      <w:ind w:firstLineChars="200" w:firstLine="200"/>
      <w:jc w:val="left"/>
    </w:pPr>
    <w:rPr>
      <w:rFonts w:ascii="宋体" w:hAnsi="宋体" w:cs="宋体"/>
      <w:kern w:val="0"/>
      <w:sz w:val="24"/>
      <w:szCs w:val="24"/>
    </w:rPr>
  </w:style>
  <w:style w:type="character" w:customStyle="1" w:styleId="aa">
    <w:name w:val="页眉 字符"/>
    <w:link w:val="a9"/>
    <w:uiPriority w:val="99"/>
    <w:qFormat/>
    <w:rPr>
      <w:sz w:val="18"/>
      <w:szCs w:val="18"/>
    </w:rPr>
  </w:style>
  <w:style w:type="character" w:customStyle="1" w:styleId="a8">
    <w:name w:val="页脚 字符"/>
    <w:link w:val="a7"/>
    <w:uiPriority w:val="99"/>
    <w:qFormat/>
    <w:rPr>
      <w:sz w:val="18"/>
      <w:szCs w:val="18"/>
    </w:rPr>
  </w:style>
  <w:style w:type="paragraph" w:customStyle="1" w:styleId="11">
    <w:name w:val="列出段落11"/>
    <w:basedOn w:val="a"/>
    <w:uiPriority w:val="34"/>
    <w:qFormat/>
    <w:pPr>
      <w:ind w:firstLineChars="200" w:firstLine="420"/>
    </w:pPr>
  </w:style>
  <w:style w:type="character" w:customStyle="1" w:styleId="a6">
    <w:name w:val="批注框文本 字符"/>
    <w:link w:val="a5"/>
    <w:semiHidden/>
    <w:qFormat/>
    <w:rPr>
      <w:rFonts w:ascii="Calibri" w:hAnsi="Calibri" w:cs="黑体"/>
      <w:kern w:val="2"/>
      <w:sz w:val="18"/>
      <w:szCs w:val="18"/>
    </w:rPr>
  </w:style>
  <w:style w:type="character" w:customStyle="1" w:styleId="a4">
    <w:name w:val="批注文字 字符"/>
    <w:link w:val="a3"/>
    <w:semiHidden/>
    <w:qFormat/>
    <w:rPr>
      <w:rFonts w:ascii="Calibri" w:hAnsi="Calibri" w:cs="黑体"/>
      <w:kern w:val="2"/>
      <w:sz w:val="21"/>
      <w:szCs w:val="22"/>
    </w:rPr>
  </w:style>
  <w:style w:type="character" w:customStyle="1" w:styleId="ad">
    <w:name w:val="批注主题 字符"/>
    <w:basedOn w:val="a4"/>
    <w:link w:val="ac"/>
    <w:qFormat/>
    <w:rPr>
      <w:rFonts w:ascii="Calibri" w:hAnsi="Calibri" w:cs="黑体"/>
      <w:kern w:val="2"/>
      <w:sz w:val="21"/>
      <w:szCs w:val="22"/>
    </w:rPr>
  </w:style>
  <w:style w:type="paragraph" w:customStyle="1" w:styleId="BodyText1I">
    <w:name w:val="BodyText1I"/>
    <w:qFormat/>
    <w:pPr>
      <w:spacing w:line="288" w:lineRule="auto"/>
      <w:ind w:firstLineChars="100" w:firstLine="420"/>
      <w:textAlignment w:val="baseline"/>
    </w:pPr>
    <w:rPr>
      <w:rFonts w:ascii="宋体" w:eastAsia="仿宋" w:hAnsi="宋体" w:hint="eastAsia"/>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52"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~WRL0003.tmp</Template>
  <TotalTime>1</TotalTime>
  <Pages>1</Pages>
  <Words>2130</Words>
  <Characters>12145</Characters>
  <Application>Microsoft Office Word</Application>
  <DocSecurity>0</DocSecurity>
  <Lines>101</Lines>
  <Paragraphs>28</Paragraphs>
  <ScaleCrop>false</ScaleCrop>
  <Company/>
  <LinksUpToDate>false</LinksUpToDate>
  <CharactersWithSpaces>14247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××年××部门（单位）预算</dc:title>
  <dc:creator>null,null,总收发</dc:creator>
  <cp:lastModifiedBy>jack zhong</cp:lastModifiedBy>
  <cp:revision>40</cp:revision>
  <cp:lastPrinted>2024-02-22T07:57:00Z</cp:lastPrinted>
  <dcterms:created xsi:type="dcterms:W3CDTF">2017-02-06T23:31:00Z</dcterms:created>
  <dcterms:modified xsi:type="dcterms:W3CDTF">2024-08-16T08:48:00Z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977820EEEDD04F0993A166B58B3D63DD_12</vt:lpwstr>
  </property>
</Properties>
</file>