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11"/>
        <w:ind w:firstLine="560"/>
        <w:jc w:val="center"/>
        <w:rPr>
          <w:rFonts w:ascii="华文行楷" w:eastAsia="华文行楷"/>
          <w:color w:val="auto"/>
          <w:spacing w:val="40"/>
          <w:sz w:val="48"/>
        </w:rPr>
      </w:pPr>
      <w:r>
        <w:rPr>
          <w:color w:val="auto"/>
        </w:rPr>
        <w:drawing>
          <wp:anchor distT="0" distB="0" distL="114300" distR="114300" simplePos="0" relativeHeight="251658240" behindDoc="0" locked="0" layoutInCell="1" allowOverlap="1">
            <wp:simplePos x="0" y="0"/>
            <wp:positionH relativeFrom="column">
              <wp:posOffset>239395</wp:posOffset>
            </wp:positionH>
            <wp:positionV relativeFrom="paragraph">
              <wp:posOffset>619125</wp:posOffset>
            </wp:positionV>
            <wp:extent cx="5274310" cy="17780"/>
            <wp:effectExtent l="0" t="0" r="0" b="0"/>
            <wp:wrapNone/>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0"/>
                    <a:stretch>
                      <a:fillRect/>
                    </a:stretch>
                  </pic:blipFill>
                  <pic:spPr>
                    <a:xfrm>
                      <a:off x="0" y="0"/>
                      <a:ext cx="5274310" cy="17780"/>
                    </a:xfrm>
                    <a:prstGeom prst="rect">
                      <a:avLst/>
                    </a:prstGeom>
                    <a:noFill/>
                    <a:ln>
                      <a:noFill/>
                    </a:ln>
                  </pic:spPr>
                </pic:pic>
              </a:graphicData>
            </a:graphic>
          </wp:anchor>
        </w:drawing>
      </w:r>
      <w:r>
        <w:rPr>
          <w:rFonts w:hint="eastAsia" w:ascii="华文行楷" w:eastAsia="华文行楷"/>
          <w:color w:val="auto"/>
          <w:spacing w:val="40"/>
          <w:sz w:val="48"/>
        </w:rPr>
        <w:t>海南省经济技术学校</w:t>
      </w:r>
    </w:p>
    <w:p>
      <w:pPr>
        <w:ind w:firstLine="560"/>
        <w:jc w:val="center"/>
        <w:rPr>
          <w:color w:val="auto"/>
        </w:rPr>
      </w:pPr>
      <w:r>
        <w:rPr>
          <w:color w:val="auto"/>
        </w:rPr>
        <w:t>HainanProvinceEconomicalTechnicalSchool</w:t>
      </w:r>
    </w:p>
    <w:p>
      <w:pPr>
        <w:spacing w:before="211"/>
        <w:ind w:firstLine="560"/>
        <w:jc w:val="center"/>
        <w:rPr>
          <w:color w:val="auto"/>
        </w:rPr>
      </w:pPr>
    </w:p>
    <w:p>
      <w:pPr>
        <w:spacing w:before="211"/>
        <w:ind w:firstLine="560"/>
        <w:jc w:val="center"/>
        <w:rPr>
          <w:color w:val="auto"/>
        </w:rPr>
      </w:pPr>
      <w:r>
        <w:rPr>
          <w:rFonts w:hint="eastAsia"/>
          <w:color w:val="auto"/>
        </w:rPr>
        <w:drawing>
          <wp:inline distT="0" distB="0" distL="114300" distR="114300">
            <wp:extent cx="1524000" cy="15240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1524000" cy="1524000"/>
                    </a:xfrm>
                    <a:prstGeom prst="rect">
                      <a:avLst/>
                    </a:prstGeom>
                    <a:noFill/>
                    <a:ln>
                      <a:noFill/>
                    </a:ln>
                  </pic:spPr>
                </pic:pic>
              </a:graphicData>
            </a:graphic>
          </wp:inline>
        </w:drawing>
      </w:r>
    </w:p>
    <w:p>
      <w:pPr>
        <w:spacing w:before="211"/>
        <w:ind w:firstLine="560"/>
        <w:jc w:val="center"/>
        <w:rPr>
          <w:color w:val="auto"/>
        </w:rPr>
      </w:pPr>
    </w:p>
    <w:p>
      <w:pPr>
        <w:spacing w:line="1400" w:lineRule="exact"/>
        <w:ind w:firstLine="0" w:firstLineChars="0"/>
        <w:jc w:val="center"/>
        <w:rPr>
          <w:rFonts w:ascii="隶书" w:eastAsia="隶书"/>
          <w:color w:val="auto"/>
          <w:sz w:val="72"/>
          <w:szCs w:val="72"/>
        </w:rPr>
      </w:pPr>
      <w:r>
        <w:rPr>
          <w:rFonts w:hint="eastAsia" w:ascii="隶书" w:eastAsia="隶书"/>
          <w:color w:val="auto"/>
          <w:sz w:val="72"/>
          <w:szCs w:val="72"/>
        </w:rPr>
        <w:t>海南省经济技术学校</w:t>
      </w:r>
    </w:p>
    <w:p>
      <w:pPr>
        <w:spacing w:line="1400" w:lineRule="exact"/>
        <w:ind w:firstLine="0" w:firstLineChars="0"/>
        <w:jc w:val="center"/>
        <w:rPr>
          <w:rFonts w:ascii="隶书" w:hAnsi="宋体" w:eastAsia="隶书"/>
          <w:b/>
          <w:color w:val="auto"/>
          <w:sz w:val="72"/>
          <w:szCs w:val="72"/>
        </w:rPr>
      </w:pPr>
      <w:r>
        <w:rPr>
          <w:rFonts w:hint="eastAsia" w:ascii="隶书" w:hAnsi="宋体" w:eastAsia="隶书"/>
          <w:b/>
          <w:color w:val="auto"/>
          <w:sz w:val="72"/>
          <w:szCs w:val="72"/>
        </w:rPr>
        <w:t>中等职业教育质量年度</w:t>
      </w:r>
    </w:p>
    <w:p>
      <w:pPr>
        <w:spacing w:line="1400" w:lineRule="exact"/>
        <w:ind w:firstLine="0" w:firstLineChars="0"/>
        <w:jc w:val="center"/>
        <w:rPr>
          <w:rFonts w:ascii="隶书" w:hAnsi="宋体" w:eastAsia="隶书"/>
          <w:b/>
          <w:color w:val="auto"/>
          <w:sz w:val="72"/>
          <w:szCs w:val="72"/>
        </w:rPr>
      </w:pPr>
      <w:r>
        <w:rPr>
          <w:rFonts w:hint="eastAsia" w:ascii="隶书" w:hAnsi="宋体" w:eastAsia="隶书"/>
          <w:b/>
          <w:color w:val="auto"/>
          <w:sz w:val="72"/>
          <w:szCs w:val="72"/>
        </w:rPr>
        <w:t>报告</w:t>
      </w:r>
    </w:p>
    <w:p>
      <w:pPr>
        <w:spacing w:before="211"/>
        <w:ind w:firstLine="720"/>
        <w:rPr>
          <w:rFonts w:ascii="黑体" w:hAnsi="黑体" w:eastAsia="黑体"/>
          <w:color w:val="auto"/>
          <w:sz w:val="36"/>
          <w:szCs w:val="36"/>
        </w:rPr>
      </w:pPr>
    </w:p>
    <w:p>
      <w:pPr>
        <w:ind w:firstLine="720"/>
        <w:rPr>
          <w:rFonts w:ascii="黑体" w:hAnsi="黑体" w:eastAsia="黑体"/>
          <w:color w:val="auto"/>
          <w:sz w:val="36"/>
          <w:szCs w:val="36"/>
        </w:rPr>
      </w:pPr>
    </w:p>
    <w:p>
      <w:pPr>
        <w:ind w:firstLine="0" w:firstLineChars="0"/>
        <w:rPr>
          <w:rFonts w:ascii="黑体" w:hAnsi="黑体" w:eastAsia="黑体"/>
          <w:color w:val="auto"/>
          <w:sz w:val="36"/>
          <w:szCs w:val="36"/>
        </w:rPr>
      </w:pPr>
    </w:p>
    <w:p>
      <w:pPr>
        <w:ind w:firstLine="720"/>
        <w:jc w:val="center"/>
        <w:rPr>
          <w:rFonts w:ascii="黑体" w:hAnsi="黑体" w:eastAsia="黑体"/>
          <w:color w:val="auto"/>
          <w:sz w:val="36"/>
          <w:szCs w:val="36"/>
        </w:rPr>
      </w:pPr>
      <w:r>
        <w:rPr>
          <w:rFonts w:ascii="黑体" w:hAnsi="黑体" w:eastAsia="黑体"/>
          <w:color w:val="auto"/>
          <w:sz w:val="36"/>
          <w:szCs w:val="36"/>
        </w:rPr>
        <w:t>201</w:t>
      </w:r>
      <w:r>
        <w:rPr>
          <w:rFonts w:hint="eastAsia" w:ascii="黑体" w:hAnsi="黑体" w:eastAsia="黑体"/>
          <w:color w:val="auto"/>
          <w:sz w:val="36"/>
          <w:szCs w:val="36"/>
          <w:lang w:val="en-US" w:eastAsia="zh-CN"/>
        </w:rPr>
        <w:t>9</w:t>
      </w:r>
      <w:r>
        <w:rPr>
          <w:rFonts w:hint="eastAsia" w:ascii="黑体" w:hAnsi="黑体" w:eastAsia="黑体"/>
          <w:color w:val="auto"/>
          <w:sz w:val="36"/>
          <w:szCs w:val="36"/>
        </w:rPr>
        <w:t>年</w:t>
      </w:r>
      <w:r>
        <w:rPr>
          <w:rFonts w:ascii="黑体" w:hAnsi="黑体" w:eastAsia="黑体"/>
          <w:color w:val="auto"/>
          <w:sz w:val="36"/>
          <w:szCs w:val="36"/>
        </w:rPr>
        <w:t>12</w:t>
      </w:r>
      <w:r>
        <w:rPr>
          <w:rFonts w:hint="eastAsia" w:ascii="黑体" w:hAnsi="黑体" w:eastAsia="黑体"/>
          <w:color w:val="auto"/>
          <w:sz w:val="36"/>
          <w:szCs w:val="36"/>
        </w:rPr>
        <w:t>月</w:t>
      </w:r>
    </w:p>
    <w:p>
      <w:pPr>
        <w:pStyle w:val="26"/>
        <w:ind w:firstLine="560"/>
        <w:jc w:val="both"/>
        <w:rPr>
          <w:b/>
          <w:color w:val="auto"/>
          <w:sz w:val="48"/>
          <w:szCs w:val="48"/>
        </w:rPr>
      </w:pPr>
      <w:r>
        <w:rPr>
          <w:b/>
          <w:color w:val="auto"/>
          <w:sz w:val="48"/>
          <w:szCs w:val="48"/>
          <w:lang w:val="zh-CN"/>
        </w:rPr>
        <w:t>目录</w:t>
      </w:r>
    </w:p>
    <w:p>
      <w:pPr>
        <w:pStyle w:val="9"/>
        <w:tabs>
          <w:tab w:val="right" w:leader="dot" w:pos="8958"/>
        </w:tabs>
        <w:rPr>
          <w:color w:val="auto"/>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_Toc17181 </w:instrText>
      </w:r>
      <w:r>
        <w:rPr>
          <w:color w:val="auto"/>
        </w:rPr>
        <w:fldChar w:fldCharType="separate"/>
      </w:r>
      <w:r>
        <w:rPr>
          <w:rFonts w:hint="eastAsia"/>
          <w:color w:val="auto"/>
        </w:rPr>
        <w:t>一</w:t>
      </w:r>
      <w:r>
        <w:rPr>
          <w:color w:val="auto"/>
        </w:rPr>
        <w:t>、</w:t>
      </w:r>
      <w:r>
        <w:rPr>
          <w:rFonts w:hint="eastAsia"/>
          <w:color w:val="auto"/>
        </w:rPr>
        <w:t>学校情况</w:t>
      </w:r>
      <w:r>
        <w:rPr>
          <w:color w:val="auto"/>
        </w:rPr>
        <w:tab/>
      </w:r>
      <w:r>
        <w:rPr>
          <w:color w:val="auto"/>
        </w:rPr>
        <w:fldChar w:fldCharType="begin"/>
      </w:r>
      <w:r>
        <w:rPr>
          <w:color w:val="auto"/>
        </w:rPr>
        <w:instrText xml:space="preserve"> PAGEREF _Toc17181 </w:instrText>
      </w:r>
      <w:r>
        <w:rPr>
          <w:color w:val="auto"/>
        </w:rPr>
        <w:fldChar w:fldCharType="separate"/>
      </w:r>
      <w:r>
        <w:rPr>
          <w:color w:val="auto"/>
        </w:rPr>
        <w:t>4</w:t>
      </w:r>
      <w:r>
        <w:rPr>
          <w:color w:val="auto"/>
        </w:rPr>
        <w:fldChar w:fldCharType="end"/>
      </w:r>
      <w:r>
        <w:rPr>
          <w:color w:val="auto"/>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_Toc15713 </w:instrText>
      </w:r>
      <w:r>
        <w:rPr>
          <w:bCs/>
          <w:color w:val="auto"/>
          <w:lang w:val="zh-CN"/>
        </w:rPr>
        <w:fldChar w:fldCharType="separate"/>
      </w:r>
      <w:r>
        <w:rPr>
          <w:rFonts w:hint="eastAsia"/>
          <w:color w:val="auto"/>
          <w:shd w:val="clear" w:color="auto" w:fill="FFFFFF"/>
        </w:rPr>
        <w:t>（一</w:t>
      </w:r>
      <w:r>
        <w:rPr>
          <w:color w:val="auto"/>
          <w:shd w:val="clear" w:color="auto" w:fill="FFFFFF"/>
        </w:rPr>
        <w:t>）</w:t>
      </w:r>
      <w:r>
        <w:rPr>
          <w:rFonts w:hint="eastAsia"/>
          <w:color w:val="auto"/>
        </w:rPr>
        <w:t>学校概况</w:t>
      </w:r>
      <w:r>
        <w:rPr>
          <w:color w:val="auto"/>
        </w:rPr>
        <w:tab/>
      </w:r>
      <w:r>
        <w:rPr>
          <w:color w:val="auto"/>
        </w:rPr>
        <w:fldChar w:fldCharType="begin"/>
      </w:r>
      <w:r>
        <w:rPr>
          <w:color w:val="auto"/>
        </w:rPr>
        <w:instrText xml:space="preserve"> PAGEREF _Toc15713 </w:instrText>
      </w:r>
      <w:r>
        <w:rPr>
          <w:color w:val="auto"/>
        </w:rPr>
        <w:fldChar w:fldCharType="separate"/>
      </w:r>
      <w:r>
        <w:rPr>
          <w:color w:val="auto"/>
        </w:rPr>
        <w:t>4</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_Toc188 </w:instrText>
      </w:r>
      <w:r>
        <w:rPr>
          <w:bCs/>
          <w:color w:val="auto"/>
          <w:lang w:val="zh-CN"/>
        </w:rPr>
        <w:fldChar w:fldCharType="separate"/>
      </w:r>
      <w:r>
        <w:rPr>
          <w:rFonts w:hint="eastAsia"/>
          <w:color w:val="auto"/>
          <w:shd w:val="clear" w:color="auto" w:fill="FFFFFF"/>
        </w:rPr>
        <w:t>（二</w:t>
      </w:r>
      <w:r>
        <w:rPr>
          <w:color w:val="auto"/>
          <w:shd w:val="clear" w:color="auto" w:fill="FFFFFF"/>
        </w:rPr>
        <w:t>）</w:t>
      </w:r>
      <w:r>
        <w:rPr>
          <w:rFonts w:hint="eastAsia"/>
          <w:color w:val="auto"/>
        </w:rPr>
        <w:t>学生情况</w:t>
      </w:r>
      <w:r>
        <w:rPr>
          <w:color w:val="auto"/>
        </w:rPr>
        <w:tab/>
      </w:r>
      <w:r>
        <w:rPr>
          <w:color w:val="auto"/>
        </w:rPr>
        <w:fldChar w:fldCharType="begin"/>
      </w:r>
      <w:r>
        <w:rPr>
          <w:color w:val="auto"/>
        </w:rPr>
        <w:instrText xml:space="preserve"> PAGEREF _Toc188 </w:instrText>
      </w:r>
      <w:r>
        <w:rPr>
          <w:color w:val="auto"/>
        </w:rPr>
        <w:fldChar w:fldCharType="separate"/>
      </w:r>
      <w:r>
        <w:rPr>
          <w:color w:val="auto"/>
        </w:rPr>
        <w:t>4</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_Toc21094 </w:instrText>
      </w:r>
      <w:r>
        <w:rPr>
          <w:bCs/>
          <w:color w:val="auto"/>
          <w:lang w:val="zh-CN"/>
        </w:rPr>
        <w:fldChar w:fldCharType="separate"/>
      </w:r>
      <w:r>
        <w:rPr>
          <w:rFonts w:hint="eastAsia"/>
          <w:color w:val="auto"/>
        </w:rPr>
        <w:t>（三</w:t>
      </w:r>
      <w:r>
        <w:rPr>
          <w:color w:val="auto"/>
        </w:rPr>
        <w:t>）</w:t>
      </w:r>
      <w:r>
        <w:rPr>
          <w:rFonts w:hint="eastAsia"/>
          <w:color w:val="auto"/>
        </w:rPr>
        <w:t>教师队伍</w:t>
      </w:r>
      <w:r>
        <w:rPr>
          <w:color w:val="auto"/>
        </w:rPr>
        <w:tab/>
      </w:r>
      <w:r>
        <w:rPr>
          <w:color w:val="auto"/>
        </w:rPr>
        <w:fldChar w:fldCharType="begin"/>
      </w:r>
      <w:r>
        <w:rPr>
          <w:color w:val="auto"/>
        </w:rPr>
        <w:instrText xml:space="preserve"> PAGEREF _Toc21094 </w:instrText>
      </w:r>
      <w:r>
        <w:rPr>
          <w:color w:val="auto"/>
        </w:rPr>
        <w:fldChar w:fldCharType="separate"/>
      </w:r>
      <w:r>
        <w:rPr>
          <w:color w:val="auto"/>
        </w:rPr>
        <w:t>5</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_Toc13221 </w:instrText>
      </w:r>
      <w:r>
        <w:rPr>
          <w:bCs/>
          <w:color w:val="auto"/>
          <w:lang w:val="zh-CN"/>
        </w:rPr>
        <w:fldChar w:fldCharType="separate"/>
      </w:r>
      <w:r>
        <w:rPr>
          <w:rFonts w:hint="eastAsia"/>
          <w:color w:val="auto"/>
        </w:rPr>
        <w:t>（四）设施设备</w:t>
      </w:r>
      <w:r>
        <w:rPr>
          <w:color w:val="auto"/>
        </w:rPr>
        <w:tab/>
      </w:r>
      <w:r>
        <w:rPr>
          <w:color w:val="auto"/>
        </w:rPr>
        <w:fldChar w:fldCharType="begin"/>
      </w:r>
      <w:r>
        <w:rPr>
          <w:color w:val="auto"/>
        </w:rPr>
        <w:instrText xml:space="preserve"> PAGEREF _Toc13221 </w:instrText>
      </w:r>
      <w:r>
        <w:rPr>
          <w:color w:val="auto"/>
        </w:rPr>
        <w:fldChar w:fldCharType="separate"/>
      </w:r>
      <w:r>
        <w:rPr>
          <w:color w:val="auto"/>
        </w:rPr>
        <w:t>5</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_Toc20706 </w:instrText>
      </w:r>
      <w:r>
        <w:rPr>
          <w:bCs/>
          <w:color w:val="auto"/>
          <w:lang w:val="zh-CN"/>
        </w:rPr>
        <w:fldChar w:fldCharType="separate"/>
      </w:r>
      <w:r>
        <w:rPr>
          <w:rFonts w:hint="eastAsia"/>
          <w:color w:val="auto"/>
        </w:rPr>
        <w:t>二</w:t>
      </w:r>
      <w:r>
        <w:rPr>
          <w:color w:val="auto"/>
        </w:rPr>
        <w:t>、学生发展</w:t>
      </w:r>
      <w:r>
        <w:rPr>
          <w:color w:val="auto"/>
        </w:rPr>
        <w:tab/>
      </w:r>
      <w:r>
        <w:rPr>
          <w:color w:val="auto"/>
        </w:rPr>
        <w:fldChar w:fldCharType="begin"/>
      </w:r>
      <w:r>
        <w:rPr>
          <w:color w:val="auto"/>
        </w:rPr>
        <w:instrText xml:space="preserve"> PAGEREF _Toc20706 </w:instrText>
      </w:r>
      <w:r>
        <w:rPr>
          <w:color w:val="auto"/>
        </w:rPr>
        <w:fldChar w:fldCharType="separate"/>
      </w:r>
      <w:r>
        <w:rPr>
          <w:color w:val="auto"/>
        </w:rPr>
        <w:t>5</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_Toc11058 </w:instrText>
      </w:r>
      <w:r>
        <w:rPr>
          <w:bCs/>
          <w:color w:val="auto"/>
          <w:lang w:val="zh-CN"/>
        </w:rPr>
        <w:fldChar w:fldCharType="separate"/>
      </w:r>
      <w:r>
        <w:rPr>
          <w:rFonts w:hint="eastAsia"/>
          <w:color w:val="auto"/>
          <w:shd w:val="clear" w:color="auto" w:fill="FFFFFF"/>
        </w:rPr>
        <w:t>（一）学生</w:t>
      </w:r>
      <w:r>
        <w:rPr>
          <w:color w:val="auto"/>
          <w:shd w:val="clear" w:color="auto" w:fill="FFFFFF"/>
        </w:rPr>
        <w:t>素质</w:t>
      </w:r>
      <w:r>
        <w:rPr>
          <w:color w:val="auto"/>
        </w:rPr>
        <w:tab/>
      </w:r>
      <w:r>
        <w:rPr>
          <w:color w:val="auto"/>
        </w:rPr>
        <w:fldChar w:fldCharType="begin"/>
      </w:r>
      <w:r>
        <w:rPr>
          <w:color w:val="auto"/>
        </w:rPr>
        <w:instrText xml:space="preserve"> PAGEREF _Toc11058 </w:instrText>
      </w:r>
      <w:r>
        <w:rPr>
          <w:color w:val="auto"/>
        </w:rPr>
        <w:fldChar w:fldCharType="separate"/>
      </w:r>
      <w:r>
        <w:rPr>
          <w:color w:val="auto"/>
        </w:rPr>
        <w:t>5</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_Toc26462 </w:instrText>
      </w:r>
      <w:r>
        <w:rPr>
          <w:bCs/>
          <w:color w:val="auto"/>
          <w:lang w:val="zh-CN"/>
        </w:rPr>
        <w:fldChar w:fldCharType="separate"/>
      </w:r>
      <w:r>
        <w:rPr>
          <w:rFonts w:hint="eastAsia"/>
          <w:color w:val="auto"/>
          <w:shd w:val="clear" w:color="auto" w:fill="FFFFFF"/>
        </w:rPr>
        <w:t>（二）在校</w:t>
      </w:r>
      <w:r>
        <w:rPr>
          <w:color w:val="auto"/>
          <w:shd w:val="clear" w:color="auto" w:fill="FFFFFF"/>
        </w:rPr>
        <w:t>体验</w:t>
      </w:r>
      <w:r>
        <w:rPr>
          <w:color w:val="auto"/>
        </w:rPr>
        <w:tab/>
      </w:r>
      <w:r>
        <w:rPr>
          <w:color w:val="auto"/>
        </w:rPr>
        <w:fldChar w:fldCharType="begin"/>
      </w:r>
      <w:r>
        <w:rPr>
          <w:color w:val="auto"/>
        </w:rPr>
        <w:instrText xml:space="preserve"> PAGEREF _Toc26462 </w:instrText>
      </w:r>
      <w:r>
        <w:rPr>
          <w:color w:val="auto"/>
        </w:rPr>
        <w:fldChar w:fldCharType="separate"/>
      </w:r>
      <w:r>
        <w:rPr>
          <w:color w:val="auto"/>
        </w:rPr>
        <w:t>7</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_Toc28148 </w:instrText>
      </w:r>
      <w:r>
        <w:rPr>
          <w:bCs/>
          <w:color w:val="auto"/>
          <w:lang w:val="zh-CN"/>
        </w:rPr>
        <w:fldChar w:fldCharType="separate"/>
      </w:r>
      <w:r>
        <w:rPr>
          <w:rFonts w:hint="eastAsia"/>
          <w:color w:val="auto"/>
          <w:shd w:val="clear" w:color="auto" w:fill="FFFFFF"/>
        </w:rPr>
        <w:t>（三）资助情况</w:t>
      </w:r>
      <w:r>
        <w:rPr>
          <w:color w:val="auto"/>
        </w:rPr>
        <w:tab/>
      </w:r>
      <w:r>
        <w:rPr>
          <w:color w:val="auto"/>
        </w:rPr>
        <w:fldChar w:fldCharType="begin"/>
      </w:r>
      <w:r>
        <w:rPr>
          <w:color w:val="auto"/>
        </w:rPr>
        <w:instrText xml:space="preserve"> PAGEREF _Toc28148 </w:instrText>
      </w:r>
      <w:r>
        <w:rPr>
          <w:color w:val="auto"/>
        </w:rPr>
        <w:fldChar w:fldCharType="separate"/>
      </w:r>
      <w:r>
        <w:rPr>
          <w:color w:val="auto"/>
        </w:rPr>
        <w:t>7</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_Toc5009 </w:instrText>
      </w:r>
      <w:r>
        <w:rPr>
          <w:bCs/>
          <w:color w:val="auto"/>
          <w:lang w:val="zh-CN"/>
        </w:rPr>
        <w:fldChar w:fldCharType="separate"/>
      </w:r>
      <w:r>
        <w:rPr>
          <w:rFonts w:hint="eastAsia"/>
          <w:color w:val="auto"/>
          <w:shd w:val="clear" w:color="auto" w:fill="FFFFFF"/>
        </w:rPr>
        <w:t>（四）就业质量</w:t>
      </w:r>
      <w:r>
        <w:rPr>
          <w:color w:val="auto"/>
        </w:rPr>
        <w:tab/>
      </w:r>
      <w:r>
        <w:rPr>
          <w:color w:val="auto"/>
        </w:rPr>
        <w:fldChar w:fldCharType="begin"/>
      </w:r>
      <w:r>
        <w:rPr>
          <w:color w:val="auto"/>
        </w:rPr>
        <w:instrText xml:space="preserve"> PAGEREF _Toc5009 </w:instrText>
      </w:r>
      <w:r>
        <w:rPr>
          <w:color w:val="auto"/>
        </w:rPr>
        <w:fldChar w:fldCharType="separate"/>
      </w:r>
      <w:r>
        <w:rPr>
          <w:color w:val="auto"/>
        </w:rPr>
        <w:t>9</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_Toc30348 </w:instrText>
      </w:r>
      <w:r>
        <w:rPr>
          <w:bCs/>
          <w:color w:val="auto"/>
          <w:lang w:val="zh-CN"/>
        </w:rPr>
        <w:fldChar w:fldCharType="separate"/>
      </w:r>
      <w:r>
        <w:rPr>
          <w:rFonts w:hint="eastAsia"/>
          <w:color w:val="auto"/>
          <w:shd w:val="clear" w:color="auto" w:fill="FFFFFF"/>
        </w:rPr>
        <w:t>（五）职业</w:t>
      </w:r>
      <w:r>
        <w:rPr>
          <w:color w:val="auto"/>
          <w:shd w:val="clear" w:color="auto" w:fill="FFFFFF"/>
        </w:rPr>
        <w:t>发展</w:t>
      </w:r>
      <w:r>
        <w:rPr>
          <w:color w:val="auto"/>
        </w:rPr>
        <w:tab/>
      </w:r>
      <w:r>
        <w:rPr>
          <w:color w:val="auto"/>
        </w:rPr>
        <w:fldChar w:fldCharType="begin"/>
      </w:r>
      <w:r>
        <w:rPr>
          <w:color w:val="auto"/>
        </w:rPr>
        <w:instrText xml:space="preserve"> PAGEREF _Toc30348 </w:instrText>
      </w:r>
      <w:r>
        <w:rPr>
          <w:color w:val="auto"/>
        </w:rPr>
        <w:fldChar w:fldCharType="separate"/>
      </w:r>
      <w:r>
        <w:rPr>
          <w:color w:val="auto"/>
        </w:rPr>
        <w:t>9</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_Toc4694 </w:instrText>
      </w:r>
      <w:r>
        <w:rPr>
          <w:bCs/>
          <w:color w:val="auto"/>
          <w:lang w:val="zh-CN"/>
        </w:rPr>
        <w:fldChar w:fldCharType="separate"/>
      </w:r>
      <w:r>
        <w:rPr>
          <w:rFonts w:hint="eastAsia"/>
          <w:color w:val="auto"/>
        </w:rPr>
        <w:t>三</w:t>
      </w:r>
      <w:r>
        <w:rPr>
          <w:color w:val="auto"/>
        </w:rPr>
        <w:t>、质量保障措施</w:t>
      </w:r>
      <w:r>
        <w:rPr>
          <w:color w:val="auto"/>
        </w:rPr>
        <w:tab/>
      </w:r>
      <w:r>
        <w:rPr>
          <w:color w:val="auto"/>
        </w:rPr>
        <w:fldChar w:fldCharType="begin"/>
      </w:r>
      <w:r>
        <w:rPr>
          <w:color w:val="auto"/>
        </w:rPr>
        <w:instrText xml:space="preserve"> PAGEREF _Toc4694 </w:instrText>
      </w:r>
      <w:r>
        <w:rPr>
          <w:color w:val="auto"/>
        </w:rPr>
        <w:fldChar w:fldCharType="separate"/>
      </w:r>
      <w:r>
        <w:rPr>
          <w:color w:val="auto"/>
        </w:rPr>
        <w:t>10</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_Toc28732 </w:instrText>
      </w:r>
      <w:r>
        <w:rPr>
          <w:bCs/>
          <w:color w:val="auto"/>
          <w:lang w:val="zh-CN"/>
        </w:rPr>
        <w:fldChar w:fldCharType="separate"/>
      </w:r>
      <w:r>
        <w:rPr>
          <w:rFonts w:hint="eastAsia"/>
          <w:color w:val="auto"/>
        </w:rPr>
        <w:t>（一</w:t>
      </w:r>
      <w:r>
        <w:rPr>
          <w:color w:val="auto"/>
        </w:rPr>
        <w:t>）</w:t>
      </w:r>
      <w:r>
        <w:rPr>
          <w:rFonts w:hint="eastAsia"/>
          <w:color w:val="auto"/>
        </w:rPr>
        <w:t>专业动态调整</w:t>
      </w:r>
      <w:r>
        <w:rPr>
          <w:color w:val="auto"/>
        </w:rPr>
        <w:tab/>
      </w:r>
      <w:r>
        <w:rPr>
          <w:color w:val="auto"/>
        </w:rPr>
        <w:fldChar w:fldCharType="begin"/>
      </w:r>
      <w:r>
        <w:rPr>
          <w:color w:val="auto"/>
        </w:rPr>
        <w:instrText xml:space="preserve"> PAGEREF _Toc28732 </w:instrText>
      </w:r>
      <w:r>
        <w:rPr>
          <w:color w:val="auto"/>
        </w:rPr>
        <w:fldChar w:fldCharType="separate"/>
      </w:r>
      <w:r>
        <w:rPr>
          <w:color w:val="auto"/>
        </w:rPr>
        <w:t>10</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_Toc1132 </w:instrText>
      </w:r>
      <w:r>
        <w:rPr>
          <w:bCs/>
          <w:color w:val="auto"/>
          <w:lang w:val="zh-CN"/>
        </w:rPr>
        <w:fldChar w:fldCharType="separate"/>
      </w:r>
      <w:r>
        <w:rPr>
          <w:rFonts w:hint="eastAsia"/>
          <w:color w:val="auto"/>
        </w:rPr>
        <w:t>（二</w:t>
      </w:r>
      <w:r>
        <w:rPr>
          <w:color w:val="auto"/>
        </w:rPr>
        <w:t>）</w:t>
      </w:r>
      <w:r>
        <w:rPr>
          <w:rFonts w:hint="eastAsia"/>
          <w:color w:val="auto"/>
        </w:rPr>
        <w:t>教育教学改革</w:t>
      </w:r>
      <w:r>
        <w:rPr>
          <w:color w:val="auto"/>
        </w:rPr>
        <w:tab/>
      </w:r>
      <w:r>
        <w:rPr>
          <w:color w:val="auto"/>
        </w:rPr>
        <w:fldChar w:fldCharType="begin"/>
      </w:r>
      <w:r>
        <w:rPr>
          <w:color w:val="auto"/>
        </w:rPr>
        <w:instrText xml:space="preserve"> PAGEREF _Toc1132 </w:instrText>
      </w:r>
      <w:r>
        <w:rPr>
          <w:color w:val="auto"/>
        </w:rPr>
        <w:fldChar w:fldCharType="separate"/>
      </w:r>
      <w:r>
        <w:rPr>
          <w:color w:val="auto"/>
        </w:rPr>
        <w:t>12</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_Toc14628 </w:instrText>
      </w:r>
      <w:r>
        <w:rPr>
          <w:bCs/>
          <w:color w:val="auto"/>
          <w:lang w:val="zh-CN"/>
        </w:rPr>
        <w:fldChar w:fldCharType="separate"/>
      </w:r>
      <w:r>
        <w:rPr>
          <w:rFonts w:hint="eastAsia"/>
          <w:color w:val="auto"/>
        </w:rPr>
        <w:t>（三</w:t>
      </w:r>
      <w:r>
        <w:rPr>
          <w:color w:val="auto"/>
        </w:rPr>
        <w:t>）</w:t>
      </w:r>
      <w:r>
        <w:rPr>
          <w:rFonts w:hint="eastAsia"/>
          <w:color w:val="auto"/>
        </w:rPr>
        <w:t>教师培养</w:t>
      </w:r>
      <w:r>
        <w:rPr>
          <w:color w:val="auto"/>
        </w:rPr>
        <w:t>培训</w:t>
      </w:r>
      <w:r>
        <w:rPr>
          <w:color w:val="auto"/>
        </w:rPr>
        <w:tab/>
      </w:r>
      <w:r>
        <w:rPr>
          <w:color w:val="auto"/>
        </w:rPr>
        <w:fldChar w:fldCharType="begin"/>
      </w:r>
      <w:r>
        <w:rPr>
          <w:color w:val="auto"/>
        </w:rPr>
        <w:instrText xml:space="preserve"> PAGEREF _Toc14628 </w:instrText>
      </w:r>
      <w:r>
        <w:rPr>
          <w:color w:val="auto"/>
        </w:rPr>
        <w:fldChar w:fldCharType="separate"/>
      </w:r>
      <w:r>
        <w:rPr>
          <w:color w:val="auto"/>
        </w:rPr>
        <w:t>16</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_Toc5711 </w:instrText>
      </w:r>
      <w:r>
        <w:rPr>
          <w:bCs/>
          <w:color w:val="auto"/>
          <w:lang w:val="zh-CN"/>
        </w:rPr>
        <w:fldChar w:fldCharType="separate"/>
      </w:r>
      <w:r>
        <w:rPr>
          <w:rFonts w:hint="eastAsia"/>
          <w:color w:val="auto"/>
        </w:rPr>
        <w:t>（四</w:t>
      </w:r>
      <w:r>
        <w:rPr>
          <w:color w:val="auto"/>
        </w:rPr>
        <w:t>）</w:t>
      </w:r>
      <w:r>
        <w:rPr>
          <w:rFonts w:hint="eastAsia"/>
          <w:color w:val="auto"/>
        </w:rPr>
        <w:t>规范</w:t>
      </w:r>
      <w:r>
        <w:rPr>
          <w:color w:val="auto"/>
        </w:rPr>
        <w:t>管理情况</w:t>
      </w:r>
      <w:r>
        <w:rPr>
          <w:color w:val="auto"/>
        </w:rPr>
        <w:tab/>
      </w:r>
      <w:r>
        <w:rPr>
          <w:color w:val="auto"/>
        </w:rPr>
        <w:fldChar w:fldCharType="begin"/>
      </w:r>
      <w:r>
        <w:rPr>
          <w:color w:val="auto"/>
        </w:rPr>
        <w:instrText xml:space="preserve"> PAGEREF _Toc5711 </w:instrText>
      </w:r>
      <w:r>
        <w:rPr>
          <w:color w:val="auto"/>
        </w:rPr>
        <w:fldChar w:fldCharType="separate"/>
      </w:r>
      <w:r>
        <w:rPr>
          <w:color w:val="auto"/>
        </w:rPr>
        <w:t>17</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_Toc24392 </w:instrText>
      </w:r>
      <w:r>
        <w:rPr>
          <w:bCs/>
          <w:color w:val="auto"/>
          <w:lang w:val="zh-CN"/>
        </w:rPr>
        <w:fldChar w:fldCharType="separate"/>
      </w:r>
      <w:r>
        <w:rPr>
          <w:rFonts w:hint="eastAsia"/>
          <w:color w:val="auto"/>
        </w:rPr>
        <w:t>（五</w:t>
      </w:r>
      <w:r>
        <w:rPr>
          <w:color w:val="auto"/>
        </w:rPr>
        <w:t>）</w:t>
      </w:r>
      <w:r>
        <w:rPr>
          <w:rFonts w:hint="eastAsia"/>
          <w:color w:val="auto"/>
        </w:rPr>
        <w:t>德育工作</w:t>
      </w:r>
      <w:r>
        <w:rPr>
          <w:color w:val="auto"/>
        </w:rPr>
        <w:t>情况</w:t>
      </w:r>
      <w:r>
        <w:rPr>
          <w:color w:val="auto"/>
        </w:rPr>
        <w:tab/>
      </w:r>
      <w:r>
        <w:rPr>
          <w:color w:val="auto"/>
        </w:rPr>
        <w:fldChar w:fldCharType="begin"/>
      </w:r>
      <w:r>
        <w:rPr>
          <w:color w:val="auto"/>
        </w:rPr>
        <w:instrText xml:space="preserve"> PAGEREF _Toc24392 </w:instrText>
      </w:r>
      <w:r>
        <w:rPr>
          <w:color w:val="auto"/>
        </w:rPr>
        <w:fldChar w:fldCharType="separate"/>
      </w:r>
      <w:r>
        <w:rPr>
          <w:color w:val="auto"/>
        </w:rPr>
        <w:t>22</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_Toc11166 </w:instrText>
      </w:r>
      <w:r>
        <w:rPr>
          <w:bCs/>
          <w:color w:val="auto"/>
          <w:lang w:val="zh-CN"/>
        </w:rPr>
        <w:fldChar w:fldCharType="separate"/>
      </w:r>
      <w:r>
        <w:rPr>
          <w:rFonts w:hint="eastAsia"/>
          <w:color w:val="auto"/>
        </w:rPr>
        <w:t>（六</w:t>
      </w:r>
      <w:r>
        <w:rPr>
          <w:color w:val="auto"/>
        </w:rPr>
        <w:t>）</w:t>
      </w:r>
      <w:r>
        <w:rPr>
          <w:rFonts w:hint="eastAsia"/>
          <w:color w:val="auto"/>
        </w:rPr>
        <w:t>党建情况</w:t>
      </w:r>
      <w:r>
        <w:rPr>
          <w:color w:val="auto"/>
        </w:rPr>
        <w:tab/>
      </w:r>
      <w:r>
        <w:rPr>
          <w:color w:val="auto"/>
        </w:rPr>
        <w:fldChar w:fldCharType="begin"/>
      </w:r>
      <w:r>
        <w:rPr>
          <w:color w:val="auto"/>
        </w:rPr>
        <w:instrText xml:space="preserve"> PAGEREF _Toc11166 </w:instrText>
      </w:r>
      <w:r>
        <w:rPr>
          <w:color w:val="auto"/>
        </w:rPr>
        <w:fldChar w:fldCharType="separate"/>
      </w:r>
      <w:r>
        <w:rPr>
          <w:color w:val="auto"/>
        </w:rPr>
        <w:t>33</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_Toc14027 </w:instrText>
      </w:r>
      <w:r>
        <w:rPr>
          <w:bCs/>
          <w:color w:val="auto"/>
          <w:lang w:val="zh-CN"/>
        </w:rPr>
        <w:fldChar w:fldCharType="separate"/>
      </w:r>
      <w:r>
        <w:rPr>
          <w:rFonts w:hint="eastAsia"/>
          <w:color w:val="auto"/>
        </w:rPr>
        <w:t>四</w:t>
      </w:r>
      <w:r>
        <w:rPr>
          <w:color w:val="auto"/>
        </w:rPr>
        <w:t>、校企合作</w:t>
      </w:r>
      <w:r>
        <w:rPr>
          <w:color w:val="auto"/>
        </w:rPr>
        <w:tab/>
      </w:r>
      <w:r>
        <w:rPr>
          <w:color w:val="auto"/>
        </w:rPr>
        <w:fldChar w:fldCharType="begin"/>
      </w:r>
      <w:r>
        <w:rPr>
          <w:color w:val="auto"/>
        </w:rPr>
        <w:instrText xml:space="preserve"> PAGEREF _Toc14027 </w:instrText>
      </w:r>
      <w:r>
        <w:rPr>
          <w:color w:val="auto"/>
        </w:rPr>
        <w:fldChar w:fldCharType="separate"/>
      </w:r>
      <w:r>
        <w:rPr>
          <w:color w:val="auto"/>
        </w:rPr>
        <w:t>36</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_Toc21227 </w:instrText>
      </w:r>
      <w:r>
        <w:rPr>
          <w:bCs/>
          <w:color w:val="auto"/>
          <w:lang w:val="zh-CN"/>
        </w:rPr>
        <w:fldChar w:fldCharType="separate"/>
      </w:r>
      <w:r>
        <w:rPr>
          <w:rFonts w:hint="eastAsia"/>
          <w:color w:val="auto"/>
          <w:shd w:val="clear" w:color="auto" w:fill="FFFFFF"/>
        </w:rPr>
        <w:t>（一</w:t>
      </w:r>
      <w:r>
        <w:rPr>
          <w:color w:val="auto"/>
          <w:shd w:val="clear" w:color="auto" w:fill="FFFFFF"/>
        </w:rPr>
        <w:t>）</w:t>
      </w:r>
      <w:r>
        <w:rPr>
          <w:rFonts w:hint="eastAsia"/>
          <w:color w:val="auto"/>
          <w:shd w:val="clear" w:color="auto" w:fill="FFFFFF"/>
        </w:rPr>
        <w:t>校企合作基本情况</w:t>
      </w:r>
      <w:r>
        <w:rPr>
          <w:color w:val="auto"/>
        </w:rPr>
        <w:tab/>
      </w:r>
      <w:r>
        <w:rPr>
          <w:color w:val="auto"/>
        </w:rPr>
        <w:fldChar w:fldCharType="begin"/>
      </w:r>
      <w:r>
        <w:rPr>
          <w:color w:val="auto"/>
        </w:rPr>
        <w:instrText xml:space="preserve"> PAGEREF _Toc21227 </w:instrText>
      </w:r>
      <w:r>
        <w:rPr>
          <w:color w:val="auto"/>
        </w:rPr>
        <w:fldChar w:fldCharType="separate"/>
      </w:r>
      <w:r>
        <w:rPr>
          <w:color w:val="auto"/>
        </w:rPr>
        <w:t>36</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_Toc23301 </w:instrText>
      </w:r>
      <w:r>
        <w:rPr>
          <w:bCs/>
          <w:color w:val="auto"/>
          <w:lang w:val="zh-CN"/>
        </w:rPr>
        <w:fldChar w:fldCharType="separate"/>
      </w:r>
      <w:r>
        <w:rPr>
          <w:rFonts w:hint="eastAsia"/>
          <w:color w:val="auto"/>
          <w:shd w:val="clear" w:color="auto" w:fill="FFFFFF"/>
        </w:rPr>
        <w:t>（</w:t>
      </w:r>
      <w:r>
        <w:rPr>
          <w:rFonts w:hint="eastAsia"/>
          <w:color w:val="auto"/>
          <w:shd w:val="clear" w:color="auto" w:fill="FFFFFF"/>
          <w:lang w:eastAsia="zh-CN"/>
        </w:rPr>
        <w:t>二</w:t>
      </w:r>
      <w:r>
        <w:rPr>
          <w:color w:val="auto"/>
          <w:shd w:val="clear" w:color="auto" w:fill="FFFFFF"/>
        </w:rPr>
        <w:t>）</w:t>
      </w:r>
      <w:r>
        <w:rPr>
          <w:rFonts w:hint="eastAsia"/>
          <w:color w:val="auto"/>
          <w:shd w:val="clear" w:color="auto" w:fill="FFFFFF"/>
        </w:rPr>
        <w:t>校企合作开展效果</w:t>
      </w:r>
      <w:r>
        <w:rPr>
          <w:color w:val="auto"/>
        </w:rPr>
        <w:tab/>
      </w:r>
      <w:r>
        <w:rPr>
          <w:color w:val="auto"/>
        </w:rPr>
        <w:fldChar w:fldCharType="begin"/>
      </w:r>
      <w:r>
        <w:rPr>
          <w:color w:val="auto"/>
        </w:rPr>
        <w:instrText xml:space="preserve"> PAGEREF _Toc23301 </w:instrText>
      </w:r>
      <w:r>
        <w:rPr>
          <w:color w:val="auto"/>
        </w:rPr>
        <w:fldChar w:fldCharType="separate"/>
      </w:r>
      <w:r>
        <w:rPr>
          <w:color w:val="auto"/>
        </w:rPr>
        <w:t>39</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_Toc11507 </w:instrText>
      </w:r>
      <w:r>
        <w:rPr>
          <w:bCs/>
          <w:color w:val="auto"/>
          <w:lang w:val="zh-CN"/>
        </w:rPr>
        <w:fldChar w:fldCharType="separate"/>
      </w:r>
      <w:r>
        <w:rPr>
          <w:rFonts w:hint="eastAsia"/>
          <w:color w:val="auto"/>
          <w:shd w:val="clear" w:color="auto" w:fill="FFFFFF"/>
        </w:rPr>
        <w:t>（二</w:t>
      </w:r>
      <w:r>
        <w:rPr>
          <w:color w:val="auto"/>
          <w:shd w:val="clear" w:color="auto" w:fill="FFFFFF"/>
        </w:rPr>
        <w:t>）</w:t>
      </w:r>
      <w:r>
        <w:rPr>
          <w:rFonts w:hint="eastAsia"/>
          <w:color w:val="auto"/>
          <w:shd w:val="clear" w:color="auto" w:fill="FFFFFF"/>
        </w:rPr>
        <w:t>学生实习情况</w:t>
      </w:r>
      <w:r>
        <w:rPr>
          <w:color w:val="auto"/>
        </w:rPr>
        <w:tab/>
      </w:r>
      <w:r>
        <w:rPr>
          <w:color w:val="auto"/>
        </w:rPr>
        <w:fldChar w:fldCharType="begin"/>
      </w:r>
      <w:r>
        <w:rPr>
          <w:color w:val="auto"/>
        </w:rPr>
        <w:instrText xml:space="preserve"> PAGEREF _Toc11507 </w:instrText>
      </w:r>
      <w:r>
        <w:rPr>
          <w:color w:val="auto"/>
        </w:rPr>
        <w:fldChar w:fldCharType="separate"/>
      </w:r>
      <w:r>
        <w:rPr>
          <w:color w:val="auto"/>
        </w:rPr>
        <w:t>43</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_Toc14696 </w:instrText>
      </w:r>
      <w:r>
        <w:rPr>
          <w:bCs/>
          <w:color w:val="auto"/>
          <w:lang w:val="zh-CN"/>
        </w:rPr>
        <w:fldChar w:fldCharType="separate"/>
      </w:r>
      <w:r>
        <w:rPr>
          <w:rFonts w:hint="eastAsia"/>
          <w:color w:val="auto"/>
          <w:shd w:val="clear" w:color="auto" w:fill="FFFFFF"/>
        </w:rPr>
        <w:t>（三</w:t>
      </w:r>
      <w:r>
        <w:rPr>
          <w:color w:val="auto"/>
          <w:shd w:val="clear" w:color="auto" w:fill="FFFFFF"/>
        </w:rPr>
        <w:t>）</w:t>
      </w:r>
      <w:r>
        <w:rPr>
          <w:rFonts w:hint="eastAsia"/>
          <w:color w:val="auto"/>
          <w:shd w:val="clear" w:color="auto" w:fill="FFFFFF"/>
        </w:rPr>
        <w:t>集团化办学情况</w:t>
      </w:r>
      <w:r>
        <w:rPr>
          <w:color w:val="auto"/>
        </w:rPr>
        <w:tab/>
      </w:r>
      <w:r>
        <w:rPr>
          <w:color w:val="auto"/>
        </w:rPr>
        <w:fldChar w:fldCharType="begin"/>
      </w:r>
      <w:r>
        <w:rPr>
          <w:color w:val="auto"/>
        </w:rPr>
        <w:instrText xml:space="preserve"> PAGEREF _Toc14696 </w:instrText>
      </w:r>
      <w:r>
        <w:rPr>
          <w:color w:val="auto"/>
        </w:rPr>
        <w:fldChar w:fldCharType="separate"/>
      </w:r>
      <w:r>
        <w:rPr>
          <w:color w:val="auto"/>
        </w:rPr>
        <w:t>43</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_Toc2688 </w:instrText>
      </w:r>
      <w:r>
        <w:rPr>
          <w:bCs/>
          <w:color w:val="auto"/>
          <w:lang w:val="zh-CN"/>
        </w:rPr>
        <w:fldChar w:fldCharType="separate"/>
      </w:r>
      <w:r>
        <w:rPr>
          <w:rFonts w:hint="eastAsia"/>
          <w:color w:val="auto"/>
        </w:rPr>
        <w:t>五</w:t>
      </w:r>
      <w:r>
        <w:rPr>
          <w:color w:val="auto"/>
        </w:rPr>
        <w:t>、社会贡献</w:t>
      </w:r>
      <w:r>
        <w:rPr>
          <w:color w:val="auto"/>
        </w:rPr>
        <w:tab/>
      </w:r>
      <w:r>
        <w:rPr>
          <w:color w:val="auto"/>
        </w:rPr>
        <w:fldChar w:fldCharType="begin"/>
      </w:r>
      <w:r>
        <w:rPr>
          <w:color w:val="auto"/>
        </w:rPr>
        <w:instrText xml:space="preserve"> PAGEREF _Toc2688 </w:instrText>
      </w:r>
      <w:r>
        <w:rPr>
          <w:color w:val="auto"/>
        </w:rPr>
        <w:fldChar w:fldCharType="separate"/>
      </w:r>
      <w:r>
        <w:rPr>
          <w:color w:val="auto"/>
        </w:rPr>
        <w:t>43</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_Toc31810 </w:instrText>
      </w:r>
      <w:r>
        <w:rPr>
          <w:bCs/>
          <w:color w:val="auto"/>
          <w:lang w:val="zh-CN"/>
        </w:rPr>
        <w:fldChar w:fldCharType="separate"/>
      </w:r>
      <w:r>
        <w:rPr>
          <w:rFonts w:hint="eastAsia"/>
          <w:color w:val="auto"/>
          <w:shd w:val="clear" w:color="auto" w:fill="FFFFFF"/>
        </w:rPr>
        <w:t>（一</w:t>
      </w:r>
      <w:r>
        <w:rPr>
          <w:color w:val="auto"/>
          <w:shd w:val="clear" w:color="auto" w:fill="FFFFFF"/>
        </w:rPr>
        <w:t>）</w:t>
      </w:r>
      <w:r>
        <w:rPr>
          <w:rFonts w:hint="eastAsia"/>
          <w:color w:val="auto"/>
          <w:shd w:val="clear" w:color="auto" w:fill="FFFFFF"/>
        </w:rPr>
        <w:t>技术</w:t>
      </w:r>
      <w:r>
        <w:rPr>
          <w:color w:val="auto"/>
          <w:shd w:val="clear" w:color="auto" w:fill="FFFFFF"/>
        </w:rPr>
        <w:t>技能人才培养</w:t>
      </w:r>
      <w:r>
        <w:rPr>
          <w:color w:val="auto"/>
        </w:rPr>
        <w:tab/>
      </w:r>
      <w:r>
        <w:rPr>
          <w:color w:val="auto"/>
        </w:rPr>
        <w:fldChar w:fldCharType="begin"/>
      </w:r>
      <w:r>
        <w:rPr>
          <w:color w:val="auto"/>
        </w:rPr>
        <w:instrText xml:space="preserve"> PAGEREF _Toc31810 </w:instrText>
      </w:r>
      <w:r>
        <w:rPr>
          <w:color w:val="auto"/>
        </w:rPr>
        <w:fldChar w:fldCharType="separate"/>
      </w:r>
      <w:r>
        <w:rPr>
          <w:color w:val="auto"/>
        </w:rPr>
        <w:t>43</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_Toc24206 </w:instrText>
      </w:r>
      <w:r>
        <w:rPr>
          <w:bCs/>
          <w:color w:val="auto"/>
          <w:lang w:val="zh-CN"/>
        </w:rPr>
        <w:fldChar w:fldCharType="separate"/>
      </w:r>
      <w:r>
        <w:rPr>
          <w:rFonts w:hint="eastAsia"/>
          <w:color w:val="auto"/>
          <w:shd w:val="clear" w:color="auto" w:fill="FFFFFF"/>
        </w:rPr>
        <w:t>（二</w:t>
      </w:r>
      <w:r>
        <w:rPr>
          <w:color w:val="auto"/>
          <w:shd w:val="clear" w:color="auto" w:fill="FFFFFF"/>
        </w:rPr>
        <w:t>）</w:t>
      </w:r>
      <w:r>
        <w:rPr>
          <w:rFonts w:hint="eastAsia"/>
          <w:color w:val="auto"/>
          <w:shd w:val="clear" w:color="auto" w:fill="FFFFFF"/>
        </w:rPr>
        <w:t>社会服务</w:t>
      </w:r>
      <w:r>
        <w:rPr>
          <w:color w:val="auto"/>
        </w:rPr>
        <w:tab/>
      </w:r>
      <w:r>
        <w:rPr>
          <w:color w:val="auto"/>
        </w:rPr>
        <w:fldChar w:fldCharType="begin"/>
      </w:r>
      <w:r>
        <w:rPr>
          <w:color w:val="auto"/>
        </w:rPr>
        <w:instrText xml:space="preserve"> PAGEREF _Toc24206 </w:instrText>
      </w:r>
      <w:r>
        <w:rPr>
          <w:color w:val="auto"/>
        </w:rPr>
        <w:fldChar w:fldCharType="separate"/>
      </w:r>
      <w:r>
        <w:rPr>
          <w:color w:val="auto"/>
        </w:rPr>
        <w:t>46</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_Toc7394 </w:instrText>
      </w:r>
      <w:r>
        <w:rPr>
          <w:bCs/>
          <w:color w:val="auto"/>
          <w:lang w:val="zh-CN"/>
        </w:rPr>
        <w:fldChar w:fldCharType="separate"/>
      </w:r>
      <w:r>
        <w:rPr>
          <w:rFonts w:hint="eastAsia"/>
          <w:color w:val="auto"/>
          <w:shd w:val="clear" w:color="auto" w:fill="FFFFFF"/>
        </w:rPr>
        <w:t>（三</w:t>
      </w:r>
      <w:r>
        <w:rPr>
          <w:color w:val="auto"/>
          <w:shd w:val="clear" w:color="auto" w:fill="FFFFFF"/>
        </w:rPr>
        <w:t>）</w:t>
      </w:r>
      <w:r>
        <w:rPr>
          <w:rFonts w:hint="eastAsia"/>
          <w:color w:val="auto"/>
          <w:shd w:val="clear" w:color="auto" w:fill="FFFFFF"/>
        </w:rPr>
        <w:t>对口</w:t>
      </w:r>
      <w:r>
        <w:rPr>
          <w:color w:val="auto"/>
          <w:shd w:val="clear" w:color="auto" w:fill="FFFFFF"/>
        </w:rPr>
        <w:t>支</w:t>
      </w:r>
      <w:r>
        <w:rPr>
          <w:rFonts w:hint="eastAsia"/>
          <w:color w:val="auto"/>
          <w:shd w:val="clear" w:color="auto" w:fill="FFFFFF"/>
        </w:rPr>
        <w:t>援</w:t>
      </w:r>
      <w:r>
        <w:rPr>
          <w:color w:val="auto"/>
        </w:rPr>
        <w:tab/>
      </w:r>
      <w:r>
        <w:rPr>
          <w:color w:val="auto"/>
        </w:rPr>
        <w:fldChar w:fldCharType="begin"/>
      </w:r>
      <w:r>
        <w:rPr>
          <w:color w:val="auto"/>
        </w:rPr>
        <w:instrText xml:space="preserve"> PAGEREF _Toc7394 </w:instrText>
      </w:r>
      <w:r>
        <w:rPr>
          <w:color w:val="auto"/>
        </w:rPr>
        <w:fldChar w:fldCharType="separate"/>
      </w:r>
      <w:r>
        <w:rPr>
          <w:color w:val="auto"/>
        </w:rPr>
        <w:t>48</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_Toc20075 </w:instrText>
      </w:r>
      <w:r>
        <w:rPr>
          <w:bCs/>
          <w:color w:val="auto"/>
          <w:lang w:val="zh-CN"/>
        </w:rPr>
        <w:fldChar w:fldCharType="separate"/>
      </w:r>
      <w:r>
        <w:rPr>
          <w:rFonts w:hint="eastAsia"/>
          <w:color w:val="auto"/>
        </w:rPr>
        <w:t>六</w:t>
      </w:r>
      <w:r>
        <w:rPr>
          <w:color w:val="auto"/>
        </w:rPr>
        <w:t>、</w:t>
      </w:r>
      <w:r>
        <w:rPr>
          <w:rFonts w:hint="eastAsia"/>
          <w:color w:val="auto"/>
        </w:rPr>
        <w:t>举办者履责</w:t>
      </w:r>
      <w:r>
        <w:rPr>
          <w:color w:val="auto"/>
        </w:rPr>
        <w:tab/>
      </w:r>
      <w:r>
        <w:rPr>
          <w:color w:val="auto"/>
        </w:rPr>
        <w:fldChar w:fldCharType="begin"/>
      </w:r>
      <w:r>
        <w:rPr>
          <w:color w:val="auto"/>
        </w:rPr>
        <w:instrText xml:space="preserve"> PAGEREF _Toc20075 </w:instrText>
      </w:r>
      <w:r>
        <w:rPr>
          <w:color w:val="auto"/>
        </w:rPr>
        <w:fldChar w:fldCharType="separate"/>
      </w:r>
      <w:r>
        <w:rPr>
          <w:color w:val="auto"/>
        </w:rPr>
        <w:t>49</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_Toc24500 </w:instrText>
      </w:r>
      <w:r>
        <w:rPr>
          <w:bCs/>
          <w:color w:val="auto"/>
          <w:lang w:val="zh-CN"/>
        </w:rPr>
        <w:fldChar w:fldCharType="separate"/>
      </w:r>
      <w:r>
        <w:rPr>
          <w:rFonts w:hint="eastAsia"/>
          <w:color w:val="auto"/>
          <w:shd w:val="clear" w:color="auto" w:fill="FFFFFF"/>
        </w:rPr>
        <w:t>（一）经费</w:t>
      </w:r>
      <w:r>
        <w:rPr>
          <w:color w:val="auto"/>
        </w:rPr>
        <w:tab/>
      </w:r>
      <w:r>
        <w:rPr>
          <w:color w:val="auto"/>
        </w:rPr>
        <w:fldChar w:fldCharType="begin"/>
      </w:r>
      <w:r>
        <w:rPr>
          <w:color w:val="auto"/>
        </w:rPr>
        <w:instrText xml:space="preserve"> PAGEREF _Toc24500 </w:instrText>
      </w:r>
      <w:r>
        <w:rPr>
          <w:color w:val="auto"/>
        </w:rPr>
        <w:fldChar w:fldCharType="separate"/>
      </w:r>
      <w:r>
        <w:rPr>
          <w:color w:val="auto"/>
        </w:rPr>
        <w:t>49</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_Toc14302 </w:instrText>
      </w:r>
      <w:r>
        <w:rPr>
          <w:bCs/>
          <w:color w:val="auto"/>
          <w:lang w:val="zh-CN"/>
        </w:rPr>
        <w:fldChar w:fldCharType="separate"/>
      </w:r>
      <w:r>
        <w:rPr>
          <w:rFonts w:hint="eastAsia"/>
          <w:color w:val="auto"/>
          <w:shd w:val="clear" w:color="auto" w:fill="FFFFFF"/>
        </w:rPr>
        <w:t>（二）政策</w:t>
      </w:r>
      <w:r>
        <w:rPr>
          <w:color w:val="auto"/>
          <w:shd w:val="clear" w:color="auto" w:fill="FFFFFF"/>
        </w:rPr>
        <w:t>措施</w:t>
      </w:r>
      <w:r>
        <w:rPr>
          <w:color w:val="auto"/>
        </w:rPr>
        <w:tab/>
      </w:r>
      <w:r>
        <w:rPr>
          <w:color w:val="auto"/>
        </w:rPr>
        <w:fldChar w:fldCharType="begin"/>
      </w:r>
      <w:r>
        <w:rPr>
          <w:color w:val="auto"/>
        </w:rPr>
        <w:instrText xml:space="preserve"> PAGEREF _Toc14302 </w:instrText>
      </w:r>
      <w:r>
        <w:rPr>
          <w:color w:val="auto"/>
        </w:rPr>
        <w:fldChar w:fldCharType="separate"/>
      </w:r>
      <w:r>
        <w:rPr>
          <w:color w:val="auto"/>
        </w:rPr>
        <w:t>49</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_Toc21056 </w:instrText>
      </w:r>
      <w:r>
        <w:rPr>
          <w:bCs/>
          <w:color w:val="auto"/>
          <w:lang w:val="zh-CN"/>
        </w:rPr>
        <w:fldChar w:fldCharType="separate"/>
      </w:r>
      <w:r>
        <w:rPr>
          <w:rFonts w:hint="eastAsia"/>
          <w:color w:val="auto"/>
        </w:rPr>
        <w:t>七</w:t>
      </w:r>
      <w:r>
        <w:rPr>
          <w:color w:val="auto"/>
        </w:rPr>
        <w:t>、特色创新</w:t>
      </w:r>
      <w:r>
        <w:rPr>
          <w:color w:val="auto"/>
        </w:rPr>
        <w:tab/>
      </w:r>
      <w:r>
        <w:rPr>
          <w:color w:val="auto"/>
        </w:rPr>
        <w:fldChar w:fldCharType="begin"/>
      </w:r>
      <w:r>
        <w:rPr>
          <w:color w:val="auto"/>
        </w:rPr>
        <w:instrText xml:space="preserve"> PAGEREF _Toc21056 </w:instrText>
      </w:r>
      <w:r>
        <w:rPr>
          <w:color w:val="auto"/>
        </w:rPr>
        <w:fldChar w:fldCharType="separate"/>
      </w:r>
      <w:r>
        <w:rPr>
          <w:color w:val="auto"/>
        </w:rPr>
        <w:t>50</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_Toc1447 </w:instrText>
      </w:r>
      <w:r>
        <w:rPr>
          <w:bCs/>
          <w:color w:val="auto"/>
          <w:lang w:val="zh-CN"/>
        </w:rPr>
        <w:fldChar w:fldCharType="separate"/>
      </w:r>
      <w:r>
        <w:rPr>
          <w:rFonts w:hint="eastAsia"/>
          <w:color w:val="auto"/>
        </w:rPr>
        <w:t>案例一</w:t>
      </w:r>
      <w:r>
        <w:rPr>
          <w:color w:val="auto"/>
        </w:rPr>
        <w:t>：</w:t>
      </w:r>
      <w:r>
        <w:rPr>
          <w:rFonts w:hint="eastAsia" w:ascii="宋体" w:hAnsi="宋体" w:eastAsia="宋体" w:cs="方正小标宋简体"/>
          <w:color w:val="auto"/>
          <w:szCs w:val="30"/>
        </w:rPr>
        <w:t>坚持党建引领，推动教诊改工作，提升办学水平</w:t>
      </w:r>
      <w:r>
        <w:rPr>
          <w:color w:val="auto"/>
        </w:rPr>
        <w:tab/>
      </w:r>
      <w:r>
        <w:rPr>
          <w:color w:val="auto"/>
        </w:rPr>
        <w:fldChar w:fldCharType="begin"/>
      </w:r>
      <w:r>
        <w:rPr>
          <w:color w:val="auto"/>
        </w:rPr>
        <w:instrText xml:space="preserve"> PAGEREF _Toc1447 </w:instrText>
      </w:r>
      <w:r>
        <w:rPr>
          <w:color w:val="auto"/>
        </w:rPr>
        <w:fldChar w:fldCharType="separate"/>
      </w:r>
      <w:r>
        <w:rPr>
          <w:color w:val="auto"/>
        </w:rPr>
        <w:t>50</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_Toc25149 </w:instrText>
      </w:r>
      <w:r>
        <w:rPr>
          <w:bCs/>
          <w:color w:val="auto"/>
          <w:lang w:val="zh-CN"/>
        </w:rPr>
        <w:fldChar w:fldCharType="separate"/>
      </w:r>
      <w:r>
        <w:rPr>
          <w:rFonts w:hint="eastAsia"/>
          <w:color w:val="auto"/>
          <w:szCs w:val="32"/>
        </w:rPr>
        <w:t>案例</w:t>
      </w:r>
      <w:r>
        <w:rPr>
          <w:color w:val="auto"/>
          <w:szCs w:val="32"/>
        </w:rPr>
        <w:t>二</w:t>
      </w:r>
      <w:r>
        <w:rPr>
          <w:rFonts w:hint="eastAsia"/>
          <w:color w:val="auto"/>
          <w:szCs w:val="32"/>
        </w:rPr>
        <w:t>：以办好职业初中班为抓手，助力控辍保学工作</w:t>
      </w:r>
      <w:r>
        <w:rPr>
          <w:color w:val="auto"/>
        </w:rPr>
        <w:tab/>
      </w:r>
      <w:r>
        <w:rPr>
          <w:color w:val="auto"/>
        </w:rPr>
        <w:fldChar w:fldCharType="begin"/>
      </w:r>
      <w:r>
        <w:rPr>
          <w:color w:val="auto"/>
        </w:rPr>
        <w:instrText xml:space="preserve"> PAGEREF _Toc25149 </w:instrText>
      </w:r>
      <w:r>
        <w:rPr>
          <w:color w:val="auto"/>
        </w:rPr>
        <w:fldChar w:fldCharType="separate"/>
      </w:r>
      <w:r>
        <w:rPr>
          <w:color w:val="auto"/>
        </w:rPr>
        <w:t>54</w:t>
      </w:r>
      <w:r>
        <w:rPr>
          <w:color w:val="auto"/>
        </w:rPr>
        <w:fldChar w:fldCharType="end"/>
      </w:r>
      <w:r>
        <w:rPr>
          <w:bCs/>
          <w:color w:val="auto"/>
          <w:lang w:val="zh-CN"/>
        </w:rPr>
        <w:fldChar w:fldCharType="end"/>
      </w:r>
    </w:p>
    <w:p>
      <w:pPr>
        <w:pStyle w:val="9"/>
        <w:tabs>
          <w:tab w:val="right" w:leader="dot" w:pos="8958"/>
        </w:tabs>
        <w:rPr>
          <w:color w:val="auto"/>
        </w:rPr>
      </w:pPr>
      <w:r>
        <w:rPr>
          <w:bCs/>
          <w:color w:val="auto"/>
          <w:lang w:val="zh-CN"/>
        </w:rPr>
        <w:fldChar w:fldCharType="begin"/>
      </w:r>
      <w:r>
        <w:rPr>
          <w:bCs/>
          <w:color w:val="auto"/>
          <w:lang w:val="zh-CN"/>
        </w:rPr>
        <w:instrText xml:space="preserve"> HYPERLINK \l _Toc11470 </w:instrText>
      </w:r>
      <w:r>
        <w:rPr>
          <w:bCs/>
          <w:color w:val="auto"/>
          <w:lang w:val="zh-CN"/>
        </w:rPr>
        <w:fldChar w:fldCharType="separate"/>
      </w:r>
      <w:r>
        <w:rPr>
          <w:rFonts w:hint="eastAsia"/>
          <w:color w:val="auto"/>
        </w:rPr>
        <w:t>八</w:t>
      </w:r>
      <w:r>
        <w:rPr>
          <w:color w:val="auto"/>
        </w:rPr>
        <w:t>、主要问题和改进措施</w:t>
      </w:r>
      <w:r>
        <w:rPr>
          <w:color w:val="auto"/>
        </w:rPr>
        <w:tab/>
      </w:r>
      <w:r>
        <w:rPr>
          <w:color w:val="auto"/>
        </w:rPr>
        <w:fldChar w:fldCharType="begin"/>
      </w:r>
      <w:r>
        <w:rPr>
          <w:color w:val="auto"/>
        </w:rPr>
        <w:instrText xml:space="preserve"> PAGEREF _Toc11470 </w:instrText>
      </w:r>
      <w:r>
        <w:rPr>
          <w:color w:val="auto"/>
        </w:rPr>
        <w:fldChar w:fldCharType="separate"/>
      </w:r>
      <w:r>
        <w:rPr>
          <w:color w:val="auto"/>
        </w:rPr>
        <w:t>62</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_Toc7695 </w:instrText>
      </w:r>
      <w:r>
        <w:rPr>
          <w:bCs/>
          <w:color w:val="auto"/>
          <w:lang w:val="zh-CN"/>
        </w:rPr>
        <w:fldChar w:fldCharType="separate"/>
      </w:r>
      <w:r>
        <w:rPr>
          <w:rFonts w:hint="eastAsia"/>
          <w:color w:val="auto"/>
          <w:shd w:val="clear" w:color="auto" w:fill="FFFFFF"/>
        </w:rPr>
        <w:t>（一）主要问题</w:t>
      </w:r>
      <w:r>
        <w:rPr>
          <w:color w:val="auto"/>
        </w:rPr>
        <w:tab/>
      </w:r>
      <w:r>
        <w:rPr>
          <w:color w:val="auto"/>
        </w:rPr>
        <w:fldChar w:fldCharType="begin"/>
      </w:r>
      <w:r>
        <w:rPr>
          <w:color w:val="auto"/>
        </w:rPr>
        <w:instrText xml:space="preserve"> PAGEREF _Toc7695 </w:instrText>
      </w:r>
      <w:r>
        <w:rPr>
          <w:color w:val="auto"/>
        </w:rPr>
        <w:fldChar w:fldCharType="separate"/>
      </w:r>
      <w:r>
        <w:rPr>
          <w:color w:val="auto"/>
        </w:rPr>
        <w:t>62</w:t>
      </w:r>
      <w:r>
        <w:rPr>
          <w:color w:val="auto"/>
        </w:rPr>
        <w:fldChar w:fldCharType="end"/>
      </w:r>
      <w:r>
        <w:rPr>
          <w:bCs/>
          <w:color w:val="auto"/>
          <w:lang w:val="zh-CN"/>
        </w:rPr>
        <w:fldChar w:fldCharType="end"/>
      </w:r>
    </w:p>
    <w:p>
      <w:pPr>
        <w:pStyle w:val="10"/>
        <w:tabs>
          <w:tab w:val="right" w:leader="dot" w:pos="8958"/>
        </w:tabs>
        <w:rPr>
          <w:color w:val="auto"/>
        </w:rPr>
      </w:pPr>
      <w:r>
        <w:rPr>
          <w:bCs/>
          <w:color w:val="auto"/>
          <w:lang w:val="zh-CN"/>
        </w:rPr>
        <w:fldChar w:fldCharType="begin"/>
      </w:r>
      <w:r>
        <w:rPr>
          <w:bCs/>
          <w:color w:val="auto"/>
          <w:lang w:val="zh-CN"/>
        </w:rPr>
        <w:instrText xml:space="preserve"> HYPERLINK \l _Toc16798 </w:instrText>
      </w:r>
      <w:r>
        <w:rPr>
          <w:bCs/>
          <w:color w:val="auto"/>
          <w:lang w:val="zh-CN"/>
        </w:rPr>
        <w:fldChar w:fldCharType="separate"/>
      </w:r>
      <w:r>
        <w:rPr>
          <w:rFonts w:hint="eastAsia"/>
          <w:color w:val="auto"/>
        </w:rPr>
        <w:t>（二</w:t>
      </w:r>
      <w:r>
        <w:rPr>
          <w:color w:val="auto"/>
        </w:rPr>
        <w:t>）</w:t>
      </w:r>
      <w:r>
        <w:rPr>
          <w:rFonts w:hint="eastAsia"/>
          <w:color w:val="auto"/>
        </w:rPr>
        <w:t>改进措施</w:t>
      </w:r>
      <w:r>
        <w:rPr>
          <w:color w:val="auto"/>
        </w:rPr>
        <w:tab/>
      </w:r>
      <w:r>
        <w:rPr>
          <w:color w:val="auto"/>
        </w:rPr>
        <w:fldChar w:fldCharType="begin"/>
      </w:r>
      <w:r>
        <w:rPr>
          <w:color w:val="auto"/>
        </w:rPr>
        <w:instrText xml:space="preserve"> PAGEREF _Toc16798 </w:instrText>
      </w:r>
      <w:r>
        <w:rPr>
          <w:color w:val="auto"/>
        </w:rPr>
        <w:fldChar w:fldCharType="separate"/>
      </w:r>
      <w:r>
        <w:rPr>
          <w:color w:val="auto"/>
        </w:rPr>
        <w:t>63</w:t>
      </w:r>
      <w:r>
        <w:rPr>
          <w:color w:val="auto"/>
        </w:rPr>
        <w:fldChar w:fldCharType="end"/>
      </w:r>
      <w:r>
        <w:rPr>
          <w:bCs/>
          <w:color w:val="auto"/>
          <w:lang w:val="zh-CN"/>
        </w:rPr>
        <w:fldChar w:fldCharType="end"/>
      </w:r>
    </w:p>
    <w:p>
      <w:pPr>
        <w:ind w:firstLine="562"/>
        <w:rPr>
          <w:color w:val="auto"/>
        </w:rPr>
      </w:pPr>
      <w:r>
        <w:rPr>
          <w:bCs/>
          <w:color w:val="auto"/>
          <w:lang w:val="zh-CN"/>
        </w:rPr>
        <w:fldChar w:fldCharType="end"/>
      </w:r>
    </w:p>
    <w:p>
      <w:pPr>
        <w:widowControl/>
        <w:ind w:firstLine="0" w:firstLineChars="0"/>
        <w:rPr>
          <w:rFonts w:hint="eastAsia"/>
          <w:color w:val="auto"/>
        </w:rPr>
      </w:pPr>
      <w:r>
        <w:rPr>
          <w:rFonts w:ascii="黑体" w:hAnsi="黑体" w:eastAsia="黑体"/>
          <w:color w:val="auto"/>
          <w:sz w:val="36"/>
          <w:szCs w:val="36"/>
        </w:rPr>
        <w:br w:type="page"/>
      </w:r>
    </w:p>
    <w:p>
      <w:pPr>
        <w:pStyle w:val="2"/>
        <w:spacing w:beforeLines="0"/>
        <w:ind w:firstLine="643"/>
        <w:rPr>
          <w:color w:val="auto"/>
          <w:sz w:val="28"/>
        </w:rPr>
      </w:pPr>
      <w:bookmarkStart w:id="0" w:name="_Toc17181"/>
      <w:r>
        <w:rPr>
          <w:rFonts w:hint="eastAsia"/>
          <w:color w:val="auto"/>
        </w:rPr>
        <w:t>一</w:t>
      </w:r>
      <w:r>
        <w:rPr>
          <w:color w:val="auto"/>
        </w:rPr>
        <w:t>、</w:t>
      </w:r>
      <w:r>
        <w:rPr>
          <w:rFonts w:hint="eastAsia"/>
          <w:color w:val="auto"/>
        </w:rPr>
        <w:t>学校情况</w:t>
      </w:r>
      <w:bookmarkEnd w:id="0"/>
    </w:p>
    <w:p>
      <w:pPr>
        <w:pStyle w:val="3"/>
        <w:spacing w:beforeLines="0"/>
        <w:ind w:firstLine="602"/>
        <w:rPr>
          <w:color w:val="auto"/>
        </w:rPr>
      </w:pPr>
      <w:bookmarkStart w:id="1" w:name="_Toc15713"/>
      <w:r>
        <w:rPr>
          <w:rFonts w:hint="eastAsia"/>
          <w:color w:val="auto"/>
          <w:shd w:val="clear" w:color="auto" w:fill="FFFFFF"/>
        </w:rPr>
        <w:t>（一</w:t>
      </w:r>
      <w:r>
        <w:rPr>
          <w:color w:val="auto"/>
          <w:shd w:val="clear" w:color="auto" w:fill="FFFFFF"/>
        </w:rPr>
        <w:t>）</w:t>
      </w:r>
      <w:r>
        <w:rPr>
          <w:rFonts w:hint="eastAsia"/>
          <w:color w:val="auto"/>
        </w:rPr>
        <w:t>学校概况</w:t>
      </w:r>
      <w:bookmarkEnd w:id="1"/>
    </w:p>
    <w:p>
      <w:pPr>
        <w:ind w:firstLine="560"/>
        <w:rPr>
          <w:rFonts w:hint="eastAsia" w:ascii="宋体" w:hAnsi="宋体"/>
          <w:color w:val="auto"/>
        </w:rPr>
      </w:pPr>
      <w:r>
        <w:rPr>
          <w:rFonts w:hint="eastAsia" w:ascii="宋体" w:hAnsi="宋体"/>
          <w:color w:val="auto"/>
        </w:rPr>
        <w:t>海南省经济技术学校创办于1964年，是海南省教育厅直属中职学校，于2018年通过“国家中等职业教育改革发展示范学校建设计划”第三批项目学校建设验收，正式确定为“国家中等职业教育改革发展示范学校”。学校在省教育厅、省妇联、省财政厅、省扶贫办的大力支持下，教学质量水平、学生综合素质、办学基础能力得到显著提升，为海南社会经济发展做出了积极贡献，得到社会各界的广泛赞誉，先后获得“全国维护妇女儿童权益先进集体”、“全国先进基层党组织”、“中国社会扶贫创新行动优秀案例奖”、“全国教育系统先进集体”、“巾帼文明岗”等荣誉称号。《人民日报》、《光明日报》、《中国教育报》、中央电视台、海南电视台等多家新闻媒体对学校进行多次报道。学校办学条件优越，硬件设施不断提升，师资队伍不断优化，学校管理机构健全，办学理念先进，办学定位准确。截止201</w:t>
      </w:r>
      <w:r>
        <w:rPr>
          <w:rFonts w:hint="eastAsia" w:ascii="宋体" w:hAnsi="宋体"/>
          <w:color w:val="auto"/>
          <w:lang w:val="en-US" w:eastAsia="zh-CN"/>
        </w:rPr>
        <w:t>9</w:t>
      </w:r>
      <w:r>
        <w:rPr>
          <w:rFonts w:hint="eastAsia" w:ascii="宋体" w:hAnsi="宋体"/>
          <w:color w:val="auto"/>
        </w:rPr>
        <w:t>年12月学校占地面积共95.01亩，分为桂林洋校区和府城校区，建筑面积87614.4平方米。共有教学楼3栋、实训楼5栋，建立学生实训操作室123间，实训室建筑面积达11580平米，国有资产已达18</w:t>
      </w:r>
      <w:r>
        <w:rPr>
          <w:rFonts w:hint="eastAsia" w:ascii="宋体" w:hAnsi="宋体"/>
          <w:color w:val="auto"/>
          <w:lang w:val="en-US" w:eastAsia="zh-CN"/>
        </w:rPr>
        <w:t>335</w:t>
      </w:r>
      <w:r>
        <w:rPr>
          <w:rFonts w:hint="eastAsia" w:ascii="宋体" w:hAnsi="宋体"/>
          <w:color w:val="auto"/>
        </w:rPr>
        <w:t>.</w:t>
      </w:r>
      <w:r>
        <w:rPr>
          <w:rFonts w:hint="eastAsia" w:ascii="宋体" w:hAnsi="宋体"/>
          <w:color w:val="auto"/>
          <w:lang w:val="en-US" w:eastAsia="zh-CN"/>
        </w:rPr>
        <w:t>77347</w:t>
      </w:r>
      <w:r>
        <w:rPr>
          <w:rFonts w:hint="eastAsia" w:ascii="宋体" w:hAnsi="宋体"/>
          <w:color w:val="auto"/>
        </w:rPr>
        <w:t>万元(截止201</w:t>
      </w:r>
      <w:r>
        <w:rPr>
          <w:rFonts w:hint="eastAsia" w:ascii="宋体" w:hAnsi="宋体"/>
          <w:color w:val="auto"/>
          <w:lang w:val="en-US" w:eastAsia="zh-CN"/>
        </w:rPr>
        <w:t>9</w:t>
      </w:r>
      <w:r>
        <w:rPr>
          <w:rFonts w:hint="eastAsia" w:ascii="宋体" w:hAnsi="宋体"/>
          <w:color w:val="auto"/>
        </w:rPr>
        <w:t>年12月3</w:t>
      </w:r>
      <w:r>
        <w:rPr>
          <w:rFonts w:hint="eastAsia" w:ascii="宋体" w:hAnsi="宋体"/>
          <w:color w:val="auto"/>
          <w:lang w:val="en-US" w:eastAsia="zh-CN"/>
        </w:rPr>
        <w:t>1</w:t>
      </w:r>
      <w:r>
        <w:rPr>
          <w:rFonts w:hint="eastAsia" w:ascii="宋体" w:hAnsi="宋体"/>
          <w:color w:val="auto"/>
        </w:rPr>
        <w:t>日)。</w:t>
      </w:r>
    </w:p>
    <w:p>
      <w:pPr>
        <w:pStyle w:val="3"/>
        <w:spacing w:beforeLines="0"/>
        <w:ind w:firstLine="602"/>
        <w:rPr>
          <w:rFonts w:hint="eastAsia"/>
          <w:color w:val="auto"/>
        </w:rPr>
      </w:pPr>
      <w:bookmarkStart w:id="2" w:name="_Toc188"/>
      <w:r>
        <w:rPr>
          <w:rFonts w:hint="eastAsia"/>
          <w:color w:val="auto"/>
          <w:shd w:val="clear" w:color="auto" w:fill="FFFFFF"/>
        </w:rPr>
        <w:t>（二</w:t>
      </w:r>
      <w:r>
        <w:rPr>
          <w:color w:val="auto"/>
          <w:shd w:val="clear" w:color="auto" w:fill="FFFFFF"/>
        </w:rPr>
        <w:t>）</w:t>
      </w:r>
      <w:r>
        <w:rPr>
          <w:rFonts w:hint="eastAsia"/>
          <w:color w:val="auto"/>
        </w:rPr>
        <w:t>学生情况</w:t>
      </w:r>
      <w:bookmarkEnd w:id="2"/>
    </w:p>
    <w:p>
      <w:pPr>
        <w:ind w:firstLine="560"/>
        <w:rPr>
          <w:rFonts w:ascii="宋体" w:hAnsi="宋体"/>
          <w:color w:val="auto"/>
        </w:rPr>
      </w:pPr>
      <w:r>
        <w:rPr>
          <w:rFonts w:hint="eastAsia" w:ascii="宋体" w:hAnsi="宋体"/>
          <w:color w:val="auto"/>
        </w:rPr>
        <w:t>我校在校学生人数达6116人(截止2019年12月31日)，其中全日制学生5479人，金不换中专班共5个班级323人，企业学徒制4个班级314人。招生计划完成率为128%，共设125个教学班级。同比2018年学生人数增加506人，教学班级增加10个。由于办学思路正确、定位准，学生退学较少，巩固率与去年持平，达到97.5%。</w:t>
      </w:r>
    </w:p>
    <w:p>
      <w:pPr>
        <w:pStyle w:val="3"/>
        <w:spacing w:beforeLines="0"/>
        <w:ind w:firstLine="602"/>
        <w:rPr>
          <w:color w:val="auto"/>
        </w:rPr>
      </w:pPr>
      <w:bookmarkStart w:id="3" w:name="_Toc21094"/>
      <w:r>
        <w:rPr>
          <w:rFonts w:hint="eastAsia"/>
          <w:color w:val="auto"/>
        </w:rPr>
        <w:t>（三</w:t>
      </w:r>
      <w:r>
        <w:rPr>
          <w:color w:val="auto"/>
        </w:rPr>
        <w:t>）</w:t>
      </w:r>
      <w:r>
        <w:rPr>
          <w:rFonts w:hint="eastAsia"/>
          <w:color w:val="auto"/>
        </w:rPr>
        <w:t>教师队伍</w:t>
      </w:r>
      <w:bookmarkEnd w:id="3"/>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1680"/>
        <w:gridCol w:w="1541"/>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5" w:type="dxa"/>
            <w:noWrap w:val="0"/>
            <w:vAlign w:val="top"/>
          </w:tcPr>
          <w:p>
            <w:pPr>
              <w:ind w:firstLine="0" w:firstLineChars="0"/>
              <w:rPr>
                <w:rFonts w:ascii="Times New Roman" w:hAnsi="Times New Roman" w:cs="Times New Roman"/>
                <w:b/>
                <w:color w:val="auto"/>
                <w:kern w:val="0"/>
                <w:szCs w:val="20"/>
              </w:rPr>
            </w:pPr>
            <w:r>
              <w:rPr>
                <w:rFonts w:hint="eastAsia" w:ascii="Times New Roman" w:hAnsi="Times New Roman" w:cs="Times New Roman"/>
                <w:b/>
                <w:color w:val="auto"/>
                <w:kern w:val="0"/>
                <w:szCs w:val="20"/>
              </w:rPr>
              <w:t>项目</w:t>
            </w:r>
          </w:p>
        </w:tc>
        <w:tc>
          <w:tcPr>
            <w:tcW w:w="1680" w:type="dxa"/>
            <w:noWrap w:val="0"/>
            <w:vAlign w:val="top"/>
          </w:tcPr>
          <w:p>
            <w:pPr>
              <w:ind w:firstLine="0" w:firstLineChars="0"/>
              <w:rPr>
                <w:rFonts w:ascii="Times New Roman" w:hAnsi="Times New Roman" w:cs="Times New Roman"/>
                <w:b/>
                <w:color w:val="auto"/>
                <w:kern w:val="0"/>
                <w:szCs w:val="20"/>
              </w:rPr>
            </w:pPr>
            <w:r>
              <w:rPr>
                <w:rFonts w:hint="eastAsia" w:ascii="Times New Roman" w:hAnsi="Times New Roman" w:cs="Times New Roman"/>
                <w:b/>
                <w:color w:val="auto"/>
                <w:kern w:val="0"/>
                <w:szCs w:val="20"/>
              </w:rPr>
              <w:t>201</w:t>
            </w:r>
            <w:r>
              <w:rPr>
                <w:rFonts w:hint="eastAsia" w:ascii="Times New Roman" w:hAnsi="Times New Roman" w:cs="Times New Roman"/>
                <w:b/>
                <w:color w:val="auto"/>
                <w:kern w:val="0"/>
                <w:szCs w:val="20"/>
                <w:lang w:val="en-US" w:eastAsia="zh-CN"/>
              </w:rPr>
              <w:t>8</w:t>
            </w:r>
            <w:r>
              <w:rPr>
                <w:rFonts w:hint="eastAsia" w:ascii="Times New Roman" w:hAnsi="Times New Roman" w:cs="Times New Roman"/>
                <w:b/>
                <w:color w:val="auto"/>
                <w:kern w:val="0"/>
                <w:szCs w:val="20"/>
              </w:rPr>
              <w:t>年</w:t>
            </w:r>
          </w:p>
        </w:tc>
        <w:tc>
          <w:tcPr>
            <w:tcW w:w="1541" w:type="dxa"/>
            <w:noWrap w:val="0"/>
            <w:vAlign w:val="top"/>
          </w:tcPr>
          <w:p>
            <w:pPr>
              <w:ind w:firstLine="0" w:firstLineChars="0"/>
              <w:rPr>
                <w:rFonts w:ascii="Times New Roman" w:hAnsi="Times New Roman" w:cs="Times New Roman"/>
                <w:b/>
                <w:color w:val="auto"/>
                <w:kern w:val="0"/>
                <w:szCs w:val="20"/>
              </w:rPr>
            </w:pPr>
            <w:r>
              <w:rPr>
                <w:rFonts w:hint="eastAsia" w:ascii="Times New Roman" w:hAnsi="Times New Roman" w:cs="Times New Roman"/>
                <w:b/>
                <w:color w:val="auto"/>
                <w:kern w:val="0"/>
                <w:szCs w:val="20"/>
              </w:rPr>
              <w:t>201</w:t>
            </w:r>
            <w:r>
              <w:rPr>
                <w:rFonts w:hint="eastAsia" w:ascii="Times New Roman" w:hAnsi="Times New Roman" w:cs="Times New Roman"/>
                <w:b/>
                <w:color w:val="auto"/>
                <w:kern w:val="0"/>
                <w:szCs w:val="20"/>
                <w:lang w:val="en-US" w:eastAsia="zh-CN"/>
              </w:rPr>
              <w:t>9</w:t>
            </w:r>
            <w:r>
              <w:rPr>
                <w:rFonts w:hint="eastAsia" w:ascii="Times New Roman" w:hAnsi="Times New Roman" w:cs="Times New Roman"/>
                <w:b/>
                <w:color w:val="auto"/>
                <w:kern w:val="0"/>
                <w:szCs w:val="20"/>
              </w:rPr>
              <w:t>年</w:t>
            </w:r>
          </w:p>
        </w:tc>
        <w:tc>
          <w:tcPr>
            <w:tcW w:w="2370" w:type="dxa"/>
            <w:noWrap w:val="0"/>
            <w:vAlign w:val="top"/>
          </w:tcPr>
          <w:p>
            <w:pPr>
              <w:ind w:firstLine="0" w:firstLineChars="0"/>
              <w:rPr>
                <w:rFonts w:ascii="Times New Roman" w:hAnsi="Times New Roman" w:cs="Times New Roman"/>
                <w:b/>
                <w:color w:val="auto"/>
                <w:kern w:val="0"/>
                <w:szCs w:val="20"/>
              </w:rPr>
            </w:pPr>
            <w:r>
              <w:rPr>
                <w:rFonts w:hint="eastAsia" w:ascii="Times New Roman" w:hAnsi="Times New Roman" w:cs="Times New Roman"/>
                <w:b/>
                <w:color w:val="auto"/>
                <w:kern w:val="0"/>
                <w:szCs w:val="20"/>
              </w:rPr>
              <w:t>与</w:t>
            </w:r>
            <w:r>
              <w:rPr>
                <w:rFonts w:ascii="Times New Roman" w:hAnsi="Times New Roman" w:cs="Times New Roman"/>
                <w:b/>
                <w:color w:val="auto"/>
                <w:kern w:val="0"/>
                <w:szCs w:val="20"/>
              </w:rPr>
              <w:t>上一年度相比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5" w:type="dxa"/>
            <w:noWrap w:val="0"/>
            <w:vAlign w:val="center"/>
          </w:tcPr>
          <w:p>
            <w:pPr>
              <w:ind w:firstLine="0" w:firstLineChars="0"/>
              <w:rPr>
                <w:rFonts w:hint="eastAsia" w:ascii="Times New Roman" w:hAnsi="Times New Roman" w:cs="Times New Roman"/>
                <w:color w:val="auto"/>
                <w:kern w:val="0"/>
                <w:sz w:val="24"/>
                <w:szCs w:val="24"/>
              </w:rPr>
            </w:pPr>
            <w:r>
              <w:rPr>
                <w:rFonts w:hint="eastAsia" w:ascii="Times New Roman" w:hAnsi="Times New Roman" w:cs="Times New Roman"/>
                <w:color w:val="auto"/>
                <w:kern w:val="0"/>
                <w:sz w:val="24"/>
                <w:szCs w:val="24"/>
              </w:rPr>
              <w:t>专任教师</w:t>
            </w:r>
            <w:r>
              <w:rPr>
                <w:rFonts w:ascii="Times New Roman" w:hAnsi="Times New Roman" w:cs="Times New Roman"/>
                <w:color w:val="auto"/>
                <w:kern w:val="0"/>
                <w:sz w:val="24"/>
                <w:szCs w:val="24"/>
              </w:rPr>
              <w:t>人数</w:t>
            </w:r>
          </w:p>
        </w:tc>
        <w:tc>
          <w:tcPr>
            <w:tcW w:w="1680" w:type="dxa"/>
            <w:noWrap w:val="0"/>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rPr>
              <w:t>16</w:t>
            </w:r>
            <w:r>
              <w:rPr>
                <w:rFonts w:ascii="Times New Roman" w:hAnsi="Times New Roman" w:cs="Times New Roman"/>
                <w:color w:val="auto"/>
                <w:kern w:val="0"/>
                <w:szCs w:val="20"/>
              </w:rPr>
              <w:t>0</w:t>
            </w:r>
          </w:p>
        </w:tc>
        <w:tc>
          <w:tcPr>
            <w:tcW w:w="1541" w:type="dxa"/>
            <w:noWrap w:val="0"/>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166</w:t>
            </w:r>
          </w:p>
        </w:tc>
        <w:tc>
          <w:tcPr>
            <w:tcW w:w="2370" w:type="dxa"/>
            <w:noWrap w:val="0"/>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增加6</w:t>
            </w:r>
            <w:r>
              <w:rPr>
                <w:rFonts w:hint="eastAsia" w:ascii="Times New Roman" w:hAnsi="Times New Roman" w:cs="Times New Roman"/>
                <w:color w:val="auto"/>
                <w:kern w:val="0"/>
                <w:szCs w:val="2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5" w:type="dxa"/>
            <w:noWrap w:val="0"/>
            <w:vAlign w:val="center"/>
          </w:tcPr>
          <w:p>
            <w:pPr>
              <w:ind w:firstLine="0" w:firstLineChars="0"/>
              <w:rPr>
                <w:rFonts w:hint="eastAsia" w:ascii="Times New Roman" w:hAnsi="Times New Roman" w:cs="Times New Roman"/>
                <w:color w:val="auto"/>
                <w:kern w:val="0"/>
                <w:sz w:val="24"/>
                <w:szCs w:val="24"/>
              </w:rPr>
            </w:pPr>
            <w:r>
              <w:rPr>
                <w:rFonts w:hint="eastAsia" w:ascii="Times New Roman" w:hAnsi="Times New Roman" w:cs="Times New Roman"/>
                <w:color w:val="auto"/>
                <w:kern w:val="0"/>
                <w:sz w:val="24"/>
                <w:szCs w:val="24"/>
              </w:rPr>
              <w:t>专业</w:t>
            </w:r>
            <w:r>
              <w:rPr>
                <w:rFonts w:ascii="Times New Roman" w:hAnsi="Times New Roman" w:cs="Times New Roman"/>
                <w:color w:val="auto"/>
                <w:kern w:val="0"/>
                <w:sz w:val="24"/>
                <w:szCs w:val="24"/>
              </w:rPr>
              <w:t>教师人数</w:t>
            </w:r>
          </w:p>
        </w:tc>
        <w:tc>
          <w:tcPr>
            <w:tcW w:w="1680" w:type="dxa"/>
            <w:noWrap w:val="0"/>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rPr>
              <w:t>123</w:t>
            </w:r>
          </w:p>
        </w:tc>
        <w:tc>
          <w:tcPr>
            <w:tcW w:w="1541" w:type="dxa"/>
            <w:noWrap w:val="0"/>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124</w:t>
            </w:r>
          </w:p>
        </w:tc>
        <w:tc>
          <w:tcPr>
            <w:tcW w:w="2370" w:type="dxa"/>
            <w:noWrap w:val="0"/>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lang w:eastAsia="zh-CN"/>
              </w:rPr>
              <w:t>增加</w:t>
            </w:r>
            <w:r>
              <w:rPr>
                <w:rFonts w:hint="eastAsia" w:ascii="Times New Roman" w:hAnsi="Times New Roman" w:cs="Times New Roman"/>
                <w:color w:val="auto"/>
                <w:kern w:val="0"/>
                <w:szCs w:val="20"/>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5" w:type="dxa"/>
            <w:noWrap w:val="0"/>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生师比</w:t>
            </w:r>
          </w:p>
        </w:tc>
        <w:tc>
          <w:tcPr>
            <w:tcW w:w="1680" w:type="dxa"/>
            <w:noWrap w:val="0"/>
            <w:vAlign w:val="top"/>
          </w:tcPr>
          <w:p>
            <w:pPr>
              <w:ind w:firstLine="0" w:firstLineChars="0"/>
              <w:rPr>
                <w:rFonts w:ascii="Times New Roman" w:hAnsi="Times New Roman" w:cs="Times New Roman"/>
                <w:color w:val="auto"/>
                <w:kern w:val="0"/>
                <w:szCs w:val="20"/>
              </w:rPr>
            </w:pPr>
            <w:r>
              <w:rPr>
                <w:rFonts w:ascii="Times New Roman" w:hAnsi="Times New Roman" w:cs="Times New Roman"/>
                <w:color w:val="auto"/>
                <w:kern w:val="0"/>
                <w:szCs w:val="20"/>
              </w:rPr>
              <w:t>33</w:t>
            </w:r>
            <w:r>
              <w:rPr>
                <w:rFonts w:hint="eastAsia" w:ascii="Times New Roman" w:hAnsi="Times New Roman" w:cs="Times New Roman"/>
                <w:color w:val="auto"/>
                <w:kern w:val="0"/>
                <w:szCs w:val="20"/>
              </w:rPr>
              <w:t>.6</w:t>
            </w:r>
            <w:r>
              <w:rPr>
                <w:rFonts w:ascii="Times New Roman" w:hAnsi="Times New Roman" w:cs="Times New Roman"/>
                <w:color w:val="auto"/>
                <w:kern w:val="0"/>
                <w:szCs w:val="20"/>
              </w:rPr>
              <w:t>5</w:t>
            </w:r>
            <w:r>
              <w:rPr>
                <w:rFonts w:hint="eastAsia" w:ascii="Times New Roman" w:hAnsi="Times New Roman" w:cs="Times New Roman"/>
                <w:color w:val="auto"/>
                <w:kern w:val="0"/>
                <w:szCs w:val="20"/>
              </w:rPr>
              <w:t>:1</w:t>
            </w:r>
          </w:p>
        </w:tc>
        <w:tc>
          <w:tcPr>
            <w:tcW w:w="1541" w:type="dxa"/>
            <w:noWrap w:val="0"/>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34.29</w:t>
            </w:r>
            <w:r>
              <w:rPr>
                <w:rFonts w:hint="eastAsia" w:ascii="Times New Roman" w:hAnsi="Times New Roman" w:cs="Times New Roman"/>
                <w:color w:val="auto"/>
                <w:kern w:val="0"/>
                <w:szCs w:val="20"/>
              </w:rPr>
              <w:t>:1</w:t>
            </w:r>
          </w:p>
        </w:tc>
        <w:tc>
          <w:tcPr>
            <w:tcW w:w="2370" w:type="dxa"/>
            <w:noWrap w:val="0"/>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eastAsia="zh-CN"/>
              </w:rPr>
              <w:t>增加</w:t>
            </w:r>
            <w:r>
              <w:rPr>
                <w:rFonts w:hint="eastAsia" w:ascii="Times New Roman" w:hAnsi="Times New Roman" w:cs="Times New Roman"/>
                <w:color w:val="auto"/>
                <w:kern w:val="0"/>
                <w:szCs w:val="20"/>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5" w:type="dxa"/>
            <w:noWrap w:val="0"/>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“双</w:t>
            </w:r>
            <w:r>
              <w:rPr>
                <w:rFonts w:ascii="Times New Roman" w:hAnsi="Times New Roman" w:cs="Times New Roman"/>
                <w:color w:val="auto"/>
                <w:kern w:val="0"/>
                <w:sz w:val="24"/>
                <w:szCs w:val="24"/>
              </w:rPr>
              <w:t>师型”</w:t>
            </w:r>
            <w:r>
              <w:rPr>
                <w:rFonts w:hint="eastAsia" w:ascii="Times New Roman" w:hAnsi="Times New Roman" w:cs="Times New Roman"/>
                <w:color w:val="auto"/>
                <w:kern w:val="0"/>
                <w:sz w:val="24"/>
                <w:szCs w:val="24"/>
              </w:rPr>
              <w:t>教师</w:t>
            </w:r>
            <w:r>
              <w:rPr>
                <w:rFonts w:ascii="Times New Roman" w:hAnsi="Times New Roman" w:cs="Times New Roman"/>
                <w:color w:val="auto"/>
                <w:kern w:val="0"/>
                <w:sz w:val="24"/>
                <w:szCs w:val="24"/>
              </w:rPr>
              <w:t>比例</w:t>
            </w:r>
          </w:p>
        </w:tc>
        <w:tc>
          <w:tcPr>
            <w:tcW w:w="1680" w:type="dxa"/>
            <w:noWrap w:val="0"/>
            <w:vAlign w:val="top"/>
          </w:tcPr>
          <w:p>
            <w:pPr>
              <w:ind w:firstLine="0" w:firstLineChars="0"/>
              <w:rPr>
                <w:rFonts w:ascii="Times New Roman" w:hAnsi="Times New Roman" w:cs="Times New Roman"/>
                <w:color w:val="auto"/>
                <w:kern w:val="0"/>
                <w:szCs w:val="20"/>
              </w:rPr>
            </w:pPr>
            <w:r>
              <w:rPr>
                <w:rFonts w:ascii="Times New Roman" w:hAnsi="Times New Roman" w:cs="Times New Roman"/>
                <w:color w:val="auto"/>
                <w:kern w:val="0"/>
                <w:szCs w:val="20"/>
              </w:rPr>
              <w:t>86.18</w:t>
            </w:r>
            <w:r>
              <w:rPr>
                <w:rFonts w:hint="eastAsia" w:ascii="Times New Roman" w:hAnsi="Times New Roman" w:cs="Times New Roman"/>
                <w:color w:val="auto"/>
                <w:kern w:val="0"/>
                <w:szCs w:val="20"/>
              </w:rPr>
              <w:t>%</w:t>
            </w:r>
          </w:p>
        </w:tc>
        <w:tc>
          <w:tcPr>
            <w:tcW w:w="1541" w:type="dxa"/>
            <w:noWrap w:val="0"/>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85.48</w:t>
            </w:r>
            <w:r>
              <w:rPr>
                <w:rFonts w:hint="eastAsia" w:ascii="Times New Roman" w:hAnsi="Times New Roman" w:cs="Times New Roman"/>
                <w:color w:val="auto"/>
                <w:kern w:val="0"/>
                <w:szCs w:val="20"/>
              </w:rPr>
              <w:t>%</w:t>
            </w:r>
          </w:p>
        </w:tc>
        <w:tc>
          <w:tcPr>
            <w:tcW w:w="2370" w:type="dxa"/>
            <w:noWrap w:val="0"/>
            <w:vAlign w:val="top"/>
          </w:tcPr>
          <w:p>
            <w:pPr>
              <w:ind w:firstLine="0" w:firstLineChars="0"/>
              <w:rPr>
                <w:rFonts w:ascii="Times New Roman" w:hAnsi="Times New Roman" w:cs="Times New Roman"/>
                <w:color w:val="auto"/>
                <w:kern w:val="0"/>
                <w:szCs w:val="20"/>
              </w:rPr>
            </w:pPr>
            <w:r>
              <w:rPr>
                <w:rFonts w:hint="eastAsia" w:ascii="Times New Roman" w:hAnsi="Times New Roman" w:cs="Times New Roman"/>
                <w:color w:val="auto"/>
                <w:kern w:val="0"/>
                <w:szCs w:val="20"/>
              </w:rPr>
              <w:t>减少</w:t>
            </w:r>
            <w:r>
              <w:rPr>
                <w:rFonts w:hint="eastAsia" w:ascii="Times New Roman" w:hAnsi="Times New Roman" w:cs="Times New Roman"/>
                <w:color w:val="auto"/>
                <w:kern w:val="0"/>
                <w:szCs w:val="20"/>
                <w:lang w:val="en-US" w:eastAsia="zh-CN"/>
              </w:rPr>
              <w:t>0.7</w:t>
            </w:r>
            <w:r>
              <w:rPr>
                <w:rFonts w:ascii="Times New Roman" w:hAnsi="Times New Roman" w:cs="Times New Roman"/>
                <w:color w:val="auto"/>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5" w:type="dxa"/>
            <w:noWrap w:val="0"/>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兼</w:t>
            </w:r>
            <w:r>
              <w:rPr>
                <w:rFonts w:ascii="Times New Roman" w:hAnsi="Times New Roman" w:cs="Times New Roman"/>
                <w:color w:val="auto"/>
                <w:kern w:val="0"/>
                <w:sz w:val="24"/>
                <w:szCs w:val="24"/>
              </w:rPr>
              <w:t>职</w:t>
            </w:r>
            <w:r>
              <w:rPr>
                <w:rFonts w:hint="eastAsia" w:ascii="Times New Roman" w:hAnsi="Times New Roman" w:cs="Times New Roman"/>
                <w:color w:val="auto"/>
                <w:kern w:val="0"/>
                <w:sz w:val="24"/>
                <w:szCs w:val="24"/>
              </w:rPr>
              <w:t>教师</w:t>
            </w:r>
            <w:r>
              <w:rPr>
                <w:rFonts w:ascii="Times New Roman" w:hAnsi="Times New Roman" w:cs="Times New Roman"/>
                <w:color w:val="auto"/>
                <w:kern w:val="0"/>
                <w:sz w:val="24"/>
                <w:szCs w:val="24"/>
              </w:rPr>
              <w:t>比例</w:t>
            </w:r>
          </w:p>
        </w:tc>
        <w:tc>
          <w:tcPr>
            <w:tcW w:w="1680" w:type="dxa"/>
            <w:noWrap w:val="0"/>
            <w:vAlign w:val="top"/>
          </w:tcPr>
          <w:p>
            <w:pPr>
              <w:ind w:firstLine="0" w:firstLineChars="0"/>
              <w:rPr>
                <w:rFonts w:ascii="Times New Roman" w:hAnsi="Times New Roman" w:cs="Times New Roman"/>
                <w:color w:val="auto"/>
                <w:kern w:val="0"/>
                <w:szCs w:val="20"/>
              </w:rPr>
            </w:pPr>
            <w:r>
              <w:rPr>
                <w:rFonts w:ascii="Times New Roman" w:hAnsi="Times New Roman" w:cs="Times New Roman"/>
                <w:color w:val="auto"/>
                <w:kern w:val="0"/>
                <w:szCs w:val="20"/>
              </w:rPr>
              <w:t>21.25</w:t>
            </w:r>
            <w:r>
              <w:rPr>
                <w:rFonts w:hint="eastAsia" w:ascii="Times New Roman" w:hAnsi="Times New Roman" w:cs="Times New Roman"/>
                <w:color w:val="auto"/>
                <w:kern w:val="0"/>
                <w:szCs w:val="20"/>
              </w:rPr>
              <w:t>%</w:t>
            </w:r>
          </w:p>
        </w:tc>
        <w:tc>
          <w:tcPr>
            <w:tcW w:w="1541" w:type="dxa"/>
            <w:noWrap w:val="0"/>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30.83%</w:t>
            </w:r>
          </w:p>
        </w:tc>
        <w:tc>
          <w:tcPr>
            <w:tcW w:w="2370" w:type="dxa"/>
            <w:noWrap w:val="0"/>
            <w:vAlign w:val="top"/>
          </w:tcPr>
          <w:p>
            <w:pPr>
              <w:ind w:firstLine="0" w:firstLineChars="0"/>
              <w:rPr>
                <w:rFonts w:ascii="Times New Roman" w:hAnsi="Times New Roman" w:cs="Times New Roman"/>
                <w:color w:val="auto"/>
                <w:kern w:val="0"/>
                <w:szCs w:val="20"/>
              </w:rPr>
            </w:pPr>
            <w:r>
              <w:rPr>
                <w:rFonts w:hint="eastAsia" w:ascii="Times New Roman" w:hAnsi="Times New Roman" w:cs="Times New Roman"/>
                <w:color w:val="auto"/>
                <w:kern w:val="0"/>
                <w:szCs w:val="20"/>
                <w:lang w:eastAsia="zh-CN"/>
              </w:rPr>
              <w:t>增加</w:t>
            </w:r>
            <w:r>
              <w:rPr>
                <w:rFonts w:hint="eastAsia" w:ascii="Times New Roman" w:hAnsi="Times New Roman" w:cs="Times New Roman"/>
                <w:color w:val="auto"/>
                <w:kern w:val="0"/>
                <w:szCs w:val="20"/>
                <w:lang w:val="en-US" w:eastAsia="zh-CN"/>
              </w:rPr>
              <w:t>9.58</w:t>
            </w:r>
            <w:r>
              <w:rPr>
                <w:rFonts w:ascii="Times New Roman" w:hAnsi="Times New Roman" w:cs="Times New Roman"/>
                <w:color w:val="auto"/>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5" w:type="dxa"/>
            <w:noWrap w:val="0"/>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专任教师</w:t>
            </w:r>
            <w:r>
              <w:rPr>
                <w:rFonts w:ascii="Times New Roman" w:hAnsi="Times New Roman" w:cs="Times New Roman"/>
                <w:color w:val="auto"/>
                <w:kern w:val="0"/>
                <w:sz w:val="24"/>
                <w:szCs w:val="24"/>
              </w:rPr>
              <w:t>本科以上学历比例</w:t>
            </w:r>
          </w:p>
        </w:tc>
        <w:tc>
          <w:tcPr>
            <w:tcW w:w="1680" w:type="dxa"/>
            <w:noWrap w:val="0"/>
            <w:vAlign w:val="top"/>
          </w:tcPr>
          <w:p>
            <w:pPr>
              <w:ind w:firstLine="0" w:firstLineChars="0"/>
              <w:rPr>
                <w:rFonts w:ascii="Times New Roman" w:hAnsi="Times New Roman" w:cs="Times New Roman"/>
                <w:color w:val="auto"/>
                <w:kern w:val="0"/>
                <w:szCs w:val="20"/>
              </w:rPr>
            </w:pPr>
            <w:r>
              <w:rPr>
                <w:rFonts w:hint="eastAsia" w:ascii="Times New Roman" w:hAnsi="Times New Roman" w:cs="Times New Roman"/>
                <w:color w:val="auto"/>
                <w:kern w:val="0"/>
                <w:szCs w:val="20"/>
              </w:rPr>
              <w:t>8</w:t>
            </w:r>
            <w:r>
              <w:rPr>
                <w:rFonts w:ascii="Times New Roman" w:hAnsi="Times New Roman" w:cs="Times New Roman"/>
                <w:color w:val="auto"/>
                <w:kern w:val="0"/>
                <w:szCs w:val="20"/>
              </w:rPr>
              <w:t>3.12</w:t>
            </w:r>
            <w:r>
              <w:rPr>
                <w:rFonts w:hint="eastAsia" w:ascii="Times New Roman" w:hAnsi="Times New Roman" w:cs="Times New Roman"/>
                <w:color w:val="auto"/>
                <w:kern w:val="0"/>
                <w:szCs w:val="20"/>
              </w:rPr>
              <w:t>%</w:t>
            </w:r>
          </w:p>
        </w:tc>
        <w:tc>
          <w:tcPr>
            <w:tcW w:w="1541" w:type="dxa"/>
            <w:noWrap w:val="0"/>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81.32</w:t>
            </w:r>
            <w:r>
              <w:rPr>
                <w:rFonts w:hint="eastAsia" w:ascii="Times New Roman" w:hAnsi="Times New Roman" w:cs="Times New Roman"/>
                <w:color w:val="auto"/>
                <w:kern w:val="0"/>
                <w:szCs w:val="20"/>
              </w:rPr>
              <w:t>%</w:t>
            </w:r>
          </w:p>
        </w:tc>
        <w:tc>
          <w:tcPr>
            <w:tcW w:w="2370" w:type="dxa"/>
            <w:noWrap w:val="0"/>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rPr>
              <w:t>减少</w:t>
            </w:r>
            <w:r>
              <w:rPr>
                <w:rFonts w:hint="eastAsia" w:ascii="Times New Roman" w:hAnsi="Times New Roman" w:cs="Times New Roman"/>
                <w:color w:val="auto"/>
                <w:kern w:val="0"/>
                <w:szCs w:val="20"/>
                <w:lang w:val="en-US" w:eastAsia="zh-CN"/>
              </w:rPr>
              <w:t>1.8</w:t>
            </w:r>
            <w:r>
              <w:rPr>
                <w:rFonts w:ascii="Times New Roman" w:hAnsi="Times New Roman" w:cs="Times New Roman"/>
                <w:color w:val="auto"/>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5" w:type="dxa"/>
            <w:noWrap w:val="0"/>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专任教师硕士</w:t>
            </w:r>
            <w:r>
              <w:rPr>
                <w:rFonts w:ascii="Times New Roman" w:hAnsi="Times New Roman" w:cs="Times New Roman"/>
                <w:color w:val="auto"/>
                <w:kern w:val="0"/>
                <w:sz w:val="24"/>
                <w:szCs w:val="24"/>
              </w:rPr>
              <w:t>以上学历比例</w:t>
            </w:r>
          </w:p>
        </w:tc>
        <w:tc>
          <w:tcPr>
            <w:tcW w:w="1680" w:type="dxa"/>
            <w:noWrap w:val="0"/>
            <w:vAlign w:val="top"/>
          </w:tcPr>
          <w:p>
            <w:pPr>
              <w:ind w:firstLine="0" w:firstLineChars="0"/>
              <w:rPr>
                <w:rFonts w:ascii="Times New Roman" w:hAnsi="Times New Roman" w:cs="Times New Roman"/>
                <w:color w:val="auto"/>
                <w:kern w:val="0"/>
                <w:szCs w:val="20"/>
              </w:rPr>
            </w:pPr>
            <w:r>
              <w:rPr>
                <w:rFonts w:ascii="Times New Roman" w:hAnsi="Times New Roman" w:cs="Times New Roman"/>
                <w:color w:val="auto"/>
                <w:kern w:val="0"/>
                <w:szCs w:val="20"/>
              </w:rPr>
              <w:t>3.75</w:t>
            </w:r>
            <w:r>
              <w:rPr>
                <w:rFonts w:hint="eastAsia" w:ascii="Times New Roman" w:hAnsi="Times New Roman" w:cs="Times New Roman"/>
                <w:color w:val="auto"/>
                <w:kern w:val="0"/>
                <w:szCs w:val="20"/>
              </w:rPr>
              <w:t>%</w:t>
            </w:r>
          </w:p>
        </w:tc>
        <w:tc>
          <w:tcPr>
            <w:tcW w:w="1541" w:type="dxa"/>
            <w:noWrap w:val="0"/>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3.61</w:t>
            </w:r>
            <w:r>
              <w:rPr>
                <w:rFonts w:hint="eastAsia" w:ascii="Times New Roman" w:hAnsi="Times New Roman" w:cs="Times New Roman"/>
                <w:color w:val="auto"/>
                <w:kern w:val="0"/>
                <w:szCs w:val="20"/>
              </w:rPr>
              <w:t>%</w:t>
            </w:r>
          </w:p>
        </w:tc>
        <w:tc>
          <w:tcPr>
            <w:tcW w:w="2370" w:type="dxa"/>
            <w:noWrap w:val="0"/>
            <w:vAlign w:val="top"/>
          </w:tcPr>
          <w:p>
            <w:pPr>
              <w:ind w:firstLine="0" w:firstLineChars="0"/>
              <w:rPr>
                <w:rFonts w:ascii="Times New Roman" w:hAnsi="Times New Roman" w:cs="Times New Roman"/>
                <w:color w:val="auto"/>
                <w:kern w:val="0"/>
                <w:szCs w:val="20"/>
              </w:rPr>
            </w:pPr>
            <w:r>
              <w:rPr>
                <w:rFonts w:hint="eastAsia" w:ascii="Times New Roman" w:hAnsi="Times New Roman" w:cs="Times New Roman"/>
                <w:color w:val="auto"/>
                <w:kern w:val="0"/>
                <w:szCs w:val="20"/>
              </w:rPr>
              <w:t>减少0.</w:t>
            </w:r>
            <w:r>
              <w:rPr>
                <w:rFonts w:hint="eastAsia" w:ascii="Times New Roman" w:hAnsi="Times New Roman" w:cs="Times New Roman"/>
                <w:color w:val="auto"/>
                <w:kern w:val="0"/>
                <w:szCs w:val="20"/>
                <w:lang w:val="en-US" w:eastAsia="zh-CN"/>
              </w:rPr>
              <w:t>14</w:t>
            </w:r>
            <w:r>
              <w:rPr>
                <w:rFonts w:ascii="Times New Roman" w:hAnsi="Times New Roman" w:cs="Times New Roman"/>
                <w:color w:val="auto"/>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5" w:type="dxa"/>
            <w:noWrap w:val="0"/>
            <w:vAlign w:val="center"/>
          </w:tcPr>
          <w:p>
            <w:pPr>
              <w:ind w:firstLine="0" w:firstLineChars="0"/>
              <w:rPr>
                <w:rFonts w:ascii="Times New Roman" w:hAnsi="Times New Roman" w:cs="Times New Roman"/>
                <w:color w:val="auto"/>
                <w:kern w:val="0"/>
                <w:sz w:val="24"/>
                <w:szCs w:val="24"/>
              </w:rPr>
            </w:pPr>
            <w:r>
              <w:rPr>
                <w:rFonts w:hint="eastAsia" w:ascii="Times New Roman" w:hAnsi="Times New Roman" w:cs="Times New Roman"/>
                <w:color w:val="auto"/>
                <w:kern w:val="0"/>
                <w:sz w:val="24"/>
                <w:szCs w:val="24"/>
              </w:rPr>
              <w:t>专任教师高级职称教师</w:t>
            </w:r>
            <w:r>
              <w:rPr>
                <w:rFonts w:ascii="Times New Roman" w:hAnsi="Times New Roman" w:cs="Times New Roman"/>
                <w:color w:val="auto"/>
                <w:kern w:val="0"/>
                <w:sz w:val="24"/>
                <w:szCs w:val="24"/>
              </w:rPr>
              <w:t>比例</w:t>
            </w:r>
          </w:p>
        </w:tc>
        <w:tc>
          <w:tcPr>
            <w:tcW w:w="1680" w:type="dxa"/>
            <w:noWrap w:val="0"/>
            <w:vAlign w:val="top"/>
          </w:tcPr>
          <w:p>
            <w:pPr>
              <w:ind w:firstLine="0" w:firstLineChars="0"/>
              <w:rPr>
                <w:rFonts w:ascii="Times New Roman" w:hAnsi="Times New Roman" w:cs="Times New Roman"/>
                <w:color w:val="auto"/>
                <w:kern w:val="0"/>
                <w:szCs w:val="20"/>
              </w:rPr>
            </w:pPr>
            <w:r>
              <w:rPr>
                <w:rFonts w:ascii="Times New Roman" w:hAnsi="Times New Roman" w:cs="Times New Roman"/>
                <w:color w:val="auto"/>
                <w:kern w:val="0"/>
                <w:szCs w:val="20"/>
              </w:rPr>
              <w:t>21</w:t>
            </w:r>
            <w:r>
              <w:rPr>
                <w:rFonts w:hint="eastAsia" w:ascii="Times New Roman" w:hAnsi="Times New Roman" w:cs="Times New Roman"/>
                <w:color w:val="auto"/>
                <w:kern w:val="0"/>
                <w:szCs w:val="20"/>
              </w:rPr>
              <w:t>%</w:t>
            </w:r>
          </w:p>
        </w:tc>
        <w:tc>
          <w:tcPr>
            <w:tcW w:w="1541" w:type="dxa"/>
            <w:noWrap w:val="0"/>
            <w:vAlign w:val="top"/>
          </w:tcPr>
          <w:p>
            <w:pPr>
              <w:ind w:firstLine="0" w:firstLineChars="0"/>
              <w:rPr>
                <w:rFonts w:hint="default" w:ascii="Times New Roman" w:hAnsi="Times New Roman" w:eastAsia="宋体" w:cs="Times New Roman"/>
                <w:color w:val="auto"/>
                <w:kern w:val="0"/>
                <w:szCs w:val="20"/>
                <w:lang w:val="en-US" w:eastAsia="zh-CN"/>
              </w:rPr>
            </w:pPr>
            <w:r>
              <w:rPr>
                <w:rFonts w:hint="eastAsia" w:ascii="Times New Roman" w:hAnsi="Times New Roman" w:cs="Times New Roman"/>
                <w:color w:val="auto"/>
                <w:kern w:val="0"/>
                <w:szCs w:val="20"/>
                <w:lang w:val="en-US" w:eastAsia="zh-CN"/>
              </w:rPr>
              <w:t>15</w:t>
            </w:r>
            <w:r>
              <w:rPr>
                <w:rFonts w:hint="eastAsia" w:ascii="Times New Roman" w:hAnsi="Times New Roman" w:cs="Times New Roman"/>
                <w:color w:val="auto"/>
                <w:kern w:val="0"/>
                <w:szCs w:val="20"/>
              </w:rPr>
              <w:t>%</w:t>
            </w:r>
          </w:p>
        </w:tc>
        <w:tc>
          <w:tcPr>
            <w:tcW w:w="2370" w:type="dxa"/>
            <w:noWrap w:val="0"/>
            <w:vAlign w:val="top"/>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rPr>
              <w:t>减少</w:t>
            </w:r>
            <w:r>
              <w:rPr>
                <w:rFonts w:hint="eastAsia" w:ascii="Times New Roman" w:hAnsi="Times New Roman" w:cs="Times New Roman"/>
                <w:color w:val="auto"/>
                <w:kern w:val="0"/>
                <w:szCs w:val="20"/>
                <w:lang w:val="en-US" w:eastAsia="zh-CN"/>
              </w:rPr>
              <w:t>6</w:t>
            </w:r>
            <w:r>
              <w:rPr>
                <w:rFonts w:ascii="Times New Roman" w:hAnsi="Times New Roman" w:cs="Times New Roman"/>
                <w:color w:val="auto"/>
                <w:kern w:val="0"/>
                <w:szCs w:val="20"/>
              </w:rPr>
              <w:t>%</w:t>
            </w:r>
          </w:p>
        </w:tc>
      </w:tr>
    </w:tbl>
    <w:p>
      <w:pPr>
        <w:pStyle w:val="3"/>
        <w:spacing w:beforeLines="0"/>
        <w:ind w:firstLine="602"/>
        <w:rPr>
          <w:color w:val="auto"/>
        </w:rPr>
      </w:pPr>
      <w:bookmarkStart w:id="4" w:name="_Toc13221"/>
      <w:r>
        <w:rPr>
          <w:rFonts w:hint="eastAsia"/>
          <w:color w:val="auto"/>
        </w:rPr>
        <w:t>（四）设施设备</w:t>
      </w:r>
      <w:bookmarkEnd w:id="4"/>
    </w:p>
    <w:tbl>
      <w:tblPr>
        <w:tblStyle w:val="12"/>
        <w:tblpPr w:leftFromText="180" w:rightFromText="180" w:vertAnchor="text" w:horzAnchor="page" w:tblpX="1477" w:tblpY="64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1984"/>
        <w:gridCol w:w="2038"/>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noWrap w:val="0"/>
            <w:vAlign w:val="top"/>
          </w:tcPr>
          <w:p>
            <w:pPr>
              <w:ind w:firstLine="0" w:firstLineChars="0"/>
              <w:rPr>
                <w:rFonts w:ascii="Times New Roman" w:hAnsi="Times New Roman" w:cs="Times New Roman"/>
                <w:b/>
                <w:color w:val="auto"/>
              </w:rPr>
            </w:pPr>
            <w:r>
              <w:rPr>
                <w:rFonts w:hint="eastAsia" w:ascii="Times New Roman" w:hAnsi="Times New Roman" w:cs="Times New Roman"/>
                <w:b/>
                <w:color w:val="auto"/>
              </w:rPr>
              <w:t>项目</w:t>
            </w:r>
          </w:p>
        </w:tc>
        <w:tc>
          <w:tcPr>
            <w:tcW w:w="1984" w:type="dxa"/>
            <w:noWrap w:val="0"/>
            <w:vAlign w:val="top"/>
          </w:tcPr>
          <w:p>
            <w:pPr>
              <w:ind w:firstLine="0" w:firstLineChars="0"/>
              <w:rPr>
                <w:rFonts w:ascii="Times New Roman" w:hAnsi="Times New Roman" w:cs="Times New Roman"/>
                <w:b/>
                <w:color w:val="auto"/>
              </w:rPr>
            </w:pPr>
            <w:r>
              <w:rPr>
                <w:rFonts w:hint="eastAsia" w:ascii="Times New Roman" w:hAnsi="Times New Roman" w:cs="Times New Roman"/>
                <w:b/>
                <w:color w:val="auto"/>
              </w:rPr>
              <w:t>201</w:t>
            </w:r>
            <w:r>
              <w:rPr>
                <w:rFonts w:hint="eastAsia" w:ascii="Times New Roman" w:hAnsi="Times New Roman" w:cs="Times New Roman"/>
                <w:b/>
                <w:color w:val="auto"/>
                <w:lang w:val="en-US" w:eastAsia="zh-CN"/>
              </w:rPr>
              <w:t>8</w:t>
            </w:r>
            <w:r>
              <w:rPr>
                <w:rFonts w:hint="eastAsia" w:ascii="Times New Roman" w:hAnsi="Times New Roman" w:cs="Times New Roman"/>
                <w:b/>
                <w:color w:val="auto"/>
              </w:rPr>
              <w:t>年</w:t>
            </w:r>
          </w:p>
        </w:tc>
        <w:tc>
          <w:tcPr>
            <w:tcW w:w="2038" w:type="dxa"/>
            <w:noWrap w:val="0"/>
            <w:vAlign w:val="top"/>
          </w:tcPr>
          <w:p>
            <w:pPr>
              <w:ind w:firstLine="0" w:firstLineChars="0"/>
              <w:rPr>
                <w:rFonts w:ascii="Times New Roman" w:hAnsi="Times New Roman" w:cs="Times New Roman"/>
                <w:b/>
                <w:color w:val="auto"/>
              </w:rPr>
            </w:pPr>
            <w:r>
              <w:rPr>
                <w:rFonts w:hint="eastAsia" w:ascii="Times New Roman" w:hAnsi="Times New Roman" w:cs="Times New Roman"/>
                <w:b/>
                <w:color w:val="auto"/>
              </w:rPr>
              <w:t>201</w:t>
            </w:r>
            <w:r>
              <w:rPr>
                <w:rFonts w:hint="eastAsia" w:ascii="Times New Roman" w:hAnsi="Times New Roman" w:cs="Times New Roman"/>
                <w:b/>
                <w:color w:val="auto"/>
                <w:lang w:val="en-US" w:eastAsia="zh-CN"/>
              </w:rPr>
              <w:t>9</w:t>
            </w:r>
            <w:r>
              <w:rPr>
                <w:rFonts w:hint="eastAsia" w:ascii="Times New Roman" w:hAnsi="Times New Roman" w:cs="Times New Roman"/>
                <w:b/>
                <w:color w:val="auto"/>
              </w:rPr>
              <w:t>年</w:t>
            </w:r>
          </w:p>
        </w:tc>
        <w:tc>
          <w:tcPr>
            <w:tcW w:w="2237" w:type="dxa"/>
            <w:noWrap w:val="0"/>
            <w:vAlign w:val="top"/>
          </w:tcPr>
          <w:p>
            <w:pPr>
              <w:ind w:firstLine="0" w:firstLineChars="0"/>
              <w:rPr>
                <w:rFonts w:ascii="Times New Roman" w:hAnsi="Times New Roman" w:cs="Times New Roman"/>
                <w:b/>
                <w:color w:val="auto"/>
              </w:rPr>
            </w:pPr>
            <w:r>
              <w:rPr>
                <w:rFonts w:hint="eastAsia" w:ascii="Times New Roman" w:hAnsi="Times New Roman" w:cs="Times New Roman"/>
                <w:b/>
                <w:color w:val="auto"/>
              </w:rPr>
              <w:t>与</w:t>
            </w:r>
            <w:r>
              <w:rPr>
                <w:rFonts w:ascii="Times New Roman" w:hAnsi="Times New Roman" w:cs="Times New Roman"/>
                <w:b/>
                <w:color w:val="auto"/>
              </w:rPr>
              <w:t>上一年度相比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noWrap w:val="0"/>
            <w:vAlign w:val="center"/>
          </w:tcPr>
          <w:p>
            <w:pPr>
              <w:ind w:firstLine="0" w:firstLineChars="0"/>
              <w:rPr>
                <w:rFonts w:ascii="Times New Roman" w:hAnsi="Times New Roman" w:cs="Times New Roman"/>
                <w:bCs/>
                <w:color w:val="auto"/>
                <w:sz w:val="24"/>
                <w:szCs w:val="24"/>
              </w:rPr>
            </w:pPr>
            <w:r>
              <w:rPr>
                <w:rFonts w:hint="eastAsia" w:ascii="宋体" w:hAnsi="宋体" w:cs="宋体"/>
                <w:bCs/>
                <w:color w:val="auto"/>
                <w:sz w:val="24"/>
                <w:szCs w:val="24"/>
              </w:rPr>
              <w:t>生均教学仪器设备值</w:t>
            </w:r>
          </w:p>
        </w:tc>
        <w:tc>
          <w:tcPr>
            <w:tcW w:w="1984" w:type="dxa"/>
            <w:noWrap w:val="0"/>
            <w:vAlign w:val="center"/>
          </w:tcPr>
          <w:p>
            <w:pPr>
              <w:ind w:firstLine="0" w:firstLineChars="0"/>
              <w:rPr>
                <w:rFonts w:hint="eastAsia"/>
                <w:color w:val="auto"/>
              </w:rPr>
            </w:pPr>
            <w:r>
              <w:rPr>
                <w:color w:val="auto"/>
              </w:rPr>
              <w:t>1.0696</w:t>
            </w:r>
            <w:r>
              <w:rPr>
                <w:rFonts w:hint="eastAsia" w:ascii="Times New Roman" w:hAnsi="Times New Roman" w:cs="Times New Roman"/>
                <w:color w:val="auto"/>
              </w:rPr>
              <w:t>万元</w:t>
            </w:r>
          </w:p>
        </w:tc>
        <w:tc>
          <w:tcPr>
            <w:tcW w:w="2038" w:type="dxa"/>
            <w:noWrap w:val="0"/>
            <w:vAlign w:val="center"/>
          </w:tcPr>
          <w:p>
            <w:pPr>
              <w:ind w:firstLine="0" w:firstLineChars="0"/>
              <w:rPr>
                <w:rFonts w:hint="default" w:eastAsia="宋体"/>
                <w:color w:val="auto"/>
                <w:lang w:val="en-US" w:eastAsia="zh-CN"/>
              </w:rPr>
            </w:pPr>
            <w:r>
              <w:rPr>
                <w:rFonts w:hint="eastAsia"/>
                <w:color w:val="auto"/>
                <w:lang w:val="en-US" w:eastAsia="zh-CN"/>
              </w:rPr>
              <w:t>1.18万元</w:t>
            </w:r>
          </w:p>
        </w:tc>
        <w:tc>
          <w:tcPr>
            <w:tcW w:w="2237" w:type="dxa"/>
            <w:noWrap w:val="0"/>
            <w:vAlign w:val="center"/>
          </w:tcPr>
          <w:p>
            <w:pPr>
              <w:ind w:firstLine="0" w:firstLineChars="0"/>
              <w:rPr>
                <w:color w:val="auto"/>
              </w:rPr>
            </w:pPr>
            <w:r>
              <w:rPr>
                <w:rFonts w:hint="eastAsia" w:ascii="宋体" w:hAnsi="宋体" w:cs="宋体"/>
                <w:color w:val="auto"/>
                <w:szCs w:val="28"/>
                <w:lang w:eastAsia="zh-CN"/>
              </w:rPr>
              <w:t>增加</w:t>
            </w:r>
            <w:r>
              <w:rPr>
                <w:rFonts w:hint="eastAsia" w:ascii="Times New Roman" w:hAnsi="Times New Roman" w:cs="Times New Roman"/>
                <w:color w:val="auto"/>
              </w:rPr>
              <w:t>0.</w:t>
            </w:r>
            <w:r>
              <w:rPr>
                <w:rFonts w:ascii="Times New Roman" w:hAnsi="Times New Roman" w:cs="Times New Roman"/>
                <w:color w:val="auto"/>
              </w:rPr>
              <w:t>1</w:t>
            </w:r>
            <w:r>
              <w:rPr>
                <w:rFonts w:hint="eastAsia" w:ascii="Times New Roman" w:hAnsi="Times New Roman" w:cs="Times New Roman"/>
                <w:color w:val="auto"/>
                <w:lang w:val="en-US" w:eastAsia="zh-CN"/>
              </w:rPr>
              <w:t>10</w:t>
            </w:r>
            <w:r>
              <w:rPr>
                <w:rFonts w:ascii="Times New Roman" w:hAnsi="Times New Roman" w:cs="Times New Roman"/>
                <w:color w:val="auto"/>
              </w:rPr>
              <w:t>4</w:t>
            </w:r>
            <w:r>
              <w:rPr>
                <w:rFonts w:hint="eastAsia" w:ascii="Times New Roman" w:hAnsi="Times New Roman" w:cs="Times New Roman"/>
                <w:color w:val="auto"/>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noWrap w:val="0"/>
            <w:vAlign w:val="center"/>
          </w:tcPr>
          <w:p>
            <w:pPr>
              <w:ind w:firstLine="0" w:firstLineChars="0"/>
              <w:rPr>
                <w:rFonts w:ascii="Times New Roman" w:hAnsi="Times New Roman" w:cs="Times New Roman"/>
                <w:bCs/>
                <w:color w:val="auto"/>
                <w:sz w:val="24"/>
                <w:szCs w:val="24"/>
              </w:rPr>
            </w:pPr>
            <w:r>
              <w:rPr>
                <w:rFonts w:hint="eastAsia" w:ascii="宋体" w:hAnsi="宋体" w:cs="宋体"/>
                <w:bCs/>
                <w:color w:val="auto"/>
                <w:sz w:val="24"/>
                <w:szCs w:val="24"/>
              </w:rPr>
              <w:t>生均实训实习工位数</w:t>
            </w:r>
          </w:p>
        </w:tc>
        <w:tc>
          <w:tcPr>
            <w:tcW w:w="1984" w:type="dxa"/>
            <w:noWrap w:val="0"/>
            <w:vAlign w:val="center"/>
          </w:tcPr>
          <w:p>
            <w:pPr>
              <w:ind w:firstLine="0" w:firstLineChars="0"/>
              <w:rPr>
                <w:rFonts w:hint="eastAsia"/>
                <w:color w:val="auto"/>
              </w:rPr>
            </w:pPr>
            <w:r>
              <w:rPr>
                <w:rFonts w:hint="eastAsia" w:ascii="宋体" w:hAnsi="宋体" w:cs="宋体"/>
                <w:color w:val="auto"/>
                <w:szCs w:val="28"/>
              </w:rPr>
              <w:t>0.</w:t>
            </w:r>
            <w:r>
              <w:rPr>
                <w:rFonts w:ascii="宋体" w:hAnsi="宋体" w:cs="宋体"/>
                <w:color w:val="auto"/>
                <w:szCs w:val="28"/>
              </w:rPr>
              <w:t>8770</w:t>
            </w:r>
            <w:r>
              <w:rPr>
                <w:rFonts w:hint="eastAsia" w:ascii="宋体" w:hAnsi="宋体" w:cs="宋体"/>
                <w:color w:val="auto"/>
                <w:szCs w:val="28"/>
              </w:rPr>
              <w:t>个</w:t>
            </w:r>
          </w:p>
        </w:tc>
        <w:tc>
          <w:tcPr>
            <w:tcW w:w="2038" w:type="dxa"/>
            <w:noWrap w:val="0"/>
            <w:vAlign w:val="center"/>
          </w:tcPr>
          <w:p>
            <w:pPr>
              <w:ind w:firstLine="0" w:firstLineChars="0"/>
              <w:rPr>
                <w:rFonts w:hint="default" w:eastAsia="宋体"/>
                <w:color w:val="auto"/>
                <w:lang w:val="en-US" w:eastAsia="zh-CN"/>
              </w:rPr>
            </w:pPr>
            <w:r>
              <w:rPr>
                <w:rFonts w:hint="eastAsia"/>
                <w:color w:val="auto"/>
                <w:lang w:val="en-US" w:eastAsia="zh-CN"/>
              </w:rPr>
              <w:t>0.8554</w:t>
            </w:r>
          </w:p>
        </w:tc>
        <w:tc>
          <w:tcPr>
            <w:tcW w:w="2237" w:type="dxa"/>
            <w:noWrap w:val="0"/>
            <w:vAlign w:val="center"/>
          </w:tcPr>
          <w:p>
            <w:pPr>
              <w:ind w:firstLine="0" w:firstLineChars="0"/>
              <w:rPr>
                <w:color w:val="auto"/>
              </w:rPr>
            </w:pPr>
            <w:r>
              <w:rPr>
                <w:rFonts w:hint="eastAsia" w:ascii="宋体" w:hAnsi="宋体" w:cs="宋体"/>
                <w:color w:val="auto"/>
                <w:szCs w:val="28"/>
              </w:rPr>
              <w:t>减少0.</w:t>
            </w:r>
            <w:r>
              <w:rPr>
                <w:rFonts w:ascii="宋体" w:hAnsi="宋体" w:cs="宋体"/>
                <w:color w:val="auto"/>
                <w:szCs w:val="28"/>
              </w:rPr>
              <w:t>0</w:t>
            </w:r>
            <w:r>
              <w:rPr>
                <w:rFonts w:hint="eastAsia" w:ascii="宋体" w:hAnsi="宋体" w:cs="宋体"/>
                <w:color w:val="auto"/>
                <w:szCs w:val="28"/>
                <w:lang w:val="en-US" w:eastAsia="zh-CN"/>
              </w:rPr>
              <w:t>22</w:t>
            </w:r>
            <w:r>
              <w:rPr>
                <w:rFonts w:hint="eastAsia" w:ascii="宋体" w:hAnsi="宋体" w:cs="宋体"/>
                <w:color w:val="auto"/>
                <w:szCs w:val="2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noWrap w:val="0"/>
            <w:vAlign w:val="center"/>
          </w:tcPr>
          <w:p>
            <w:pPr>
              <w:ind w:firstLine="0" w:firstLineChars="0"/>
              <w:rPr>
                <w:rFonts w:ascii="Times New Roman" w:hAnsi="Times New Roman" w:cs="Times New Roman"/>
                <w:bCs/>
                <w:color w:val="auto"/>
                <w:sz w:val="24"/>
                <w:szCs w:val="24"/>
              </w:rPr>
            </w:pPr>
            <w:r>
              <w:rPr>
                <w:rFonts w:hint="eastAsia" w:ascii="宋体" w:hAnsi="宋体" w:cs="宋体"/>
                <w:bCs/>
                <w:color w:val="auto"/>
                <w:sz w:val="24"/>
                <w:szCs w:val="24"/>
              </w:rPr>
              <w:t>生均纸质图书</w:t>
            </w:r>
          </w:p>
        </w:tc>
        <w:tc>
          <w:tcPr>
            <w:tcW w:w="1984" w:type="dxa"/>
            <w:noWrap w:val="0"/>
            <w:vAlign w:val="center"/>
          </w:tcPr>
          <w:p>
            <w:pPr>
              <w:ind w:firstLine="0" w:firstLineChars="0"/>
              <w:rPr>
                <w:rFonts w:hint="eastAsia" w:eastAsia="宋体"/>
                <w:color w:val="auto"/>
                <w:lang w:eastAsia="zh-CN"/>
              </w:rPr>
            </w:pPr>
            <w:r>
              <w:rPr>
                <w:rFonts w:hint="eastAsia" w:ascii="宋体" w:hAnsi="宋体" w:cs="宋体"/>
                <w:color w:val="auto"/>
                <w:szCs w:val="28"/>
              </w:rPr>
              <w:t>1</w:t>
            </w:r>
            <w:r>
              <w:rPr>
                <w:rFonts w:ascii="宋体" w:hAnsi="宋体" w:cs="宋体"/>
                <w:color w:val="auto"/>
                <w:szCs w:val="28"/>
              </w:rPr>
              <w:t>4</w:t>
            </w:r>
            <w:r>
              <w:rPr>
                <w:rFonts w:hint="eastAsia" w:ascii="宋体" w:hAnsi="宋体" w:cs="宋体"/>
                <w:color w:val="auto"/>
                <w:szCs w:val="28"/>
              </w:rPr>
              <w:t>.</w:t>
            </w:r>
            <w:r>
              <w:rPr>
                <w:rFonts w:ascii="宋体" w:hAnsi="宋体" w:cs="宋体"/>
                <w:color w:val="auto"/>
                <w:szCs w:val="28"/>
              </w:rPr>
              <w:t>18</w:t>
            </w:r>
            <w:r>
              <w:rPr>
                <w:rFonts w:hint="eastAsia" w:ascii="宋体" w:hAnsi="宋体" w:cs="宋体"/>
                <w:color w:val="auto"/>
                <w:szCs w:val="28"/>
                <w:lang w:eastAsia="zh-CN"/>
              </w:rPr>
              <w:t>册</w:t>
            </w:r>
          </w:p>
        </w:tc>
        <w:tc>
          <w:tcPr>
            <w:tcW w:w="2038" w:type="dxa"/>
            <w:noWrap w:val="0"/>
            <w:vAlign w:val="center"/>
          </w:tcPr>
          <w:p>
            <w:pPr>
              <w:ind w:firstLine="0" w:firstLineChars="0"/>
              <w:rPr>
                <w:rFonts w:hint="eastAsia" w:eastAsia="宋体"/>
                <w:color w:val="auto"/>
                <w:lang w:eastAsia="zh-CN"/>
              </w:rPr>
            </w:pPr>
            <w:r>
              <w:rPr>
                <w:rFonts w:hint="eastAsia" w:ascii="宋体" w:hAnsi="宋体" w:cs="宋体"/>
                <w:color w:val="auto"/>
                <w:szCs w:val="28"/>
              </w:rPr>
              <w:t>14.36</w:t>
            </w:r>
            <w:r>
              <w:rPr>
                <w:rFonts w:hint="eastAsia" w:ascii="宋体" w:hAnsi="宋体" w:cs="宋体"/>
                <w:color w:val="auto"/>
                <w:szCs w:val="28"/>
                <w:lang w:eastAsia="zh-CN"/>
              </w:rPr>
              <w:t>册</w:t>
            </w:r>
          </w:p>
        </w:tc>
        <w:tc>
          <w:tcPr>
            <w:tcW w:w="2237" w:type="dxa"/>
            <w:noWrap w:val="0"/>
            <w:vAlign w:val="center"/>
          </w:tcPr>
          <w:p>
            <w:pPr>
              <w:ind w:firstLine="0" w:firstLineChars="0"/>
              <w:rPr>
                <w:rFonts w:hint="eastAsia"/>
                <w:color w:val="auto"/>
              </w:rPr>
            </w:pPr>
            <w:r>
              <w:rPr>
                <w:rFonts w:hint="eastAsia" w:ascii="宋体" w:hAnsi="宋体" w:cs="宋体"/>
                <w:color w:val="auto"/>
                <w:szCs w:val="28"/>
                <w:lang w:eastAsia="zh-CN"/>
              </w:rPr>
              <w:t>增加</w:t>
            </w:r>
            <w:r>
              <w:rPr>
                <w:rFonts w:hint="eastAsia" w:ascii="宋体" w:hAnsi="宋体" w:cs="宋体"/>
                <w:color w:val="auto"/>
                <w:szCs w:val="28"/>
                <w:lang w:val="en-US" w:eastAsia="zh-CN"/>
              </w:rPr>
              <w:t>0.18</w:t>
            </w:r>
            <w:r>
              <w:rPr>
                <w:rFonts w:hint="eastAsia" w:ascii="宋体" w:hAnsi="宋体" w:cs="宋体"/>
                <w:color w:val="auto"/>
                <w:szCs w:val="28"/>
              </w:rPr>
              <w:t>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noWrap w:val="0"/>
            <w:vAlign w:val="center"/>
          </w:tcPr>
          <w:p>
            <w:pPr>
              <w:ind w:firstLine="0" w:firstLineChars="0"/>
              <w:rPr>
                <w:rFonts w:hint="eastAsia" w:ascii="宋体" w:hAnsi="宋体" w:cs="宋体"/>
                <w:bCs/>
                <w:color w:val="auto"/>
                <w:sz w:val="24"/>
                <w:szCs w:val="24"/>
              </w:rPr>
            </w:pPr>
            <w:r>
              <w:rPr>
                <w:rFonts w:hint="eastAsia" w:ascii="宋体" w:hAnsi="宋体" w:cs="宋体"/>
                <w:bCs/>
                <w:color w:val="auto"/>
                <w:sz w:val="24"/>
                <w:szCs w:val="24"/>
              </w:rPr>
              <w:t>电子</w:t>
            </w:r>
            <w:r>
              <w:rPr>
                <w:rFonts w:ascii="宋体" w:hAnsi="宋体" w:cs="宋体"/>
                <w:bCs/>
                <w:color w:val="auto"/>
                <w:sz w:val="24"/>
                <w:szCs w:val="24"/>
              </w:rPr>
              <w:t>图书</w:t>
            </w:r>
          </w:p>
        </w:tc>
        <w:tc>
          <w:tcPr>
            <w:tcW w:w="1984" w:type="dxa"/>
            <w:noWrap w:val="0"/>
            <w:vAlign w:val="center"/>
          </w:tcPr>
          <w:p>
            <w:pPr>
              <w:ind w:firstLine="0" w:firstLineChars="0"/>
              <w:rPr>
                <w:rFonts w:hint="eastAsia"/>
                <w:color w:val="auto"/>
              </w:rPr>
            </w:pPr>
            <w:r>
              <w:rPr>
                <w:rFonts w:hint="eastAsia"/>
                <w:color w:val="auto"/>
              </w:rPr>
              <w:t>15万册</w:t>
            </w:r>
          </w:p>
        </w:tc>
        <w:tc>
          <w:tcPr>
            <w:tcW w:w="2038" w:type="dxa"/>
            <w:noWrap w:val="0"/>
            <w:vAlign w:val="center"/>
          </w:tcPr>
          <w:p>
            <w:pPr>
              <w:ind w:firstLine="0" w:firstLineChars="0"/>
              <w:rPr>
                <w:rFonts w:hint="eastAsia"/>
                <w:color w:val="auto"/>
              </w:rPr>
            </w:pPr>
            <w:r>
              <w:rPr>
                <w:rFonts w:hint="eastAsia"/>
                <w:color w:val="auto"/>
              </w:rPr>
              <w:t>15万册</w:t>
            </w:r>
          </w:p>
        </w:tc>
        <w:tc>
          <w:tcPr>
            <w:tcW w:w="2237" w:type="dxa"/>
            <w:noWrap w:val="0"/>
            <w:vAlign w:val="center"/>
          </w:tcPr>
          <w:p>
            <w:pPr>
              <w:ind w:firstLine="0" w:firstLineChars="0"/>
              <w:rPr>
                <w:rFonts w:hint="eastAsia" w:ascii="Times New Roman" w:hAnsi="Times New Roman" w:cs="Times New Roman"/>
                <w:color w:val="auto"/>
                <w:kern w:val="0"/>
                <w:szCs w:val="20"/>
              </w:rPr>
            </w:pPr>
            <w:r>
              <w:rPr>
                <w:rFonts w:hint="eastAsia" w:ascii="Times New Roman" w:hAnsi="Times New Roman" w:cs="Times New Roman"/>
                <w:color w:val="auto"/>
                <w:kern w:val="0"/>
                <w:szCs w:val="20"/>
              </w:rPr>
              <w:t>持平</w:t>
            </w:r>
          </w:p>
        </w:tc>
      </w:tr>
    </w:tbl>
    <w:p>
      <w:pPr>
        <w:pStyle w:val="2"/>
        <w:spacing w:beforeLines="0"/>
        <w:ind w:firstLine="0" w:firstLineChars="0"/>
        <w:rPr>
          <w:color w:val="auto"/>
        </w:rPr>
      </w:pPr>
      <w:bookmarkStart w:id="5" w:name="_Toc20706"/>
      <w:r>
        <w:rPr>
          <w:rFonts w:hint="eastAsia"/>
          <w:color w:val="auto"/>
        </w:rPr>
        <w:t>二</w:t>
      </w:r>
      <w:r>
        <w:rPr>
          <w:color w:val="auto"/>
        </w:rPr>
        <w:t>、学生发展</w:t>
      </w:r>
      <w:bookmarkEnd w:id="5"/>
    </w:p>
    <w:p>
      <w:pPr>
        <w:pStyle w:val="3"/>
        <w:spacing w:beforeLines="0"/>
        <w:ind w:firstLine="602"/>
        <w:rPr>
          <w:color w:val="auto"/>
          <w:shd w:val="clear" w:color="auto" w:fill="FFFFFF"/>
        </w:rPr>
      </w:pPr>
      <w:bookmarkStart w:id="6" w:name="_Toc11058"/>
      <w:r>
        <w:rPr>
          <w:rFonts w:hint="eastAsia"/>
          <w:color w:val="auto"/>
          <w:shd w:val="clear" w:color="auto" w:fill="FFFFFF"/>
        </w:rPr>
        <w:t>（一）学生</w:t>
      </w:r>
      <w:r>
        <w:rPr>
          <w:color w:val="auto"/>
          <w:shd w:val="clear" w:color="auto" w:fill="FFFFFF"/>
        </w:rPr>
        <w:t>素质</w:t>
      </w:r>
      <w:bookmarkEnd w:id="6"/>
    </w:p>
    <w:p>
      <w:pPr>
        <w:ind w:firstLine="562"/>
        <w:rPr>
          <w:rFonts w:ascii="仿宋_GB2312" w:eastAsia="仿宋_GB2312"/>
          <w:b/>
          <w:color w:val="auto"/>
          <w:kern w:val="0"/>
          <w:szCs w:val="28"/>
        </w:rPr>
      </w:pPr>
      <w:r>
        <w:rPr>
          <w:rFonts w:ascii="仿宋_GB2312" w:eastAsia="仿宋_GB2312"/>
          <w:b/>
          <w:color w:val="auto"/>
          <w:kern w:val="0"/>
          <w:szCs w:val="28"/>
        </w:rPr>
        <w:t>1</w:t>
      </w:r>
      <w:r>
        <w:rPr>
          <w:rFonts w:hint="eastAsia" w:ascii="仿宋_GB2312" w:eastAsia="仿宋_GB2312"/>
          <w:b/>
          <w:color w:val="auto"/>
          <w:kern w:val="0"/>
          <w:szCs w:val="28"/>
        </w:rPr>
        <w:t>.思想政治状况</w:t>
      </w:r>
    </w:p>
    <w:p>
      <w:pPr>
        <w:ind w:firstLine="560"/>
        <w:rPr>
          <w:rFonts w:hint="eastAsia" w:ascii="宋体" w:hAnsi="宋体" w:eastAsia="宋体"/>
          <w:color w:val="auto"/>
          <w:lang w:eastAsia="zh-CN"/>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rPr>
        <w:t>思想状况方面</w:t>
      </w:r>
    </w:p>
    <w:p>
      <w:pPr>
        <w:ind w:firstLine="560"/>
        <w:rPr>
          <w:rFonts w:hint="eastAsia" w:ascii="宋体" w:hAnsi="宋体" w:eastAsia="宋体"/>
          <w:color w:val="auto"/>
          <w:lang w:eastAsia="zh-CN"/>
        </w:rPr>
      </w:pPr>
      <w:r>
        <w:rPr>
          <w:rFonts w:hint="eastAsia" w:ascii="宋体" w:hAnsi="宋体"/>
          <w:color w:val="auto"/>
        </w:rPr>
        <w:t>学校学生拥护中国共产党领导，熟悉社会主义核心价值观，积极参加学校组织的各种思想政治教育活动（如：“不忘初心、牢记使命”主题教育）。总体来看，学校学生的思想状况是爱国的、积极的、向上的、有激情的。</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w:t>
      </w:r>
      <w:r>
        <w:rPr>
          <w:rFonts w:hint="eastAsia" w:ascii="宋体" w:hAnsi="宋体"/>
          <w:color w:val="auto"/>
        </w:rPr>
        <w:t>道德修养方面</w:t>
      </w:r>
    </w:p>
    <w:p>
      <w:pPr>
        <w:ind w:firstLine="560"/>
        <w:rPr>
          <w:rFonts w:hint="eastAsia" w:ascii="宋体" w:hAnsi="宋体"/>
          <w:color w:val="auto"/>
        </w:rPr>
      </w:pPr>
      <w:r>
        <w:rPr>
          <w:rFonts w:hint="eastAsia" w:ascii="宋体" w:hAnsi="宋体"/>
          <w:color w:val="auto"/>
        </w:rPr>
        <w:t>绝大多数学生主张先人后己，助人为乐，文明礼貌的价值原则，特别注重“遵守公德、尊敬师长、关心他人”的基本道德，以及“正直正派、坦诚谦和、进取奉献”的品性修养；学生都认为拥有社会主义核心价值观个人层面的“爱国、敬业、诚信、友善”很有必要，并要在学习和生活中身体力行。</w:t>
      </w:r>
    </w:p>
    <w:p>
      <w:pPr>
        <w:ind w:firstLine="562"/>
        <w:rPr>
          <w:rFonts w:hint="eastAsia" w:ascii="仿宋_GB2312" w:eastAsia="仿宋_GB2312"/>
          <w:b/>
          <w:color w:val="auto"/>
          <w:kern w:val="0"/>
          <w:szCs w:val="28"/>
        </w:rPr>
      </w:pPr>
      <w:r>
        <w:rPr>
          <w:rFonts w:ascii="仿宋_GB2312" w:eastAsia="仿宋_GB2312"/>
          <w:b/>
          <w:color w:val="auto"/>
          <w:kern w:val="0"/>
          <w:szCs w:val="28"/>
        </w:rPr>
        <w:t>2</w:t>
      </w:r>
      <w:r>
        <w:rPr>
          <w:rFonts w:hint="eastAsia" w:ascii="仿宋_GB2312" w:eastAsia="仿宋_GB2312"/>
          <w:b/>
          <w:color w:val="auto"/>
          <w:kern w:val="0"/>
          <w:szCs w:val="28"/>
        </w:rPr>
        <w:t>.文化课及格率</w:t>
      </w:r>
    </w:p>
    <w:p>
      <w:pPr>
        <w:ind w:firstLine="560"/>
        <w:rPr>
          <w:rFonts w:ascii="宋体" w:hAnsi="宋体"/>
          <w:color w:val="auto"/>
        </w:rPr>
      </w:pPr>
      <w:r>
        <w:rPr>
          <w:rFonts w:hint="eastAsia" w:ascii="宋体" w:hAnsi="宋体"/>
          <w:color w:val="auto"/>
        </w:rPr>
        <w:t>根据相关规定，2019年我校开设的文化基础类的课程有《政治经济与社会》、《哲学与人生》、《职业道德与法律》、《心理健康》、《职业生涯规划》、《数学》、《语文》等课程。随着学校及学生对文化课程的不断重视，文化基础课的及格率在2019年达到了94.5%。</w:t>
      </w:r>
    </w:p>
    <w:p>
      <w:pPr>
        <w:ind w:firstLine="562"/>
        <w:rPr>
          <w:rFonts w:ascii="仿宋_GB2312" w:eastAsia="仿宋_GB2312"/>
          <w:b/>
          <w:color w:val="auto"/>
          <w:kern w:val="0"/>
          <w:szCs w:val="28"/>
        </w:rPr>
      </w:pPr>
      <w:r>
        <w:rPr>
          <w:rFonts w:ascii="仿宋_GB2312" w:eastAsia="仿宋_GB2312"/>
          <w:b/>
          <w:color w:val="auto"/>
          <w:kern w:val="0"/>
          <w:szCs w:val="28"/>
        </w:rPr>
        <w:t>3</w:t>
      </w:r>
      <w:r>
        <w:rPr>
          <w:rFonts w:hint="eastAsia" w:ascii="仿宋_GB2312" w:eastAsia="仿宋_GB2312"/>
          <w:b/>
          <w:color w:val="auto"/>
          <w:kern w:val="0"/>
          <w:szCs w:val="28"/>
        </w:rPr>
        <w:t>.专业技能合格率</w:t>
      </w:r>
    </w:p>
    <w:p>
      <w:pPr>
        <w:ind w:firstLine="560"/>
        <w:rPr>
          <w:rFonts w:ascii="宋体" w:hAnsi="宋体"/>
          <w:color w:val="auto"/>
        </w:rPr>
      </w:pPr>
      <w:r>
        <w:rPr>
          <w:rFonts w:hint="eastAsia" w:ascii="宋体" w:hAnsi="宋体"/>
          <w:color w:val="auto"/>
        </w:rPr>
        <w:t>2019年我校有8个工种进行考证，其中职业技能鉴定等级考试有7项，电工上岗证为准入证考试。等级证分别为汽车维修工、中式烹调师、中式面点师、西式面点师、茶艺师、美容师、美发师，以及电工上岗证。共计参加考试报名人数为833人，合格人数610名，合格率为73%，比2018年的合格率67%高出7个点。</w:t>
      </w:r>
    </w:p>
    <w:p>
      <w:pPr>
        <w:ind w:firstLine="562"/>
        <w:rPr>
          <w:rFonts w:ascii="仿宋_GB2312" w:eastAsia="仿宋_GB2312"/>
          <w:b/>
          <w:color w:val="auto"/>
          <w:kern w:val="0"/>
          <w:szCs w:val="28"/>
        </w:rPr>
      </w:pPr>
      <w:r>
        <w:rPr>
          <w:rFonts w:ascii="仿宋_GB2312" w:eastAsia="仿宋_GB2312"/>
          <w:b/>
          <w:color w:val="auto"/>
          <w:kern w:val="0"/>
          <w:szCs w:val="28"/>
        </w:rPr>
        <w:t>4</w:t>
      </w:r>
      <w:r>
        <w:rPr>
          <w:rFonts w:hint="eastAsia" w:ascii="仿宋_GB2312" w:eastAsia="仿宋_GB2312"/>
          <w:b/>
          <w:color w:val="auto"/>
          <w:kern w:val="0"/>
          <w:szCs w:val="28"/>
        </w:rPr>
        <w:t>.体质测试合格率</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293"/>
        <w:gridCol w:w="2294"/>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noWrap w:val="0"/>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b/>
                <w:bCs/>
                <w:color w:val="auto"/>
                <w:kern w:val="0"/>
                <w:szCs w:val="28"/>
              </w:rPr>
              <w:t>项目</w:t>
            </w:r>
          </w:p>
        </w:tc>
        <w:tc>
          <w:tcPr>
            <w:tcW w:w="2293" w:type="dxa"/>
            <w:noWrap w:val="0"/>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8</w:t>
            </w:r>
            <w:r>
              <w:rPr>
                <w:rFonts w:hint="eastAsia" w:ascii="Times New Roman" w:hAnsi="Times New Roman" w:cs="Times New Roman"/>
                <w:b/>
                <w:bCs/>
                <w:color w:val="auto"/>
              </w:rPr>
              <w:t>年</w:t>
            </w:r>
          </w:p>
        </w:tc>
        <w:tc>
          <w:tcPr>
            <w:tcW w:w="2294" w:type="dxa"/>
            <w:noWrap w:val="0"/>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9</w:t>
            </w:r>
            <w:r>
              <w:rPr>
                <w:rFonts w:hint="eastAsia" w:ascii="Times New Roman" w:hAnsi="Times New Roman" w:cs="Times New Roman"/>
                <w:b/>
                <w:bCs/>
                <w:color w:val="auto"/>
              </w:rPr>
              <w:t>年</w:t>
            </w:r>
          </w:p>
        </w:tc>
        <w:tc>
          <w:tcPr>
            <w:tcW w:w="2294" w:type="dxa"/>
            <w:noWrap w:val="0"/>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与上一年度相比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noWrap w:val="0"/>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color w:val="auto"/>
                <w:kern w:val="0"/>
                <w:szCs w:val="28"/>
              </w:rPr>
              <w:t>体质测试人数</w:t>
            </w:r>
          </w:p>
        </w:tc>
        <w:tc>
          <w:tcPr>
            <w:tcW w:w="2293" w:type="dxa"/>
            <w:noWrap w:val="0"/>
            <w:vAlign w:val="top"/>
          </w:tcPr>
          <w:p>
            <w:pPr>
              <w:widowControl/>
              <w:ind w:firstLine="0" w:firstLineChars="0"/>
              <w:rPr>
                <w:rFonts w:ascii="宋体" w:hAnsi="宋体" w:cs="Times New Roman"/>
                <w:color w:val="auto"/>
                <w:kern w:val="0"/>
              </w:rPr>
            </w:pPr>
            <w:r>
              <w:rPr>
                <w:rFonts w:ascii="宋体" w:hAnsi="宋体" w:cs="Times New Roman"/>
                <w:color w:val="auto"/>
                <w:kern w:val="0"/>
              </w:rPr>
              <w:t>3713</w:t>
            </w:r>
          </w:p>
        </w:tc>
        <w:tc>
          <w:tcPr>
            <w:tcW w:w="2294" w:type="dxa"/>
            <w:noWrap w:val="0"/>
            <w:vAlign w:val="top"/>
          </w:tcPr>
          <w:p>
            <w:pPr>
              <w:widowControl/>
              <w:ind w:firstLine="0" w:firstLineChars="0"/>
              <w:rPr>
                <w:rFonts w:hint="default" w:ascii="宋体" w:hAnsi="宋体" w:eastAsia="宋体" w:cs="Times New Roman"/>
                <w:color w:val="auto"/>
                <w:kern w:val="0"/>
                <w:lang w:val="en-US" w:eastAsia="zh-CN"/>
              </w:rPr>
            </w:pPr>
            <w:r>
              <w:rPr>
                <w:rFonts w:hint="eastAsia" w:ascii="宋体" w:hAnsi="宋体" w:cs="Times New Roman"/>
                <w:color w:val="auto"/>
                <w:kern w:val="0"/>
                <w:lang w:val="en-US" w:eastAsia="zh-CN"/>
              </w:rPr>
              <w:t>3927</w:t>
            </w:r>
          </w:p>
        </w:tc>
        <w:tc>
          <w:tcPr>
            <w:tcW w:w="2294" w:type="dxa"/>
            <w:noWrap w:val="0"/>
            <w:vAlign w:val="top"/>
          </w:tcPr>
          <w:p>
            <w:pPr>
              <w:spacing w:line="360" w:lineRule="auto"/>
              <w:ind w:firstLine="0" w:firstLineChars="0"/>
              <w:rPr>
                <w:rFonts w:hint="default" w:ascii="宋体" w:hAnsi="宋体" w:eastAsia="宋体" w:cs="Times New Roman"/>
                <w:color w:val="auto"/>
                <w:kern w:val="0"/>
                <w:lang w:val="en-US" w:eastAsia="zh-CN"/>
              </w:rPr>
            </w:pPr>
            <w:r>
              <w:rPr>
                <w:rFonts w:hint="eastAsia" w:ascii="宋体" w:hAnsi="宋体"/>
                <w:bCs/>
                <w:color w:val="auto"/>
              </w:rPr>
              <w:t>＋</w:t>
            </w:r>
            <w:r>
              <w:rPr>
                <w:rFonts w:hint="eastAsia" w:ascii="宋体" w:hAnsi="宋体"/>
                <w:bCs/>
                <w:color w:val="auto"/>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noWrap w:val="0"/>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color w:val="auto"/>
                <w:kern w:val="0"/>
                <w:szCs w:val="28"/>
              </w:rPr>
              <w:t>合格率</w:t>
            </w:r>
          </w:p>
        </w:tc>
        <w:tc>
          <w:tcPr>
            <w:tcW w:w="2293" w:type="dxa"/>
            <w:noWrap w:val="0"/>
            <w:vAlign w:val="top"/>
          </w:tcPr>
          <w:p>
            <w:pPr>
              <w:spacing w:line="360" w:lineRule="auto"/>
              <w:ind w:firstLine="0" w:firstLineChars="0"/>
              <w:rPr>
                <w:rFonts w:ascii="宋体" w:hAnsi="宋体" w:cs="Times New Roman"/>
                <w:color w:val="auto"/>
                <w:kern w:val="0"/>
              </w:rPr>
            </w:pPr>
            <w:r>
              <w:rPr>
                <w:rFonts w:ascii="宋体" w:hAnsi="宋体" w:cs="Times New Roman"/>
                <w:color w:val="auto"/>
                <w:kern w:val="0"/>
              </w:rPr>
              <w:t>90</w:t>
            </w:r>
            <w:r>
              <w:rPr>
                <w:rFonts w:hint="eastAsia" w:ascii="宋体" w:hAnsi="宋体" w:cs="Times New Roman"/>
                <w:color w:val="auto"/>
                <w:kern w:val="0"/>
              </w:rPr>
              <w:t>%</w:t>
            </w:r>
          </w:p>
        </w:tc>
        <w:tc>
          <w:tcPr>
            <w:tcW w:w="2294" w:type="dxa"/>
            <w:noWrap w:val="0"/>
            <w:vAlign w:val="top"/>
          </w:tcPr>
          <w:p>
            <w:pPr>
              <w:spacing w:line="360" w:lineRule="auto"/>
              <w:ind w:firstLine="0" w:firstLineChars="0"/>
              <w:rPr>
                <w:rFonts w:hint="default" w:ascii="宋体" w:hAnsi="宋体" w:eastAsia="宋体" w:cs="Times New Roman"/>
                <w:color w:val="auto"/>
                <w:kern w:val="0"/>
                <w:lang w:val="en-US" w:eastAsia="zh-CN"/>
              </w:rPr>
            </w:pPr>
            <w:r>
              <w:rPr>
                <w:rFonts w:hint="eastAsia" w:ascii="宋体" w:hAnsi="宋体" w:cs="Times New Roman"/>
                <w:color w:val="auto"/>
                <w:kern w:val="0"/>
                <w:lang w:val="en-US" w:eastAsia="zh-CN"/>
              </w:rPr>
              <w:t>90</w:t>
            </w:r>
            <w:r>
              <w:rPr>
                <w:rFonts w:hint="eastAsia" w:ascii="宋体" w:hAnsi="宋体" w:cs="Times New Roman"/>
                <w:color w:val="auto"/>
                <w:kern w:val="0"/>
              </w:rPr>
              <w:t>%</w:t>
            </w:r>
          </w:p>
        </w:tc>
        <w:tc>
          <w:tcPr>
            <w:tcW w:w="2294" w:type="dxa"/>
            <w:noWrap w:val="0"/>
            <w:vAlign w:val="top"/>
          </w:tcPr>
          <w:p>
            <w:pPr>
              <w:spacing w:line="360" w:lineRule="auto"/>
              <w:ind w:firstLine="0" w:firstLineChars="0"/>
              <w:rPr>
                <w:rFonts w:hint="eastAsia" w:ascii="宋体" w:hAnsi="宋体" w:eastAsia="宋体" w:cs="Times New Roman"/>
                <w:color w:val="auto"/>
                <w:kern w:val="0"/>
                <w:lang w:eastAsia="zh-CN"/>
              </w:rPr>
            </w:pPr>
            <w:r>
              <w:rPr>
                <w:rFonts w:hint="eastAsia" w:ascii="宋体" w:hAnsi="宋体"/>
                <w:bCs/>
                <w:color w:val="auto"/>
                <w:lang w:eastAsia="zh-CN"/>
              </w:rPr>
              <w:t>持平</w:t>
            </w:r>
          </w:p>
        </w:tc>
      </w:tr>
    </w:tbl>
    <w:p>
      <w:pPr>
        <w:spacing w:line="360" w:lineRule="auto"/>
        <w:ind w:firstLine="0" w:firstLineChars="0"/>
        <w:rPr>
          <w:rFonts w:ascii="宋体" w:hAnsi="宋体"/>
          <w:color w:val="auto"/>
          <w:kern w:val="0"/>
          <w:szCs w:val="28"/>
        </w:rPr>
      </w:pPr>
      <w:r>
        <w:rPr>
          <w:rFonts w:hint="eastAsia" w:ascii="宋体" w:hAnsi="宋体"/>
          <w:color w:val="auto"/>
          <w:kern w:val="0"/>
          <w:szCs w:val="28"/>
        </w:rPr>
        <w:t>备注：学生体质测试人数不包括免测学生</w:t>
      </w:r>
    </w:p>
    <w:p>
      <w:pPr>
        <w:ind w:firstLine="562"/>
        <w:rPr>
          <w:rFonts w:ascii="仿宋_GB2312" w:eastAsia="仿宋_GB2312"/>
          <w:b/>
          <w:color w:val="auto"/>
          <w:kern w:val="0"/>
          <w:szCs w:val="28"/>
        </w:rPr>
      </w:pPr>
      <w:r>
        <w:rPr>
          <w:rFonts w:ascii="仿宋_GB2312" w:eastAsia="仿宋_GB2312"/>
          <w:b/>
          <w:color w:val="auto"/>
          <w:kern w:val="0"/>
          <w:szCs w:val="28"/>
        </w:rPr>
        <w:t>5</w:t>
      </w:r>
      <w:r>
        <w:rPr>
          <w:rFonts w:hint="eastAsia" w:ascii="仿宋_GB2312" w:eastAsia="仿宋_GB2312"/>
          <w:b/>
          <w:color w:val="auto"/>
          <w:kern w:val="0"/>
          <w:szCs w:val="28"/>
        </w:rPr>
        <w:t>.毕业率</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2293"/>
        <w:gridCol w:w="2294"/>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noWrap w:val="0"/>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b/>
                <w:bCs/>
                <w:color w:val="auto"/>
                <w:kern w:val="0"/>
                <w:szCs w:val="28"/>
              </w:rPr>
              <w:t>项目</w:t>
            </w:r>
          </w:p>
        </w:tc>
        <w:tc>
          <w:tcPr>
            <w:tcW w:w="2293" w:type="dxa"/>
            <w:noWrap w:val="0"/>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8</w:t>
            </w:r>
            <w:r>
              <w:rPr>
                <w:rFonts w:hint="eastAsia" w:ascii="Times New Roman" w:hAnsi="Times New Roman" w:cs="Times New Roman"/>
                <w:b/>
                <w:bCs/>
                <w:color w:val="auto"/>
              </w:rPr>
              <w:t>年</w:t>
            </w:r>
          </w:p>
        </w:tc>
        <w:tc>
          <w:tcPr>
            <w:tcW w:w="2294" w:type="dxa"/>
            <w:noWrap w:val="0"/>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9</w:t>
            </w:r>
            <w:r>
              <w:rPr>
                <w:rFonts w:hint="eastAsia" w:ascii="Times New Roman" w:hAnsi="Times New Roman" w:cs="Times New Roman"/>
                <w:b/>
                <w:bCs/>
                <w:color w:val="auto"/>
              </w:rPr>
              <w:t>年</w:t>
            </w:r>
          </w:p>
        </w:tc>
        <w:tc>
          <w:tcPr>
            <w:tcW w:w="2294" w:type="dxa"/>
            <w:noWrap w:val="0"/>
            <w:vAlign w:val="top"/>
          </w:tcPr>
          <w:p>
            <w:pPr>
              <w:ind w:firstLine="0" w:firstLineChars="0"/>
              <w:rPr>
                <w:rFonts w:ascii="宋体" w:hAnsi="宋体" w:cs="Times New Roman"/>
                <w:color w:val="auto"/>
                <w:kern w:val="0"/>
                <w:szCs w:val="28"/>
              </w:rPr>
            </w:pPr>
            <w:r>
              <w:rPr>
                <w:rFonts w:hint="eastAsia" w:ascii="Times New Roman" w:hAnsi="Times New Roman" w:cs="Times New Roman"/>
                <w:b/>
                <w:bCs/>
                <w:color w:val="auto"/>
              </w:rPr>
              <w:t>与上一年度相比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noWrap w:val="0"/>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color w:val="auto"/>
                <w:kern w:val="0"/>
                <w:szCs w:val="28"/>
              </w:rPr>
              <w:t>毕业生人数</w:t>
            </w:r>
          </w:p>
        </w:tc>
        <w:tc>
          <w:tcPr>
            <w:tcW w:w="2293" w:type="dxa"/>
            <w:noWrap w:val="0"/>
            <w:vAlign w:val="top"/>
          </w:tcPr>
          <w:p>
            <w:pPr>
              <w:spacing w:line="360" w:lineRule="auto"/>
              <w:ind w:firstLine="0" w:firstLineChars="0"/>
              <w:rPr>
                <w:rFonts w:hint="default" w:ascii="宋体" w:hAnsi="宋体" w:eastAsia="宋体" w:cs="Times New Roman"/>
                <w:color w:val="auto"/>
                <w:kern w:val="0"/>
                <w:szCs w:val="28"/>
                <w:lang w:val="en-US" w:eastAsia="zh-CN"/>
              </w:rPr>
            </w:pPr>
            <w:r>
              <w:rPr>
                <w:rFonts w:hint="eastAsia" w:ascii="宋体" w:hAnsi="宋体" w:cs="Times New Roman"/>
                <w:color w:val="auto"/>
                <w:kern w:val="0"/>
                <w:szCs w:val="28"/>
              </w:rPr>
              <w:t>1</w:t>
            </w:r>
            <w:r>
              <w:rPr>
                <w:rFonts w:ascii="宋体" w:hAnsi="宋体" w:cs="Times New Roman"/>
                <w:color w:val="auto"/>
                <w:kern w:val="0"/>
                <w:szCs w:val="28"/>
              </w:rPr>
              <w:t>4</w:t>
            </w:r>
            <w:r>
              <w:rPr>
                <w:rFonts w:hint="eastAsia" w:ascii="宋体" w:hAnsi="宋体" w:cs="Times New Roman"/>
                <w:color w:val="auto"/>
                <w:kern w:val="0"/>
                <w:szCs w:val="28"/>
                <w:lang w:val="en-US" w:eastAsia="zh-CN"/>
              </w:rPr>
              <w:t>63</w:t>
            </w:r>
          </w:p>
        </w:tc>
        <w:tc>
          <w:tcPr>
            <w:tcW w:w="2294" w:type="dxa"/>
            <w:noWrap w:val="0"/>
            <w:vAlign w:val="top"/>
          </w:tcPr>
          <w:p>
            <w:pPr>
              <w:spacing w:line="360" w:lineRule="auto"/>
              <w:ind w:firstLine="0" w:firstLineChars="0"/>
              <w:rPr>
                <w:rFonts w:hint="default" w:ascii="宋体" w:hAnsi="宋体" w:eastAsia="宋体" w:cs="Times New Roman"/>
                <w:color w:val="auto"/>
                <w:kern w:val="0"/>
                <w:szCs w:val="28"/>
                <w:lang w:val="en-US" w:eastAsia="zh-CN"/>
              </w:rPr>
            </w:pPr>
            <w:r>
              <w:rPr>
                <w:rFonts w:hint="eastAsia" w:ascii="宋体" w:hAnsi="宋体" w:cs="Times New Roman"/>
                <w:color w:val="auto"/>
                <w:kern w:val="0"/>
                <w:szCs w:val="28"/>
              </w:rPr>
              <w:t>1</w:t>
            </w:r>
            <w:r>
              <w:rPr>
                <w:rFonts w:hint="eastAsia" w:ascii="宋体" w:hAnsi="宋体" w:cs="Times New Roman"/>
                <w:color w:val="auto"/>
                <w:kern w:val="0"/>
                <w:szCs w:val="28"/>
                <w:lang w:val="en-US" w:eastAsia="zh-CN"/>
              </w:rPr>
              <w:t>595</w:t>
            </w:r>
          </w:p>
        </w:tc>
        <w:tc>
          <w:tcPr>
            <w:tcW w:w="2294" w:type="dxa"/>
            <w:noWrap w:val="0"/>
            <w:vAlign w:val="top"/>
          </w:tcPr>
          <w:p>
            <w:pPr>
              <w:spacing w:line="360" w:lineRule="auto"/>
              <w:ind w:firstLine="0" w:firstLineChars="0"/>
              <w:rPr>
                <w:rFonts w:ascii="宋体" w:hAnsi="宋体" w:cs="Times New Roman"/>
                <w:color w:val="auto"/>
                <w:kern w:val="0"/>
                <w:szCs w:val="28"/>
              </w:rPr>
            </w:pPr>
            <w:r>
              <w:rPr>
                <w:rFonts w:hint="eastAsia" w:ascii="宋体" w:hAnsi="宋体" w:cs="宋体"/>
                <w:b/>
                <w:bCs/>
                <w:color w:val="auto"/>
                <w:sz w:val="30"/>
                <w:szCs w:val="30"/>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3" w:type="dxa"/>
            <w:noWrap w:val="0"/>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color w:val="auto"/>
                <w:kern w:val="0"/>
                <w:szCs w:val="28"/>
              </w:rPr>
              <w:t>毕业率</w:t>
            </w:r>
          </w:p>
        </w:tc>
        <w:tc>
          <w:tcPr>
            <w:tcW w:w="2293" w:type="dxa"/>
            <w:noWrap w:val="0"/>
            <w:vAlign w:val="top"/>
          </w:tcPr>
          <w:p>
            <w:pPr>
              <w:spacing w:line="360" w:lineRule="auto"/>
              <w:ind w:firstLine="0" w:firstLineChars="0"/>
              <w:rPr>
                <w:rFonts w:ascii="宋体" w:hAnsi="宋体" w:cs="Times New Roman"/>
                <w:color w:val="auto"/>
                <w:kern w:val="0"/>
                <w:szCs w:val="28"/>
              </w:rPr>
            </w:pPr>
            <w:r>
              <w:rPr>
                <w:rFonts w:ascii="宋体" w:hAnsi="宋体" w:cs="Times New Roman"/>
                <w:color w:val="auto"/>
                <w:kern w:val="0"/>
                <w:szCs w:val="28"/>
              </w:rPr>
              <w:t>100</w:t>
            </w:r>
            <w:r>
              <w:rPr>
                <w:rFonts w:hint="eastAsia" w:ascii="宋体" w:hAnsi="宋体" w:cs="Times New Roman"/>
                <w:color w:val="auto"/>
                <w:kern w:val="0"/>
                <w:szCs w:val="28"/>
              </w:rPr>
              <w:t>%</w:t>
            </w:r>
          </w:p>
        </w:tc>
        <w:tc>
          <w:tcPr>
            <w:tcW w:w="2294" w:type="dxa"/>
            <w:noWrap w:val="0"/>
            <w:vAlign w:val="top"/>
          </w:tcPr>
          <w:p>
            <w:pPr>
              <w:spacing w:line="360" w:lineRule="auto"/>
              <w:ind w:firstLine="0" w:firstLineChars="0"/>
              <w:rPr>
                <w:rFonts w:ascii="宋体" w:hAnsi="宋体" w:cs="Times New Roman"/>
                <w:color w:val="auto"/>
                <w:kern w:val="0"/>
                <w:szCs w:val="28"/>
              </w:rPr>
            </w:pPr>
            <w:r>
              <w:rPr>
                <w:rFonts w:ascii="宋体" w:hAnsi="宋体" w:cs="Times New Roman"/>
                <w:color w:val="auto"/>
                <w:kern w:val="0"/>
                <w:szCs w:val="28"/>
              </w:rPr>
              <w:t>100</w:t>
            </w:r>
            <w:r>
              <w:rPr>
                <w:rFonts w:hint="eastAsia" w:ascii="宋体" w:hAnsi="宋体" w:cs="Times New Roman"/>
                <w:color w:val="auto"/>
                <w:kern w:val="0"/>
                <w:szCs w:val="28"/>
              </w:rPr>
              <w:t>%</w:t>
            </w:r>
          </w:p>
        </w:tc>
        <w:tc>
          <w:tcPr>
            <w:tcW w:w="2294" w:type="dxa"/>
            <w:noWrap w:val="0"/>
            <w:vAlign w:val="top"/>
          </w:tcPr>
          <w:p>
            <w:pPr>
              <w:spacing w:line="360" w:lineRule="auto"/>
              <w:ind w:firstLine="0" w:firstLineChars="0"/>
              <w:rPr>
                <w:rFonts w:ascii="宋体" w:hAnsi="宋体" w:cs="Times New Roman"/>
                <w:color w:val="auto"/>
                <w:kern w:val="0"/>
                <w:szCs w:val="28"/>
              </w:rPr>
            </w:pPr>
            <w:r>
              <w:rPr>
                <w:rFonts w:hint="eastAsia" w:ascii="宋体" w:hAnsi="宋体" w:cs="Times New Roman"/>
                <w:color w:val="auto"/>
                <w:kern w:val="0"/>
                <w:szCs w:val="28"/>
              </w:rPr>
              <w:t>保持100%</w:t>
            </w:r>
          </w:p>
        </w:tc>
      </w:tr>
    </w:tbl>
    <w:p>
      <w:pPr>
        <w:pStyle w:val="3"/>
        <w:spacing w:beforeLines="0"/>
        <w:ind w:firstLine="602"/>
        <w:rPr>
          <w:rFonts w:hint="eastAsia"/>
          <w:color w:val="auto"/>
          <w:shd w:val="clear" w:color="auto" w:fill="FFFFFF"/>
        </w:rPr>
      </w:pPr>
      <w:bookmarkStart w:id="7" w:name="_Toc26462"/>
      <w:r>
        <w:rPr>
          <w:rFonts w:hint="eastAsia"/>
          <w:color w:val="auto"/>
          <w:shd w:val="clear" w:color="auto" w:fill="FFFFFF"/>
        </w:rPr>
        <w:t>（二）在校</w:t>
      </w:r>
      <w:r>
        <w:rPr>
          <w:color w:val="auto"/>
          <w:shd w:val="clear" w:color="auto" w:fill="FFFFFF"/>
        </w:rPr>
        <w:t>体验</w:t>
      </w:r>
      <w:bookmarkEnd w:id="7"/>
    </w:p>
    <w:p>
      <w:pPr>
        <w:ind w:firstLine="560"/>
        <w:rPr>
          <w:rFonts w:hint="eastAsia" w:ascii="宋体" w:hAnsi="宋体"/>
          <w:color w:val="auto"/>
        </w:rPr>
      </w:pPr>
      <w:r>
        <w:rPr>
          <w:rFonts w:hint="eastAsia" w:ascii="宋体" w:hAnsi="宋体"/>
          <w:color w:val="auto"/>
        </w:rPr>
        <w:t>学校大力发展校园文化和生活设施硬件建设。今年，完成禁毒教育LED、微型消防站、校园艺术团设备、素质拓展训练道具、宿舍文化标识的采购和安装，以及完成了一个读书园，两个读书角，两个浮雕，两个圆雕的建设，进一步美化了校园和满足了学生的需求。从对每个班抽取学生召开座谈会的结果来看：学生理论学习满意度达96%，比去年增加一个百分点；学生专业学习满意度达95%，与去年持平；实习实训满意度达93%，与去年持平；校园文化和社团满意度达96%，比去年增加一个百分点；生活满意度达96%，与去年持平；校园安全满意度达97%，与去年持平。</w:t>
      </w:r>
    </w:p>
    <w:p>
      <w:pPr>
        <w:pStyle w:val="3"/>
        <w:spacing w:beforeLines="0"/>
        <w:ind w:firstLine="602"/>
        <w:rPr>
          <w:color w:val="auto"/>
          <w:shd w:val="clear" w:color="auto" w:fill="FFFFFF"/>
        </w:rPr>
      </w:pPr>
      <w:bookmarkStart w:id="8" w:name="_Toc28148"/>
      <w:r>
        <w:rPr>
          <w:rFonts w:hint="eastAsia"/>
          <w:color w:val="auto"/>
          <w:shd w:val="clear" w:color="auto" w:fill="FFFFFF"/>
        </w:rPr>
        <w:t>（三）资助情况</w:t>
      </w:r>
      <w:bookmarkEnd w:id="8"/>
    </w:p>
    <w:p>
      <w:pPr>
        <w:ind w:firstLine="560"/>
        <w:rPr>
          <w:rFonts w:hint="eastAsia" w:ascii="宋体" w:hAnsi="宋体"/>
          <w:color w:val="auto"/>
          <w:lang w:eastAsia="zh-CN"/>
        </w:rPr>
      </w:pPr>
      <w:r>
        <w:rPr>
          <w:rFonts w:hint="eastAsia" w:ascii="宋体" w:hAnsi="宋体"/>
          <w:color w:val="auto"/>
        </w:rPr>
        <w:t>学校十分重视学生的资助政策落实。</w:t>
      </w:r>
      <w:r>
        <w:rPr>
          <w:rFonts w:hint="eastAsia" w:ascii="宋体" w:hAnsi="宋体"/>
          <w:color w:val="auto"/>
          <w:lang w:val="en-US" w:eastAsia="zh-CN"/>
        </w:rPr>
        <w:t>我校严格按照国家及省教育厅的资助政策评定、审核、存档、发放国家助学金、国家奖学金、省优秀学生奖学金。学生因中途退学不再享受国家助学金而结余的资金按要求结转下年继续按照国家助学金管理制度支付使用。严格按照有关规定规范管理全国中等职业学校学生管理信息系统和全国学生资助管理信息系统（海南），做好控辍保学工作，及时清退退学学生，不存在套取国家资助现象。</w:t>
      </w:r>
      <w:r>
        <w:rPr>
          <w:rFonts w:hint="eastAsia" w:ascii="宋体" w:hAnsi="宋体"/>
          <w:color w:val="auto"/>
          <w:lang w:eastAsia="zh-CN"/>
        </w:rPr>
        <w:t>同时完善了学校一级的资助，对于贫困地区学生和因伤病住院治疗的家庭困难学生，学校加大了资助力度，并把校级资助常态化。具体资助情况见下表：</w:t>
      </w:r>
    </w:p>
    <w:p>
      <w:pPr>
        <w:ind w:left="0" w:leftChars="0" w:firstLine="0" w:firstLineChars="0"/>
        <w:jc w:val="center"/>
        <w:rPr>
          <w:rFonts w:hint="eastAsia" w:ascii="宋体" w:hAnsi="宋体"/>
          <w:color w:val="auto"/>
          <w:lang w:eastAsia="zh-CN"/>
        </w:rPr>
      </w:pPr>
      <w:r>
        <w:rPr>
          <w:rFonts w:hint="eastAsia" w:ascii="宋体" w:hAnsi="宋体"/>
          <w:color w:val="auto"/>
          <w:lang w:val="en-US" w:eastAsia="zh-CN"/>
        </w:rPr>
        <w:t>2019</w:t>
      </w:r>
      <w:r>
        <w:rPr>
          <w:rFonts w:hint="eastAsia" w:ascii="宋体" w:hAnsi="宋体"/>
          <w:color w:val="auto"/>
          <w:lang w:eastAsia="zh-CN"/>
        </w:rPr>
        <w:t>年资助情况一览表</w:t>
      </w:r>
    </w:p>
    <w:tbl>
      <w:tblPr>
        <w:tblStyle w:val="13"/>
        <w:tblW w:w="9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512"/>
        <w:gridCol w:w="2040"/>
        <w:gridCol w:w="1890"/>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5" w:type="dxa"/>
            <w:vAlign w:val="center"/>
          </w:tcPr>
          <w:p>
            <w:pPr>
              <w:ind w:left="0" w:leftChars="0" w:firstLine="0" w:firstLineChars="0"/>
              <w:jc w:val="center"/>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学期</w:t>
            </w:r>
          </w:p>
        </w:tc>
        <w:tc>
          <w:tcPr>
            <w:tcW w:w="1512" w:type="dxa"/>
            <w:vAlign w:val="center"/>
          </w:tcPr>
          <w:p>
            <w:pPr>
              <w:ind w:left="0" w:leftChars="0" w:firstLine="0" w:firstLineChars="0"/>
              <w:jc w:val="center"/>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资助类型</w:t>
            </w:r>
          </w:p>
        </w:tc>
        <w:tc>
          <w:tcPr>
            <w:tcW w:w="2040" w:type="dxa"/>
            <w:vAlign w:val="center"/>
          </w:tcPr>
          <w:p>
            <w:pPr>
              <w:ind w:left="0" w:leftChars="0" w:firstLine="0" w:firstLineChars="0"/>
              <w:jc w:val="center"/>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资助项目</w:t>
            </w:r>
          </w:p>
        </w:tc>
        <w:tc>
          <w:tcPr>
            <w:tcW w:w="1890" w:type="dxa"/>
            <w:vAlign w:val="center"/>
          </w:tcPr>
          <w:p>
            <w:pPr>
              <w:ind w:left="0" w:leftChars="0" w:firstLine="0" w:firstLineChars="0"/>
              <w:jc w:val="center"/>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资助人数（人）</w:t>
            </w:r>
          </w:p>
        </w:tc>
        <w:tc>
          <w:tcPr>
            <w:tcW w:w="2205" w:type="dxa"/>
            <w:vAlign w:val="center"/>
          </w:tcPr>
          <w:p>
            <w:pPr>
              <w:ind w:left="0" w:leftChars="0" w:firstLine="0" w:firstLineChars="0"/>
              <w:jc w:val="center"/>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资助金额（万元）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春季学期</w:t>
            </w:r>
          </w:p>
        </w:tc>
        <w:tc>
          <w:tcPr>
            <w:tcW w:w="1512" w:type="dxa"/>
            <w:vMerge w:val="restart"/>
            <w:vAlign w:val="center"/>
          </w:tcPr>
          <w:p>
            <w:pPr>
              <w:ind w:left="0" w:leftChars="0" w:firstLine="0" w:firstLineChars="0"/>
              <w:jc w:val="center"/>
              <w:rPr>
                <w:rFonts w:hint="eastAsia" w:ascii="宋体" w:hAnsi="宋体" w:eastAsia="宋体"/>
                <w:color w:val="auto"/>
                <w:sz w:val="24"/>
                <w:szCs w:val="24"/>
                <w:lang w:eastAsia="zh-CN"/>
              </w:rPr>
            </w:pPr>
            <w:r>
              <w:rPr>
                <w:rFonts w:hint="eastAsia" w:ascii="宋体" w:hAnsi="宋体"/>
                <w:color w:val="auto"/>
                <w:sz w:val="24"/>
                <w:szCs w:val="24"/>
                <w:lang w:eastAsia="zh-CN"/>
              </w:rPr>
              <w:t>国家资助</w:t>
            </w:r>
          </w:p>
        </w:tc>
        <w:tc>
          <w:tcPr>
            <w:tcW w:w="2040" w:type="dxa"/>
            <w:vMerge w:val="restart"/>
            <w:vAlign w:val="center"/>
          </w:tcPr>
          <w:p>
            <w:pPr>
              <w:ind w:left="0" w:leftChars="0" w:firstLine="0" w:firstLineChars="0"/>
              <w:jc w:val="center"/>
              <w:rPr>
                <w:rFonts w:hint="eastAsia" w:ascii="宋体" w:hAnsi="宋体"/>
                <w:color w:val="auto"/>
                <w:sz w:val="24"/>
                <w:szCs w:val="24"/>
                <w:vertAlign w:val="baseline"/>
                <w:lang w:eastAsia="zh-CN"/>
              </w:rPr>
            </w:pPr>
            <w:r>
              <w:rPr>
                <w:rFonts w:hint="eastAsia" w:ascii="宋体" w:hAnsi="宋体"/>
                <w:color w:val="auto"/>
                <w:sz w:val="24"/>
                <w:szCs w:val="24"/>
              </w:rPr>
              <w:t>免学费</w:t>
            </w: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5265</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684.5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秋季学期</w:t>
            </w:r>
          </w:p>
        </w:tc>
        <w:tc>
          <w:tcPr>
            <w:tcW w:w="1512" w:type="dxa"/>
            <w:vMerge w:val="continue"/>
            <w:vAlign w:val="center"/>
          </w:tcPr>
          <w:p>
            <w:pPr>
              <w:jc w:val="center"/>
              <w:rPr>
                <w:rFonts w:hint="eastAsia" w:ascii="宋体" w:hAnsi="宋体"/>
                <w:color w:val="auto"/>
                <w:sz w:val="24"/>
                <w:szCs w:val="24"/>
                <w:vertAlign w:val="baseline"/>
                <w:lang w:eastAsia="zh-CN"/>
              </w:rPr>
            </w:pPr>
          </w:p>
        </w:tc>
        <w:tc>
          <w:tcPr>
            <w:tcW w:w="2040" w:type="dxa"/>
            <w:vMerge w:val="continue"/>
            <w:vAlign w:val="center"/>
          </w:tcPr>
          <w:p>
            <w:pPr>
              <w:jc w:val="center"/>
              <w:rPr>
                <w:rFonts w:hint="eastAsia" w:ascii="宋体" w:hAnsi="宋体"/>
                <w:color w:val="auto"/>
                <w:sz w:val="24"/>
                <w:szCs w:val="24"/>
                <w:vertAlign w:val="baseline"/>
                <w:lang w:eastAsia="zh-CN"/>
              </w:rPr>
            </w:pP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5476</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711.88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春季学期</w:t>
            </w:r>
          </w:p>
        </w:tc>
        <w:tc>
          <w:tcPr>
            <w:tcW w:w="1512" w:type="dxa"/>
            <w:vMerge w:val="continue"/>
            <w:vAlign w:val="center"/>
          </w:tcPr>
          <w:p>
            <w:pPr>
              <w:ind w:left="0" w:leftChars="0" w:firstLine="0" w:firstLineChars="0"/>
              <w:jc w:val="both"/>
              <w:rPr>
                <w:rFonts w:hint="eastAsia" w:ascii="宋体" w:hAnsi="宋体"/>
                <w:color w:val="auto"/>
                <w:sz w:val="24"/>
                <w:szCs w:val="24"/>
              </w:rPr>
            </w:pPr>
          </w:p>
        </w:tc>
        <w:tc>
          <w:tcPr>
            <w:tcW w:w="2040" w:type="dxa"/>
            <w:vMerge w:val="restart"/>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rPr>
              <w:t>国家助学金</w:t>
            </w: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545</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秋季学期</w:t>
            </w:r>
          </w:p>
        </w:tc>
        <w:tc>
          <w:tcPr>
            <w:tcW w:w="1512" w:type="dxa"/>
            <w:vMerge w:val="continue"/>
            <w:vAlign w:val="center"/>
          </w:tcPr>
          <w:p>
            <w:pPr>
              <w:jc w:val="center"/>
              <w:rPr>
                <w:rFonts w:hint="eastAsia" w:ascii="宋体" w:hAnsi="宋体"/>
                <w:color w:val="auto"/>
                <w:sz w:val="24"/>
                <w:szCs w:val="24"/>
                <w:vertAlign w:val="baseline"/>
                <w:lang w:eastAsia="zh-CN"/>
              </w:rPr>
            </w:pPr>
          </w:p>
        </w:tc>
        <w:tc>
          <w:tcPr>
            <w:tcW w:w="2040" w:type="dxa"/>
            <w:vMerge w:val="continue"/>
            <w:vAlign w:val="center"/>
          </w:tcPr>
          <w:p>
            <w:pPr>
              <w:jc w:val="center"/>
              <w:rPr>
                <w:rFonts w:hint="eastAsia" w:ascii="宋体" w:hAnsi="宋体"/>
                <w:color w:val="auto"/>
                <w:sz w:val="24"/>
                <w:szCs w:val="24"/>
                <w:vertAlign w:val="baseline"/>
                <w:lang w:eastAsia="zh-CN"/>
              </w:rPr>
            </w:pP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1053</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15" w:type="dxa"/>
            <w:vAlign w:val="center"/>
          </w:tcPr>
          <w:p>
            <w:pPr>
              <w:ind w:left="0" w:leftChars="0" w:firstLine="0" w:firstLineChars="0"/>
              <w:jc w:val="both"/>
              <w:rPr>
                <w:rFonts w:hint="eastAsia" w:ascii="宋体" w:hAnsi="宋体" w:eastAsia="宋体" w:cs="黑体"/>
                <w:color w:val="auto"/>
                <w:kern w:val="2"/>
                <w:sz w:val="24"/>
                <w:szCs w:val="24"/>
                <w:vertAlign w:val="baseline"/>
                <w:lang w:val="en-US" w:eastAsia="zh-CN" w:bidi="ar-SA"/>
              </w:rPr>
            </w:pPr>
            <w:r>
              <w:rPr>
                <w:rFonts w:hint="eastAsia" w:ascii="宋体" w:hAnsi="宋体"/>
                <w:color w:val="auto"/>
                <w:sz w:val="24"/>
                <w:szCs w:val="24"/>
                <w:vertAlign w:val="baseline"/>
                <w:lang w:eastAsia="zh-CN"/>
              </w:rPr>
              <w:t>春季学期</w:t>
            </w:r>
          </w:p>
        </w:tc>
        <w:tc>
          <w:tcPr>
            <w:tcW w:w="1512" w:type="dxa"/>
            <w:vMerge w:val="continue"/>
            <w:vAlign w:val="center"/>
          </w:tcPr>
          <w:p>
            <w:pPr>
              <w:ind w:left="0" w:leftChars="0" w:firstLine="0" w:firstLineChars="0"/>
              <w:jc w:val="both"/>
              <w:rPr>
                <w:rFonts w:hint="eastAsia" w:ascii="宋体" w:hAnsi="宋体"/>
                <w:color w:val="auto"/>
                <w:sz w:val="24"/>
                <w:szCs w:val="24"/>
              </w:rPr>
            </w:pPr>
          </w:p>
        </w:tc>
        <w:tc>
          <w:tcPr>
            <w:tcW w:w="2040" w:type="dxa"/>
            <w:vMerge w:val="restart"/>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rPr>
              <w:t>涉农专业免住宿费教材费</w:t>
            </w: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21</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eastAsia="宋体" w:cs="黑体"/>
                <w:color w:val="auto"/>
                <w:kern w:val="2"/>
                <w:sz w:val="24"/>
                <w:szCs w:val="24"/>
                <w:vertAlign w:val="baseline"/>
                <w:lang w:val="en-US" w:eastAsia="zh-CN" w:bidi="ar-SA"/>
              </w:rPr>
            </w:pPr>
            <w:r>
              <w:rPr>
                <w:rFonts w:hint="eastAsia" w:ascii="宋体" w:hAnsi="宋体"/>
                <w:color w:val="auto"/>
                <w:sz w:val="24"/>
                <w:szCs w:val="24"/>
                <w:vertAlign w:val="baseline"/>
                <w:lang w:eastAsia="zh-CN"/>
              </w:rPr>
              <w:t>秋季学期</w:t>
            </w:r>
          </w:p>
        </w:tc>
        <w:tc>
          <w:tcPr>
            <w:tcW w:w="1512" w:type="dxa"/>
            <w:vMerge w:val="continue"/>
            <w:vAlign w:val="center"/>
          </w:tcPr>
          <w:p>
            <w:pPr>
              <w:jc w:val="center"/>
              <w:rPr>
                <w:rFonts w:hint="eastAsia" w:ascii="宋体" w:hAnsi="宋体"/>
                <w:color w:val="auto"/>
                <w:sz w:val="24"/>
                <w:szCs w:val="24"/>
                <w:vertAlign w:val="baseline"/>
                <w:lang w:eastAsia="zh-CN"/>
              </w:rPr>
            </w:pPr>
          </w:p>
        </w:tc>
        <w:tc>
          <w:tcPr>
            <w:tcW w:w="2040" w:type="dxa"/>
            <w:vMerge w:val="continue"/>
            <w:vAlign w:val="center"/>
          </w:tcPr>
          <w:p>
            <w:pPr>
              <w:jc w:val="center"/>
              <w:rPr>
                <w:rFonts w:hint="eastAsia" w:ascii="宋体" w:hAnsi="宋体"/>
                <w:color w:val="auto"/>
                <w:sz w:val="24"/>
                <w:szCs w:val="24"/>
                <w:vertAlign w:val="baseline"/>
                <w:lang w:eastAsia="zh-CN"/>
              </w:rPr>
            </w:pP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10</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春季学期</w:t>
            </w:r>
          </w:p>
        </w:tc>
        <w:tc>
          <w:tcPr>
            <w:tcW w:w="1512" w:type="dxa"/>
            <w:vMerge w:val="continue"/>
            <w:vAlign w:val="center"/>
          </w:tcPr>
          <w:p>
            <w:pPr>
              <w:ind w:left="0" w:leftChars="0" w:firstLine="0" w:firstLineChars="0"/>
              <w:jc w:val="both"/>
              <w:rPr>
                <w:rFonts w:hint="eastAsia" w:ascii="宋体" w:hAnsi="宋体"/>
                <w:color w:val="auto"/>
                <w:sz w:val="24"/>
                <w:szCs w:val="24"/>
                <w:vertAlign w:val="baseline"/>
                <w:lang w:eastAsia="zh-CN"/>
              </w:rPr>
            </w:pPr>
          </w:p>
        </w:tc>
        <w:tc>
          <w:tcPr>
            <w:tcW w:w="2040" w:type="dxa"/>
            <w:vMerge w:val="restart"/>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特困生免住宿费</w:t>
            </w: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675</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秋季学期</w:t>
            </w:r>
          </w:p>
        </w:tc>
        <w:tc>
          <w:tcPr>
            <w:tcW w:w="1512" w:type="dxa"/>
            <w:vMerge w:val="continue"/>
            <w:vAlign w:val="center"/>
          </w:tcPr>
          <w:p>
            <w:pPr>
              <w:jc w:val="center"/>
              <w:rPr>
                <w:rFonts w:hint="eastAsia" w:ascii="宋体" w:hAnsi="宋体"/>
                <w:color w:val="auto"/>
                <w:sz w:val="24"/>
                <w:szCs w:val="24"/>
                <w:vertAlign w:val="baseline"/>
                <w:lang w:eastAsia="zh-CN"/>
              </w:rPr>
            </w:pPr>
          </w:p>
        </w:tc>
        <w:tc>
          <w:tcPr>
            <w:tcW w:w="2040" w:type="dxa"/>
            <w:vMerge w:val="continue"/>
            <w:vAlign w:val="center"/>
          </w:tcPr>
          <w:p>
            <w:pPr>
              <w:jc w:val="center"/>
              <w:rPr>
                <w:rFonts w:hint="eastAsia" w:ascii="宋体" w:hAnsi="宋体"/>
                <w:color w:val="auto"/>
                <w:sz w:val="24"/>
                <w:szCs w:val="24"/>
                <w:vertAlign w:val="baseline"/>
                <w:lang w:eastAsia="zh-CN"/>
              </w:rPr>
            </w:pP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1037</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31.11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春季学期</w:t>
            </w:r>
          </w:p>
        </w:tc>
        <w:tc>
          <w:tcPr>
            <w:tcW w:w="1512" w:type="dxa"/>
            <w:vMerge w:val="restart"/>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校内资助</w:t>
            </w:r>
          </w:p>
        </w:tc>
        <w:tc>
          <w:tcPr>
            <w:tcW w:w="2040" w:type="dxa"/>
            <w:vMerge w:val="restart"/>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校内免住宿费</w:t>
            </w: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1025</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30.75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秋季学期</w:t>
            </w:r>
          </w:p>
        </w:tc>
        <w:tc>
          <w:tcPr>
            <w:tcW w:w="1512" w:type="dxa"/>
            <w:vMerge w:val="continue"/>
            <w:vAlign w:val="center"/>
          </w:tcPr>
          <w:p>
            <w:pPr>
              <w:jc w:val="center"/>
              <w:rPr>
                <w:rFonts w:hint="eastAsia" w:ascii="宋体" w:hAnsi="宋体"/>
                <w:color w:val="auto"/>
                <w:sz w:val="24"/>
                <w:szCs w:val="24"/>
                <w:vertAlign w:val="baseline"/>
                <w:lang w:eastAsia="zh-CN"/>
              </w:rPr>
            </w:pPr>
          </w:p>
        </w:tc>
        <w:tc>
          <w:tcPr>
            <w:tcW w:w="2040" w:type="dxa"/>
            <w:vMerge w:val="continue"/>
            <w:vAlign w:val="center"/>
          </w:tcPr>
          <w:p>
            <w:pPr>
              <w:jc w:val="center"/>
              <w:rPr>
                <w:rFonts w:hint="eastAsia" w:ascii="宋体" w:hAnsi="宋体"/>
                <w:color w:val="auto"/>
                <w:sz w:val="24"/>
                <w:szCs w:val="24"/>
                <w:vertAlign w:val="baseline"/>
                <w:lang w:eastAsia="zh-CN"/>
              </w:rPr>
            </w:pP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808</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24.24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春季学期</w:t>
            </w:r>
          </w:p>
        </w:tc>
        <w:tc>
          <w:tcPr>
            <w:tcW w:w="1512" w:type="dxa"/>
            <w:vMerge w:val="continue"/>
            <w:vAlign w:val="center"/>
          </w:tcPr>
          <w:p>
            <w:pPr>
              <w:jc w:val="center"/>
              <w:rPr>
                <w:rFonts w:hint="eastAsia" w:ascii="宋体" w:hAnsi="宋体"/>
                <w:color w:val="auto"/>
                <w:sz w:val="24"/>
                <w:szCs w:val="24"/>
                <w:vertAlign w:val="baseline"/>
                <w:lang w:eastAsia="zh-CN"/>
              </w:rPr>
            </w:pPr>
          </w:p>
        </w:tc>
        <w:tc>
          <w:tcPr>
            <w:tcW w:w="2040" w:type="dxa"/>
            <w:vMerge w:val="restart"/>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rPr>
              <w:t>校内免课本费</w:t>
            </w: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1696</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33.92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秋季学期</w:t>
            </w:r>
          </w:p>
        </w:tc>
        <w:tc>
          <w:tcPr>
            <w:tcW w:w="1512" w:type="dxa"/>
            <w:vMerge w:val="continue"/>
            <w:vAlign w:val="center"/>
          </w:tcPr>
          <w:p>
            <w:pPr>
              <w:jc w:val="center"/>
              <w:rPr>
                <w:rFonts w:hint="eastAsia" w:ascii="宋体" w:hAnsi="宋体"/>
                <w:color w:val="auto"/>
                <w:sz w:val="24"/>
                <w:szCs w:val="24"/>
                <w:vertAlign w:val="baseline"/>
                <w:lang w:eastAsia="zh-CN"/>
              </w:rPr>
            </w:pPr>
          </w:p>
        </w:tc>
        <w:tc>
          <w:tcPr>
            <w:tcW w:w="2040" w:type="dxa"/>
            <w:vMerge w:val="continue"/>
            <w:vAlign w:val="center"/>
          </w:tcPr>
          <w:p>
            <w:pPr>
              <w:jc w:val="center"/>
              <w:rPr>
                <w:rFonts w:hint="eastAsia" w:ascii="宋体" w:hAnsi="宋体"/>
                <w:color w:val="auto"/>
                <w:sz w:val="24"/>
                <w:szCs w:val="24"/>
                <w:vertAlign w:val="baseline"/>
                <w:lang w:eastAsia="zh-CN"/>
              </w:rPr>
            </w:pP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1856</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37.12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春季学期</w:t>
            </w:r>
          </w:p>
        </w:tc>
        <w:tc>
          <w:tcPr>
            <w:tcW w:w="1512" w:type="dxa"/>
            <w:vMerge w:val="continue"/>
            <w:vAlign w:val="center"/>
          </w:tcPr>
          <w:p>
            <w:pPr>
              <w:jc w:val="center"/>
              <w:rPr>
                <w:rFonts w:hint="eastAsia" w:ascii="宋体" w:hAnsi="宋体"/>
                <w:color w:val="auto"/>
                <w:sz w:val="24"/>
                <w:szCs w:val="24"/>
                <w:vertAlign w:val="baseline"/>
                <w:lang w:eastAsia="zh-CN"/>
              </w:rPr>
            </w:pPr>
          </w:p>
        </w:tc>
        <w:tc>
          <w:tcPr>
            <w:tcW w:w="2040" w:type="dxa"/>
            <w:vMerge w:val="restart"/>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校内资助</w:t>
            </w: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1403</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144.425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秋季学期</w:t>
            </w:r>
          </w:p>
        </w:tc>
        <w:tc>
          <w:tcPr>
            <w:tcW w:w="1512" w:type="dxa"/>
            <w:vMerge w:val="continue"/>
            <w:vAlign w:val="center"/>
          </w:tcPr>
          <w:p>
            <w:pPr>
              <w:jc w:val="center"/>
              <w:rPr>
                <w:rFonts w:hint="eastAsia" w:ascii="宋体" w:hAnsi="宋体"/>
                <w:color w:val="auto"/>
                <w:sz w:val="24"/>
                <w:szCs w:val="24"/>
                <w:vertAlign w:val="baseline"/>
                <w:lang w:eastAsia="zh-CN"/>
              </w:rPr>
            </w:pPr>
          </w:p>
        </w:tc>
        <w:tc>
          <w:tcPr>
            <w:tcW w:w="2040" w:type="dxa"/>
            <w:vMerge w:val="continue"/>
            <w:vAlign w:val="center"/>
          </w:tcPr>
          <w:p>
            <w:pPr>
              <w:jc w:val="center"/>
              <w:rPr>
                <w:rFonts w:hint="eastAsia" w:ascii="宋体" w:hAnsi="宋体"/>
                <w:color w:val="auto"/>
                <w:sz w:val="24"/>
                <w:szCs w:val="24"/>
                <w:vertAlign w:val="baseline"/>
                <w:lang w:eastAsia="zh-CN"/>
              </w:rPr>
            </w:pP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1209</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107.775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秋季学期</w:t>
            </w:r>
          </w:p>
        </w:tc>
        <w:tc>
          <w:tcPr>
            <w:tcW w:w="1512" w:type="dxa"/>
            <w:vMerge w:val="continue"/>
            <w:vAlign w:val="center"/>
          </w:tcPr>
          <w:p>
            <w:pPr>
              <w:jc w:val="center"/>
              <w:rPr>
                <w:rFonts w:hint="eastAsia" w:ascii="宋体" w:hAnsi="宋体"/>
                <w:color w:val="auto"/>
                <w:sz w:val="24"/>
                <w:szCs w:val="24"/>
                <w:vertAlign w:val="baseline"/>
                <w:lang w:eastAsia="zh-CN"/>
              </w:rPr>
            </w:pPr>
          </w:p>
        </w:tc>
        <w:tc>
          <w:tcPr>
            <w:tcW w:w="2040" w:type="dxa"/>
            <w:vAlign w:val="center"/>
          </w:tcPr>
          <w:p>
            <w:pPr>
              <w:ind w:left="0" w:leftChars="0" w:firstLine="0" w:firstLineChars="0"/>
              <w:jc w:val="both"/>
              <w:rPr>
                <w:rFonts w:hint="eastAsia" w:ascii="宋体" w:hAnsi="宋体"/>
                <w:color w:val="auto"/>
                <w:sz w:val="24"/>
                <w:szCs w:val="24"/>
                <w:vertAlign w:val="baseline"/>
                <w:lang w:eastAsia="zh-CN"/>
              </w:rPr>
            </w:pPr>
            <w:r>
              <w:rPr>
                <w:rFonts w:hint="eastAsia" w:ascii="宋体" w:hAnsi="宋体"/>
                <w:color w:val="auto"/>
                <w:sz w:val="24"/>
                <w:szCs w:val="24"/>
                <w:vertAlign w:val="baseline"/>
                <w:lang w:eastAsia="zh-CN"/>
              </w:rPr>
              <w:t>免校服费</w:t>
            </w:r>
          </w:p>
        </w:tc>
        <w:tc>
          <w:tcPr>
            <w:tcW w:w="1890"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2247</w:t>
            </w:r>
          </w:p>
        </w:tc>
        <w:tc>
          <w:tcPr>
            <w:tcW w:w="2205" w:type="dxa"/>
            <w:vAlign w:val="center"/>
          </w:tcPr>
          <w:p>
            <w:pPr>
              <w:ind w:left="0" w:leftChars="0" w:firstLine="0" w:firstLineChars="0"/>
              <w:jc w:val="both"/>
              <w:rPr>
                <w:rFonts w:hint="default" w:ascii="宋体" w:hAnsi="宋体"/>
                <w:color w:val="auto"/>
                <w:sz w:val="24"/>
                <w:szCs w:val="24"/>
                <w:vertAlign w:val="baseline"/>
                <w:lang w:val="en-US" w:eastAsia="zh-CN"/>
              </w:rPr>
            </w:pPr>
            <w:r>
              <w:rPr>
                <w:rFonts w:hint="eastAsia" w:ascii="宋体" w:hAnsi="宋体"/>
                <w:color w:val="auto"/>
                <w:sz w:val="24"/>
                <w:szCs w:val="24"/>
                <w:vertAlign w:val="baseline"/>
                <w:lang w:val="en-US" w:eastAsia="zh-CN"/>
              </w:rPr>
              <w:t>66.0618</w:t>
            </w:r>
          </w:p>
        </w:tc>
      </w:tr>
    </w:tbl>
    <w:p>
      <w:pPr>
        <w:ind w:firstLine="560"/>
        <w:rPr>
          <w:rFonts w:hint="eastAsia" w:ascii="宋体" w:hAnsi="宋体"/>
          <w:color w:val="auto"/>
        </w:rPr>
      </w:pPr>
      <w:r>
        <w:rPr>
          <w:rFonts w:hint="eastAsia" w:ascii="宋体" w:hAnsi="宋体"/>
          <w:color w:val="auto"/>
        </w:rPr>
        <w:t>2019年我校学生获国家奖学金10人，共计6万元；获省优秀学生奖学金70人，共计14万元；获校内奖学金470人，共计16.77万元；获校内三好学生奖学金41人，共计0.82万元；获校内优秀班干部奖学金245人，共计2.45万元。</w:t>
      </w:r>
    </w:p>
    <w:p>
      <w:pPr>
        <w:ind w:firstLine="560"/>
        <w:rPr>
          <w:rFonts w:ascii="宋体" w:hAnsi="宋体"/>
          <w:color w:val="auto"/>
        </w:rPr>
      </w:pPr>
      <w:r>
        <w:rPr>
          <w:rFonts w:hint="eastAsia" w:ascii="宋体" w:hAnsi="宋体"/>
          <w:color w:val="auto"/>
        </w:rPr>
        <w:t>2019年我校学生获海口昌盛达实业有限公司捐助的昌盛达奖学金2万元；获海南思香源食品有限公司捐助思香源扶贫励志奖学金7.31万元；获海南万菊餐饮经营管理有限公司捐助物资计0.59万元、职初生生活困难补助金1.25万元，共计1.84万元。</w:t>
      </w:r>
    </w:p>
    <w:p>
      <w:pPr>
        <w:pStyle w:val="3"/>
        <w:spacing w:beforeLines="0"/>
        <w:ind w:firstLine="602"/>
        <w:rPr>
          <w:color w:val="auto"/>
          <w:shd w:val="clear" w:color="auto" w:fill="FFFFFF"/>
        </w:rPr>
      </w:pPr>
      <w:bookmarkStart w:id="9" w:name="_Toc5009"/>
      <w:r>
        <w:rPr>
          <w:rFonts w:hint="eastAsia"/>
          <w:color w:val="auto"/>
          <w:shd w:val="clear" w:color="auto" w:fill="FFFFFF"/>
        </w:rPr>
        <w:t>（四）就业质量</w:t>
      </w:r>
      <w:bookmarkEnd w:id="9"/>
    </w:p>
    <w:tbl>
      <w:tblPr>
        <w:tblStyle w:val="12"/>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1911"/>
        <w:gridCol w:w="1854"/>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592" w:type="dxa"/>
            <w:noWrap w:val="0"/>
            <w:vAlign w:val="top"/>
          </w:tcPr>
          <w:p>
            <w:pPr>
              <w:ind w:firstLine="0" w:firstLineChars="0"/>
              <w:rPr>
                <w:rFonts w:ascii="Times New Roman" w:hAnsi="Times New Roman" w:cs="Times New Roman"/>
                <w:b/>
                <w:bCs/>
                <w:color w:val="auto"/>
              </w:rPr>
            </w:pPr>
            <w:r>
              <w:rPr>
                <w:rFonts w:hint="eastAsia" w:ascii="Times New Roman" w:hAnsi="Times New Roman" w:cs="Times New Roman"/>
                <w:b/>
                <w:bCs/>
                <w:color w:val="auto"/>
              </w:rPr>
              <w:t>项目</w:t>
            </w:r>
          </w:p>
        </w:tc>
        <w:tc>
          <w:tcPr>
            <w:tcW w:w="1911" w:type="dxa"/>
            <w:noWrap w:val="0"/>
            <w:vAlign w:val="top"/>
          </w:tcPr>
          <w:p>
            <w:pPr>
              <w:ind w:firstLine="0" w:firstLineChars="0"/>
              <w:jc w:val="center"/>
              <w:rPr>
                <w:rFonts w:ascii="Times New Roman" w:hAnsi="Times New Roman" w:cs="Times New Roman"/>
                <w:b/>
                <w:bCs/>
                <w:color w:val="auto"/>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8</w:t>
            </w:r>
            <w:r>
              <w:rPr>
                <w:rFonts w:hint="eastAsia" w:ascii="Times New Roman" w:hAnsi="Times New Roman" w:cs="Times New Roman"/>
                <w:b/>
                <w:bCs/>
                <w:color w:val="auto"/>
              </w:rPr>
              <w:t>年</w:t>
            </w:r>
          </w:p>
        </w:tc>
        <w:tc>
          <w:tcPr>
            <w:tcW w:w="1854" w:type="dxa"/>
            <w:noWrap w:val="0"/>
            <w:vAlign w:val="top"/>
          </w:tcPr>
          <w:p>
            <w:pPr>
              <w:ind w:firstLine="0" w:firstLineChars="0"/>
              <w:jc w:val="center"/>
              <w:rPr>
                <w:rFonts w:hint="eastAsia" w:ascii="Times New Roman" w:hAnsi="Times New Roman" w:cs="Times New Roman"/>
                <w:b/>
                <w:bCs/>
                <w:color w:val="auto"/>
              </w:rPr>
            </w:pPr>
            <w:r>
              <w:rPr>
                <w:rFonts w:hint="eastAsia" w:ascii="Times New Roman" w:hAnsi="Times New Roman" w:cs="Times New Roman"/>
                <w:b/>
                <w:bCs/>
                <w:color w:val="auto"/>
              </w:rPr>
              <w:t>201</w:t>
            </w:r>
            <w:r>
              <w:rPr>
                <w:rFonts w:hint="eastAsia" w:ascii="Times New Roman" w:hAnsi="Times New Roman" w:cs="Times New Roman"/>
                <w:b/>
                <w:bCs/>
                <w:color w:val="auto"/>
                <w:lang w:val="en-US" w:eastAsia="zh-CN"/>
              </w:rPr>
              <w:t>9</w:t>
            </w:r>
            <w:r>
              <w:rPr>
                <w:rFonts w:hint="eastAsia" w:ascii="Times New Roman" w:hAnsi="Times New Roman" w:cs="Times New Roman"/>
                <w:b/>
                <w:bCs/>
                <w:color w:val="auto"/>
              </w:rPr>
              <w:t>年</w:t>
            </w:r>
          </w:p>
        </w:tc>
        <w:tc>
          <w:tcPr>
            <w:tcW w:w="2565" w:type="dxa"/>
            <w:noWrap w:val="0"/>
            <w:vAlign w:val="top"/>
          </w:tcPr>
          <w:p>
            <w:pPr>
              <w:ind w:firstLine="0" w:firstLineChars="0"/>
              <w:jc w:val="center"/>
              <w:rPr>
                <w:rFonts w:ascii="Times New Roman" w:hAnsi="Times New Roman" w:cs="Times New Roman"/>
                <w:b/>
                <w:bCs/>
                <w:color w:val="auto"/>
              </w:rPr>
            </w:pPr>
            <w:r>
              <w:rPr>
                <w:rFonts w:hint="eastAsia" w:ascii="Times New Roman" w:hAnsi="Times New Roman" w:cs="Times New Roman"/>
                <w:b/>
                <w:bCs/>
                <w:color w:val="auto"/>
              </w:rPr>
              <w:t>与上一年度相比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592" w:type="dxa"/>
            <w:noWrap w:val="0"/>
            <w:vAlign w:val="top"/>
          </w:tcPr>
          <w:p>
            <w:pPr>
              <w:ind w:firstLine="0" w:firstLineChars="0"/>
              <w:rPr>
                <w:rFonts w:hint="default" w:ascii="Times New Roman" w:hAnsi="Times New Roman" w:eastAsia="宋体" w:cs="Times New Roman"/>
                <w:color w:val="auto"/>
                <w:lang w:val="en-US" w:eastAsia="zh-CN"/>
              </w:rPr>
            </w:pPr>
            <w:r>
              <w:rPr>
                <w:rFonts w:hint="eastAsia" w:ascii="宋体" w:hAnsi="宋体" w:cs="Times New Roman"/>
                <w:color w:val="auto"/>
                <w:kern w:val="0"/>
                <w:szCs w:val="28"/>
              </w:rPr>
              <w:t>毕业人数</w:t>
            </w:r>
            <w:r>
              <w:rPr>
                <w:rFonts w:hint="eastAsia" w:ascii="宋体" w:hAnsi="宋体" w:cs="Times New Roman"/>
                <w:color w:val="auto"/>
                <w:kern w:val="0"/>
                <w:szCs w:val="28"/>
                <w:lang w:val="en-US" w:eastAsia="zh-CN"/>
              </w:rPr>
              <w:t>(人)</w:t>
            </w:r>
          </w:p>
        </w:tc>
        <w:tc>
          <w:tcPr>
            <w:tcW w:w="1911" w:type="dxa"/>
            <w:noWrap w:val="0"/>
            <w:vAlign w:val="top"/>
          </w:tcPr>
          <w:p>
            <w:pPr>
              <w:ind w:firstLine="0" w:firstLineChars="0"/>
              <w:jc w:val="center"/>
              <w:rPr>
                <w:rFonts w:ascii="宋体" w:hAnsi="宋体" w:cs="Times New Roman"/>
                <w:color w:val="auto"/>
              </w:rPr>
            </w:pPr>
            <w:r>
              <w:rPr>
                <w:rFonts w:hint="eastAsia" w:ascii="宋体" w:hAnsi="宋体" w:cs="宋体"/>
                <w:bCs/>
                <w:color w:val="auto"/>
                <w:sz w:val="30"/>
                <w:szCs w:val="30"/>
              </w:rPr>
              <w:t>1463</w:t>
            </w:r>
          </w:p>
        </w:tc>
        <w:tc>
          <w:tcPr>
            <w:tcW w:w="1854" w:type="dxa"/>
            <w:noWrap w:val="0"/>
            <w:vAlign w:val="top"/>
          </w:tcPr>
          <w:p>
            <w:pPr>
              <w:ind w:firstLine="0" w:firstLineChars="0"/>
              <w:jc w:val="center"/>
              <w:rPr>
                <w:rFonts w:ascii="宋体" w:hAnsi="宋体" w:cs="宋体"/>
                <w:bCs/>
                <w:color w:val="auto"/>
                <w:sz w:val="30"/>
                <w:szCs w:val="30"/>
              </w:rPr>
            </w:pPr>
            <w:r>
              <w:rPr>
                <w:rFonts w:hint="eastAsia" w:ascii="宋体" w:hAnsi="宋体" w:cs="Times New Roman"/>
                <w:color w:val="auto"/>
              </w:rPr>
              <w:t>1595</w:t>
            </w:r>
          </w:p>
        </w:tc>
        <w:tc>
          <w:tcPr>
            <w:tcW w:w="2565" w:type="dxa"/>
            <w:noWrap w:val="0"/>
            <w:vAlign w:val="top"/>
          </w:tcPr>
          <w:p>
            <w:pPr>
              <w:ind w:firstLine="0" w:firstLineChars="0"/>
              <w:jc w:val="center"/>
              <w:rPr>
                <w:rFonts w:ascii="宋体" w:hAnsi="宋体" w:cs="Times New Roman"/>
                <w:color w:val="auto"/>
              </w:rPr>
            </w:pPr>
            <w:r>
              <w:rPr>
                <w:rFonts w:hint="eastAsia" w:ascii="宋体" w:hAnsi="宋体" w:cs="Times New Roman"/>
                <w:color w:val="auto"/>
              </w:rPr>
              <w:t>+9.02%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592" w:type="dxa"/>
            <w:noWrap w:val="0"/>
            <w:vAlign w:val="top"/>
          </w:tcPr>
          <w:p>
            <w:pPr>
              <w:ind w:firstLine="0" w:firstLineChars="0"/>
              <w:rPr>
                <w:rFonts w:ascii="Times New Roman" w:hAnsi="Times New Roman" w:cs="Times New Roman"/>
                <w:color w:val="auto"/>
              </w:rPr>
            </w:pPr>
            <w:r>
              <w:rPr>
                <w:rFonts w:hint="eastAsia" w:ascii="宋体" w:hAnsi="宋体" w:cs="Times New Roman"/>
                <w:color w:val="auto"/>
                <w:kern w:val="0"/>
                <w:szCs w:val="28"/>
              </w:rPr>
              <w:t>就业率</w:t>
            </w:r>
          </w:p>
        </w:tc>
        <w:tc>
          <w:tcPr>
            <w:tcW w:w="1911" w:type="dxa"/>
            <w:noWrap w:val="0"/>
            <w:vAlign w:val="top"/>
          </w:tcPr>
          <w:p>
            <w:pPr>
              <w:ind w:firstLine="0" w:firstLineChars="0"/>
              <w:jc w:val="center"/>
              <w:rPr>
                <w:rFonts w:ascii="宋体" w:hAnsi="宋体" w:cs="Times New Roman"/>
                <w:color w:val="auto"/>
              </w:rPr>
            </w:pPr>
            <w:r>
              <w:rPr>
                <w:rFonts w:hint="eastAsia" w:ascii="宋体" w:hAnsi="宋体" w:cs="宋体"/>
                <w:bCs/>
                <w:color w:val="auto"/>
                <w:sz w:val="30"/>
                <w:szCs w:val="30"/>
              </w:rPr>
              <w:t>98.43%</w:t>
            </w:r>
          </w:p>
        </w:tc>
        <w:tc>
          <w:tcPr>
            <w:tcW w:w="1854" w:type="dxa"/>
            <w:noWrap w:val="0"/>
            <w:vAlign w:val="top"/>
          </w:tcPr>
          <w:p>
            <w:pPr>
              <w:ind w:firstLine="0" w:firstLineChars="0"/>
              <w:jc w:val="center"/>
              <w:rPr>
                <w:rFonts w:ascii="宋体" w:hAnsi="宋体" w:cs="宋体"/>
                <w:bCs/>
                <w:color w:val="auto"/>
                <w:sz w:val="30"/>
                <w:szCs w:val="30"/>
              </w:rPr>
            </w:pPr>
            <w:r>
              <w:rPr>
                <w:rFonts w:hint="eastAsia" w:ascii="宋体" w:hAnsi="宋体" w:cs="Times New Roman"/>
                <w:color w:val="auto"/>
              </w:rPr>
              <w:t>96.68%</w:t>
            </w:r>
          </w:p>
        </w:tc>
        <w:tc>
          <w:tcPr>
            <w:tcW w:w="2565" w:type="dxa"/>
            <w:noWrap w:val="0"/>
            <w:vAlign w:val="top"/>
          </w:tcPr>
          <w:p>
            <w:pPr>
              <w:ind w:firstLine="0" w:firstLineChars="0"/>
              <w:jc w:val="center"/>
              <w:rPr>
                <w:rFonts w:ascii="宋体" w:hAnsi="宋体" w:cs="Times New Roman"/>
                <w:color w:val="auto"/>
              </w:rPr>
            </w:pPr>
            <w:r>
              <w:rPr>
                <w:rFonts w:hint="eastAsia" w:ascii="宋体" w:hAnsi="宋体" w:cs="Times New Roman"/>
                <w:color w:val="auto"/>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592" w:type="dxa"/>
            <w:noWrap w:val="0"/>
            <w:vAlign w:val="top"/>
          </w:tcPr>
          <w:p>
            <w:pPr>
              <w:ind w:firstLine="0" w:firstLineChars="0"/>
              <w:rPr>
                <w:rFonts w:ascii="Times New Roman" w:hAnsi="Times New Roman" w:cs="Times New Roman"/>
                <w:color w:val="auto"/>
              </w:rPr>
            </w:pPr>
            <w:r>
              <w:rPr>
                <w:rFonts w:hint="eastAsia" w:ascii="宋体" w:hAnsi="宋体" w:cs="Times New Roman"/>
                <w:color w:val="auto"/>
                <w:kern w:val="0"/>
                <w:szCs w:val="28"/>
              </w:rPr>
              <w:t>对口率</w:t>
            </w:r>
          </w:p>
        </w:tc>
        <w:tc>
          <w:tcPr>
            <w:tcW w:w="1911" w:type="dxa"/>
            <w:noWrap w:val="0"/>
            <w:vAlign w:val="top"/>
          </w:tcPr>
          <w:p>
            <w:pPr>
              <w:ind w:firstLine="0" w:firstLineChars="0"/>
              <w:jc w:val="center"/>
              <w:rPr>
                <w:rFonts w:ascii="宋体" w:hAnsi="宋体" w:cs="Times New Roman"/>
                <w:color w:val="auto"/>
              </w:rPr>
            </w:pPr>
            <w:r>
              <w:rPr>
                <w:rFonts w:hint="eastAsia" w:ascii="宋体" w:hAnsi="宋体" w:cs="宋体"/>
                <w:bCs/>
                <w:color w:val="auto"/>
                <w:sz w:val="30"/>
                <w:szCs w:val="30"/>
              </w:rPr>
              <w:t>74.3</w:t>
            </w:r>
            <w:r>
              <w:rPr>
                <w:rFonts w:ascii="宋体" w:hAnsi="宋体" w:cs="宋体"/>
                <w:bCs/>
                <w:color w:val="auto"/>
                <w:sz w:val="30"/>
                <w:szCs w:val="30"/>
              </w:rPr>
              <w:t>8</w:t>
            </w:r>
            <w:r>
              <w:rPr>
                <w:rFonts w:hint="eastAsia" w:ascii="宋体" w:hAnsi="宋体" w:cs="宋体"/>
                <w:bCs/>
                <w:color w:val="auto"/>
                <w:sz w:val="30"/>
                <w:szCs w:val="30"/>
              </w:rPr>
              <w:t>%</w:t>
            </w:r>
          </w:p>
        </w:tc>
        <w:tc>
          <w:tcPr>
            <w:tcW w:w="1854" w:type="dxa"/>
            <w:noWrap w:val="0"/>
            <w:vAlign w:val="top"/>
          </w:tcPr>
          <w:p>
            <w:pPr>
              <w:ind w:firstLine="0" w:firstLineChars="0"/>
              <w:jc w:val="center"/>
              <w:rPr>
                <w:rFonts w:ascii="宋体" w:hAnsi="宋体" w:cs="宋体"/>
                <w:bCs/>
                <w:color w:val="auto"/>
                <w:sz w:val="30"/>
                <w:szCs w:val="30"/>
              </w:rPr>
            </w:pPr>
            <w:r>
              <w:rPr>
                <w:rFonts w:hint="eastAsia" w:ascii="宋体" w:hAnsi="宋体" w:cs="Times New Roman"/>
                <w:color w:val="auto"/>
              </w:rPr>
              <w:t>72.11%</w:t>
            </w:r>
          </w:p>
        </w:tc>
        <w:tc>
          <w:tcPr>
            <w:tcW w:w="2565" w:type="dxa"/>
            <w:noWrap w:val="0"/>
            <w:vAlign w:val="top"/>
          </w:tcPr>
          <w:p>
            <w:pPr>
              <w:ind w:firstLine="0" w:firstLineChars="0"/>
              <w:jc w:val="center"/>
              <w:rPr>
                <w:rFonts w:ascii="宋体" w:hAnsi="宋体" w:cs="Times New Roman"/>
                <w:color w:val="auto"/>
              </w:rPr>
            </w:pPr>
            <w:r>
              <w:rPr>
                <w:rFonts w:hint="eastAsia" w:ascii="宋体" w:hAnsi="宋体" w:cs="Times New Roman"/>
                <w:color w:val="auto"/>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2592" w:type="dxa"/>
            <w:noWrap w:val="0"/>
            <w:vAlign w:val="top"/>
          </w:tcPr>
          <w:p>
            <w:pPr>
              <w:ind w:firstLine="0" w:firstLineChars="0"/>
              <w:rPr>
                <w:rFonts w:hint="eastAsia" w:ascii="Times New Roman" w:hAnsi="Times New Roman" w:eastAsia="宋体" w:cs="Times New Roman"/>
                <w:color w:val="auto"/>
                <w:lang w:eastAsia="zh-CN"/>
              </w:rPr>
            </w:pPr>
            <w:r>
              <w:rPr>
                <w:rFonts w:hint="eastAsia" w:ascii="宋体" w:hAnsi="宋体" w:cs="Times New Roman"/>
                <w:color w:val="auto"/>
                <w:kern w:val="0"/>
                <w:szCs w:val="28"/>
              </w:rPr>
              <w:t>初次就业收入</w:t>
            </w:r>
            <w:r>
              <w:rPr>
                <w:rFonts w:hint="eastAsia" w:ascii="宋体" w:hAnsi="宋体" w:cs="Times New Roman"/>
                <w:color w:val="auto"/>
                <w:kern w:val="0"/>
                <w:szCs w:val="28"/>
                <w:lang w:eastAsia="zh-CN"/>
              </w:rPr>
              <w:t>（元）</w:t>
            </w:r>
          </w:p>
        </w:tc>
        <w:tc>
          <w:tcPr>
            <w:tcW w:w="1911" w:type="dxa"/>
            <w:noWrap w:val="0"/>
            <w:vAlign w:val="top"/>
          </w:tcPr>
          <w:p>
            <w:pPr>
              <w:ind w:firstLine="0" w:firstLineChars="0"/>
              <w:jc w:val="center"/>
              <w:rPr>
                <w:rFonts w:ascii="宋体" w:hAnsi="宋体" w:cs="Times New Roman"/>
                <w:color w:val="auto"/>
              </w:rPr>
            </w:pPr>
            <w:r>
              <w:rPr>
                <w:rFonts w:hint="eastAsia" w:ascii="宋体" w:hAnsi="宋体" w:cs="宋体"/>
                <w:bCs/>
                <w:color w:val="auto"/>
                <w:sz w:val="30"/>
                <w:szCs w:val="30"/>
              </w:rPr>
              <w:t>2000</w:t>
            </w:r>
          </w:p>
        </w:tc>
        <w:tc>
          <w:tcPr>
            <w:tcW w:w="1854" w:type="dxa"/>
            <w:noWrap w:val="0"/>
            <w:vAlign w:val="top"/>
          </w:tcPr>
          <w:p>
            <w:pPr>
              <w:ind w:firstLine="0" w:firstLineChars="0"/>
              <w:jc w:val="center"/>
              <w:rPr>
                <w:rFonts w:ascii="宋体" w:hAnsi="宋体" w:cs="宋体"/>
                <w:bCs/>
                <w:color w:val="auto"/>
                <w:sz w:val="30"/>
                <w:szCs w:val="30"/>
              </w:rPr>
            </w:pPr>
            <w:r>
              <w:rPr>
                <w:rFonts w:hint="eastAsia" w:ascii="宋体" w:hAnsi="宋体" w:cs="Times New Roman"/>
                <w:color w:val="auto"/>
              </w:rPr>
              <w:t>2300</w:t>
            </w:r>
          </w:p>
        </w:tc>
        <w:tc>
          <w:tcPr>
            <w:tcW w:w="2565" w:type="dxa"/>
            <w:noWrap w:val="0"/>
            <w:vAlign w:val="top"/>
          </w:tcPr>
          <w:p>
            <w:pPr>
              <w:ind w:firstLine="0" w:firstLineChars="0"/>
              <w:jc w:val="center"/>
              <w:rPr>
                <w:rFonts w:hint="eastAsia" w:ascii="宋体" w:hAnsi="宋体" w:cs="Times New Roman"/>
                <w:color w:val="auto"/>
              </w:rPr>
            </w:pPr>
            <w:r>
              <w:rPr>
                <w:rFonts w:hint="eastAsia" w:ascii="宋体" w:hAnsi="宋体" w:cs="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2592" w:type="dxa"/>
            <w:noWrap w:val="0"/>
            <w:vAlign w:val="top"/>
          </w:tcPr>
          <w:p>
            <w:pPr>
              <w:ind w:firstLine="0" w:firstLineChars="0"/>
              <w:rPr>
                <w:rFonts w:hint="eastAsia" w:ascii="宋体" w:hAnsi="宋体" w:eastAsia="宋体" w:cs="Times New Roman"/>
                <w:color w:val="auto"/>
                <w:kern w:val="0"/>
                <w:szCs w:val="28"/>
                <w:lang w:eastAsia="zh-CN"/>
              </w:rPr>
            </w:pPr>
            <w:r>
              <w:rPr>
                <w:rFonts w:hint="eastAsia" w:ascii="宋体" w:hAnsi="宋体" w:cs="Times New Roman"/>
                <w:color w:val="auto"/>
                <w:kern w:val="0"/>
                <w:szCs w:val="28"/>
              </w:rPr>
              <w:t>升入高等教育</w:t>
            </w:r>
            <w:r>
              <w:rPr>
                <w:rFonts w:hint="eastAsia" w:ascii="宋体" w:hAnsi="宋体" w:cs="Times New Roman"/>
                <w:color w:val="auto"/>
                <w:kern w:val="0"/>
                <w:szCs w:val="28"/>
                <w:lang w:eastAsia="zh-CN"/>
              </w:rPr>
              <w:t>（人）</w:t>
            </w:r>
          </w:p>
        </w:tc>
        <w:tc>
          <w:tcPr>
            <w:tcW w:w="1911" w:type="dxa"/>
            <w:noWrap w:val="0"/>
            <w:vAlign w:val="top"/>
          </w:tcPr>
          <w:p>
            <w:pPr>
              <w:ind w:firstLine="0" w:firstLineChars="0"/>
              <w:jc w:val="center"/>
              <w:rPr>
                <w:rFonts w:ascii="宋体" w:hAnsi="宋体" w:cs="Times New Roman"/>
                <w:color w:val="auto"/>
              </w:rPr>
            </w:pPr>
            <w:r>
              <w:rPr>
                <w:rFonts w:hint="eastAsia" w:ascii="宋体" w:hAnsi="宋体" w:cs="宋体"/>
                <w:bCs/>
                <w:color w:val="auto"/>
                <w:sz w:val="30"/>
                <w:szCs w:val="30"/>
              </w:rPr>
              <w:t>190</w:t>
            </w:r>
          </w:p>
        </w:tc>
        <w:tc>
          <w:tcPr>
            <w:tcW w:w="1854" w:type="dxa"/>
            <w:noWrap w:val="0"/>
            <w:vAlign w:val="top"/>
          </w:tcPr>
          <w:p>
            <w:pPr>
              <w:ind w:firstLine="0" w:firstLineChars="0"/>
              <w:jc w:val="center"/>
              <w:rPr>
                <w:rFonts w:ascii="宋体" w:hAnsi="宋体" w:cs="宋体"/>
                <w:bCs/>
                <w:color w:val="auto"/>
                <w:sz w:val="30"/>
                <w:szCs w:val="30"/>
              </w:rPr>
            </w:pPr>
            <w:r>
              <w:rPr>
                <w:rFonts w:hint="eastAsia" w:ascii="宋体" w:hAnsi="宋体" w:cs="Times New Roman"/>
                <w:color w:val="auto"/>
              </w:rPr>
              <w:t>196</w:t>
            </w:r>
          </w:p>
        </w:tc>
        <w:tc>
          <w:tcPr>
            <w:tcW w:w="2565" w:type="dxa"/>
            <w:noWrap w:val="0"/>
            <w:vAlign w:val="top"/>
          </w:tcPr>
          <w:p>
            <w:pPr>
              <w:ind w:firstLine="0" w:firstLineChars="0"/>
              <w:jc w:val="center"/>
              <w:rPr>
                <w:rFonts w:ascii="宋体" w:hAnsi="宋体" w:cs="宋体"/>
                <w:bCs/>
                <w:color w:val="auto"/>
                <w:sz w:val="30"/>
                <w:szCs w:val="30"/>
              </w:rPr>
            </w:pPr>
            <w:r>
              <w:rPr>
                <w:rFonts w:hint="eastAsia" w:ascii="宋体" w:hAnsi="宋体" w:cs="宋体"/>
                <w:bCs/>
                <w:color w:val="auto"/>
                <w:sz w:val="30"/>
                <w:szCs w:val="30"/>
              </w:rPr>
              <w:t>+3.15%</w:t>
            </w:r>
          </w:p>
        </w:tc>
      </w:tr>
    </w:tbl>
    <w:p>
      <w:pPr>
        <w:pStyle w:val="3"/>
        <w:spacing w:beforeLines="0"/>
        <w:ind w:firstLine="602"/>
        <w:rPr>
          <w:rFonts w:hint="eastAsia"/>
          <w:color w:val="auto"/>
          <w:shd w:val="clear" w:color="auto" w:fill="FFFFFF"/>
        </w:rPr>
      </w:pPr>
      <w:bookmarkStart w:id="10" w:name="_Toc30348"/>
      <w:r>
        <w:rPr>
          <w:rFonts w:hint="eastAsia"/>
          <w:color w:val="auto"/>
          <w:shd w:val="clear" w:color="auto" w:fill="FFFFFF"/>
        </w:rPr>
        <w:t>（五）职业</w:t>
      </w:r>
      <w:r>
        <w:rPr>
          <w:color w:val="auto"/>
          <w:shd w:val="clear" w:color="auto" w:fill="FFFFFF"/>
        </w:rPr>
        <w:t>发展</w:t>
      </w:r>
      <w:bookmarkEnd w:id="10"/>
    </w:p>
    <w:p>
      <w:pPr>
        <w:spacing w:line="360" w:lineRule="auto"/>
        <w:ind w:firstLine="560"/>
        <w:rPr>
          <w:rFonts w:hint="eastAsia" w:ascii="宋体" w:hAnsi="宋体"/>
          <w:color w:val="auto"/>
        </w:rPr>
      </w:pPr>
      <w:r>
        <w:rPr>
          <w:rFonts w:hint="eastAsia" w:ascii="宋体" w:hAnsi="宋体"/>
          <w:color w:val="auto"/>
        </w:rPr>
        <w:t>学校遵循学生成长规律和职业能力形成规律，保护学生合法权益；坚持理论与实践相结合，强化校企协同育人，将职业精神养成教育贯穿学生实习的全过程，促进职业技能与职业精神高度融合，服务学生全面发展。为了让学生提前体验企业生活，以各专业实训室及体验店为载体，积极开展职业生涯规划和就业创业活动，通过活动了解、熟悉今后就业创业的程序，通过教师带学生开展模拟经营，对客人服务的技能质量、服务态度及营销手段等，既检验了教师的技能教学和学生掌握的技能水平，学生也掌握的营销内容等课本外知识，丰富了课堂知识。此外，学校还根据各专业每学期的课程情况，安排学生到企业进行观摩学习和跟岗实习及顶岗实习，跟上企业的步伐，了解企业需求的技术，并与课程理论相结合，真正达到职业教育的最终目的。</w:t>
      </w:r>
    </w:p>
    <w:p>
      <w:pPr>
        <w:spacing w:line="360" w:lineRule="auto"/>
        <w:ind w:firstLine="560"/>
        <w:rPr>
          <w:rFonts w:hint="eastAsia" w:ascii="宋体" w:hAnsi="宋体"/>
          <w:color w:val="auto"/>
        </w:rPr>
      </w:pPr>
      <w:r>
        <w:rPr>
          <w:rFonts w:hint="eastAsia" w:ascii="宋体" w:hAnsi="宋体"/>
          <w:color w:val="auto"/>
        </w:rPr>
        <w:t>学校还积极搭建中高职教育立交桥，拓宽学生毕业后的发展方向，与海南经贸职业技术学院联办会计电算化专业和中餐膳食与营养专业中高职“3+2”分段培养试点项目，与三亚航空旅游职业学院联办航空服务专业中高职“3+2”分段培养试点项目，与海南科技职业学院联办汽车运用与维修专业中高职“3+2”分段培养试点项目，与海南软件职业学院联办计算机应用专业中高职“3+2”分段培养试点项目</w:t>
      </w:r>
      <w:r>
        <w:rPr>
          <w:rFonts w:hint="eastAsia" w:ascii="宋体" w:hAnsi="宋体"/>
          <w:color w:val="auto"/>
          <w:lang w:eastAsia="zh-CN"/>
        </w:rPr>
        <w:t>，</w:t>
      </w:r>
      <w:r>
        <w:rPr>
          <w:rFonts w:hint="eastAsia" w:ascii="宋体" w:hAnsi="宋体"/>
          <w:color w:val="auto"/>
        </w:rPr>
        <w:t>201</w:t>
      </w:r>
      <w:r>
        <w:rPr>
          <w:rFonts w:hint="eastAsia" w:ascii="宋体" w:hAnsi="宋体"/>
          <w:color w:val="auto"/>
          <w:lang w:val="en-US" w:eastAsia="zh-CN"/>
        </w:rPr>
        <w:t>9</w:t>
      </w:r>
      <w:r>
        <w:rPr>
          <w:rFonts w:hint="eastAsia" w:ascii="宋体" w:hAnsi="宋体"/>
          <w:color w:val="auto"/>
        </w:rPr>
        <w:t>年共招生</w:t>
      </w:r>
      <w:r>
        <w:rPr>
          <w:rFonts w:hint="eastAsia" w:ascii="宋体" w:hAnsi="宋体"/>
          <w:color w:val="auto"/>
          <w:lang w:val="en-US" w:eastAsia="zh-CN"/>
        </w:rPr>
        <w:t>266</w:t>
      </w:r>
      <w:r>
        <w:rPr>
          <w:rFonts w:hint="eastAsia" w:ascii="宋体" w:hAnsi="宋体"/>
          <w:color w:val="auto"/>
        </w:rPr>
        <w:t>人。201</w:t>
      </w:r>
      <w:r>
        <w:rPr>
          <w:rFonts w:hint="eastAsia" w:ascii="宋体" w:hAnsi="宋体"/>
          <w:color w:val="auto"/>
          <w:lang w:val="en-US" w:eastAsia="zh-CN"/>
        </w:rPr>
        <w:t>9</w:t>
      </w:r>
      <w:r>
        <w:rPr>
          <w:rFonts w:hint="eastAsia" w:ascii="宋体" w:hAnsi="宋体"/>
          <w:color w:val="auto"/>
        </w:rPr>
        <w:t>年与琼台师范学院合作开办学前教育专业自考大专班，招生</w:t>
      </w:r>
      <w:r>
        <w:rPr>
          <w:rFonts w:hint="eastAsia" w:ascii="宋体" w:hAnsi="宋体"/>
          <w:color w:val="auto"/>
          <w:lang w:val="en-US" w:eastAsia="zh-CN"/>
        </w:rPr>
        <w:t>53</w:t>
      </w:r>
      <w:r>
        <w:rPr>
          <w:rFonts w:hint="eastAsia" w:ascii="宋体" w:hAnsi="宋体"/>
          <w:color w:val="auto"/>
        </w:rPr>
        <w:t>人，与电大合作自考大专班，招生</w:t>
      </w:r>
      <w:r>
        <w:rPr>
          <w:rFonts w:hint="eastAsia" w:ascii="宋体" w:hAnsi="宋体"/>
          <w:color w:val="auto"/>
          <w:lang w:val="en-US" w:eastAsia="zh-CN"/>
        </w:rPr>
        <w:t>128</w:t>
      </w:r>
      <w:r>
        <w:rPr>
          <w:rFonts w:hint="eastAsia" w:ascii="宋体" w:hAnsi="宋体"/>
          <w:color w:val="auto"/>
        </w:rPr>
        <w:t>人</w:t>
      </w:r>
      <w:r>
        <w:rPr>
          <w:rFonts w:hint="eastAsia" w:ascii="宋体" w:hAnsi="宋体"/>
          <w:bCs/>
          <w:color w:val="auto"/>
          <w:szCs w:val="28"/>
        </w:rPr>
        <w:t>。</w:t>
      </w:r>
    </w:p>
    <w:p>
      <w:pPr>
        <w:pStyle w:val="2"/>
        <w:spacing w:beforeLines="0"/>
        <w:ind w:firstLine="199" w:firstLineChars="62"/>
        <w:rPr>
          <w:color w:val="auto"/>
        </w:rPr>
      </w:pPr>
      <w:bookmarkStart w:id="11" w:name="_Toc4694"/>
      <w:r>
        <w:rPr>
          <w:rFonts w:hint="eastAsia"/>
          <w:color w:val="auto"/>
        </w:rPr>
        <w:t>三</w:t>
      </w:r>
      <w:r>
        <w:rPr>
          <w:color w:val="auto"/>
        </w:rPr>
        <w:t>、质量保障措施</w:t>
      </w:r>
      <w:bookmarkEnd w:id="11"/>
    </w:p>
    <w:p>
      <w:pPr>
        <w:pStyle w:val="3"/>
        <w:spacing w:beforeLines="0"/>
        <w:ind w:firstLine="602"/>
        <w:rPr>
          <w:rFonts w:hint="eastAsia"/>
          <w:color w:val="auto"/>
        </w:rPr>
      </w:pPr>
      <w:bookmarkStart w:id="12" w:name="_Toc28732"/>
      <w:r>
        <w:rPr>
          <w:rFonts w:hint="eastAsia"/>
          <w:color w:val="auto"/>
        </w:rPr>
        <w:t>（一</w:t>
      </w:r>
      <w:r>
        <w:rPr>
          <w:color w:val="auto"/>
        </w:rPr>
        <w:t>）</w:t>
      </w:r>
      <w:r>
        <w:rPr>
          <w:rFonts w:hint="eastAsia"/>
          <w:color w:val="auto"/>
        </w:rPr>
        <w:t>专业动态调整</w:t>
      </w:r>
      <w:bookmarkEnd w:id="12"/>
    </w:p>
    <w:p>
      <w:pPr>
        <w:ind w:firstLine="562"/>
        <w:rPr>
          <w:rFonts w:ascii="宋体" w:hAnsi="宋体"/>
          <w:color w:val="auto"/>
          <w:szCs w:val="28"/>
        </w:rPr>
      </w:pPr>
      <w:r>
        <w:rPr>
          <w:rFonts w:hint="eastAsia" w:ascii="仿宋_GB2312" w:eastAsia="仿宋_GB2312"/>
          <w:b/>
          <w:color w:val="auto"/>
          <w:kern w:val="0"/>
          <w:szCs w:val="28"/>
        </w:rPr>
        <w:t>1．结合当地产业办学，服务当地经济发展</w:t>
      </w:r>
    </w:p>
    <w:p>
      <w:pPr>
        <w:ind w:firstLine="560"/>
        <w:rPr>
          <w:rFonts w:ascii="宋体" w:hAnsi="宋体"/>
          <w:color w:val="auto"/>
        </w:rPr>
      </w:pPr>
      <w:r>
        <w:rPr>
          <w:rFonts w:hint="eastAsia" w:ascii="宋体" w:hAnsi="宋体"/>
          <w:color w:val="auto"/>
        </w:rPr>
        <w:t>学校坚持“稳定规模，科学管理，改革创新，办出特色”的发展思路，继续办好扶贫巾帼励志中专班，发挥国家改革发展示范校建设的辐射带动作用。紧密结合海南的产业发展规划，以就业为导向，以培养岗位能力为根本，为海南的支柱产业和特色产业服务。围绕海南产业发展规划和海南建设自贸港的战略任务开设契合海南经济社会发展需求的专业。学校全面贯彻落实党的十九大精神及全国教育大会精神，坚持落实立德树人为根本任务，坚持校企合作，深化产教融合，全面提升人才培养质量。通过引进中、小型企业，共建校内生产性实训基地，并依托行业协会、紧靠产业园区（企业），建立校外实训基地。坚持校企协同，合作育人，实现“四对接”：即人才培养与社会需求相对接、专业与产业链相对接、课程与岗位相对接、教材与技能相对接。不断增强专业竞争力和学校服务当地经济社会发展的能力，加强学生德育教育，提高学生就业创业能力，为海南培养合格的技能型人才，把学校建设成为一个对地方经济发展有较强支撑能力的公办中等职业学校，为我省人力资源提供更多的人才储备。</w:t>
      </w:r>
    </w:p>
    <w:p>
      <w:pPr>
        <w:ind w:firstLine="562"/>
        <w:rPr>
          <w:rFonts w:ascii="仿宋_GB2312" w:eastAsia="仿宋_GB2312"/>
          <w:b/>
          <w:color w:val="auto"/>
          <w:kern w:val="0"/>
          <w:szCs w:val="28"/>
        </w:rPr>
      </w:pPr>
      <w:r>
        <w:rPr>
          <w:rFonts w:hint="eastAsia" w:ascii="仿宋_GB2312" w:eastAsia="仿宋_GB2312"/>
          <w:b/>
          <w:color w:val="auto"/>
          <w:kern w:val="0"/>
          <w:szCs w:val="28"/>
        </w:rPr>
        <w:t>2．健全需求导向的人才培养结构调整机制</w:t>
      </w:r>
    </w:p>
    <w:p>
      <w:pPr>
        <w:ind w:firstLine="560"/>
        <w:rPr>
          <w:rFonts w:hint="eastAsia" w:ascii="宋体" w:hAnsi="宋体"/>
          <w:color w:val="auto"/>
        </w:rPr>
      </w:pPr>
      <w:r>
        <w:rPr>
          <w:rFonts w:hint="eastAsia" w:ascii="宋体" w:hAnsi="宋体"/>
          <w:color w:val="auto"/>
        </w:rPr>
        <w:t>学校坚持落实立德树人为根本任务，牢固树立以服务为宗旨、以需求为导向的办学方针，紧跟海南产业发展步伐，随着经济发展方式转变而动，跟着产业调整升级而走，围绕企业对技能型人才的需求而转，适应劳动力市场需求变化而变，整合资源，改革创新，强化管理，打造特色，以专业建设带动质量提高，增强专业竞争力与办学吸引力，严格实行专业预警和退出机制，及时淘汰不适应专业，调整优化现有专业，适度发展新办专业，形成以农林牧渔类、财经商贸类、旅游服务类、信息技术类为主体专业，以交通运输类、休闲保健类为辅的多专业协调发展。　</w:t>
      </w:r>
    </w:p>
    <w:p>
      <w:pPr>
        <w:ind w:firstLine="560"/>
        <w:rPr>
          <w:rFonts w:hint="eastAsia" w:ascii="宋体" w:hAnsi="宋体"/>
          <w:color w:val="auto"/>
        </w:rPr>
      </w:pPr>
      <w:r>
        <w:rPr>
          <w:rFonts w:hint="eastAsia" w:ascii="宋体" w:hAnsi="宋体"/>
          <w:color w:val="auto"/>
        </w:rPr>
        <w:t>信息技术类专业群以计算机应用、计算机网络技术为重点建设专业，电子商务、电子信息技术为相关专业，主要服务于海南电子信息技术及高新技术产业；现代服务专业群以高星级饭店运营与管理为重点建设专业，制冷和空调设备运行与维修为相关专业，美容美体、美发与形象设计、航空服务为延伸专业，主要服务于海南的现代服务业，特别是海南自贸港建设的大发展和经济结构的大调整。</w:t>
      </w:r>
    </w:p>
    <w:p>
      <w:pPr>
        <w:ind w:firstLine="560"/>
        <w:rPr>
          <w:rFonts w:hint="eastAsia" w:ascii="宋体" w:hAnsi="宋体"/>
          <w:color w:val="auto"/>
        </w:rPr>
      </w:pPr>
      <w:r>
        <w:rPr>
          <w:rFonts w:hint="eastAsia" w:ascii="宋体" w:hAnsi="宋体"/>
          <w:color w:val="auto"/>
        </w:rPr>
        <w:t>农林牧渔类专业群以农产品保鲜与加工为重点建设专业，药品食品检验、中餐烹饪与营养膳食、西餐烹饪为相关专业，汽车运用与维修为延伸专业，主要服务于海南</w:t>
      </w:r>
      <w:r>
        <w:rPr>
          <w:rFonts w:hint="eastAsia" w:ascii="宋体" w:hAnsi="宋体"/>
          <w:color w:val="auto"/>
          <w:lang w:val="en-US" w:eastAsia="zh-CN"/>
        </w:rPr>
        <w:t>十二</w:t>
      </w:r>
      <w:r>
        <w:rPr>
          <w:rFonts w:hint="eastAsia" w:ascii="宋体" w:hAnsi="宋体"/>
          <w:color w:val="auto"/>
        </w:rPr>
        <w:t>大支柱产业之一“食品与热带农产品加工”。</w:t>
      </w:r>
    </w:p>
    <w:p>
      <w:pPr>
        <w:ind w:firstLine="560"/>
        <w:rPr>
          <w:rFonts w:ascii="宋体" w:hAnsi="宋体"/>
          <w:color w:val="auto"/>
        </w:rPr>
      </w:pPr>
      <w:r>
        <w:rPr>
          <w:rFonts w:hint="eastAsia" w:ascii="宋体" w:hAnsi="宋体"/>
          <w:color w:val="auto"/>
        </w:rPr>
        <w:t>财经商贸类专业群以会计电算化为重点建设专业，电子商务为相关专业，市场营销为延伸专业，主要服务于海南商贸及流通领域。</w:t>
      </w:r>
    </w:p>
    <w:p>
      <w:pPr>
        <w:pStyle w:val="3"/>
        <w:spacing w:beforeLines="0"/>
        <w:ind w:firstLine="602"/>
        <w:rPr>
          <w:color w:val="auto"/>
        </w:rPr>
      </w:pPr>
      <w:bookmarkStart w:id="13" w:name="_Toc1132"/>
      <w:r>
        <w:rPr>
          <w:rFonts w:hint="eastAsia"/>
          <w:color w:val="auto"/>
        </w:rPr>
        <w:t>（二</w:t>
      </w:r>
      <w:r>
        <w:rPr>
          <w:color w:val="auto"/>
        </w:rPr>
        <w:t>）</w:t>
      </w:r>
      <w:r>
        <w:rPr>
          <w:rFonts w:hint="eastAsia"/>
          <w:color w:val="auto"/>
        </w:rPr>
        <w:t>教育教学改革</w:t>
      </w:r>
      <w:bookmarkEnd w:id="13"/>
    </w:p>
    <w:p>
      <w:pPr>
        <w:ind w:firstLine="562"/>
        <w:rPr>
          <w:rFonts w:hint="eastAsia"/>
          <w:color w:val="auto"/>
          <w:szCs w:val="28"/>
        </w:rPr>
      </w:pPr>
      <w:r>
        <w:rPr>
          <w:rFonts w:hint="eastAsia" w:ascii="仿宋_GB2312" w:eastAsia="仿宋_GB2312"/>
          <w:b/>
          <w:color w:val="auto"/>
          <w:kern w:val="0"/>
          <w:szCs w:val="28"/>
        </w:rPr>
        <w:t>1．重视通识</w:t>
      </w:r>
      <w:r>
        <w:rPr>
          <w:rFonts w:ascii="仿宋_GB2312" w:eastAsia="仿宋_GB2312"/>
          <w:b/>
          <w:color w:val="auto"/>
          <w:kern w:val="0"/>
          <w:szCs w:val="28"/>
        </w:rPr>
        <w:t>教育，开足开好</w:t>
      </w:r>
      <w:r>
        <w:rPr>
          <w:rFonts w:hint="eastAsia" w:ascii="仿宋_GB2312" w:eastAsia="仿宋_GB2312"/>
          <w:b/>
          <w:color w:val="auto"/>
          <w:kern w:val="0"/>
          <w:szCs w:val="28"/>
        </w:rPr>
        <w:t>公共</w:t>
      </w:r>
      <w:r>
        <w:rPr>
          <w:rFonts w:ascii="仿宋_GB2312" w:eastAsia="仿宋_GB2312"/>
          <w:b/>
          <w:color w:val="auto"/>
          <w:kern w:val="0"/>
          <w:szCs w:val="28"/>
        </w:rPr>
        <w:t>基础课</w:t>
      </w:r>
    </w:p>
    <w:p>
      <w:pPr>
        <w:ind w:firstLine="560"/>
        <w:rPr>
          <w:rFonts w:ascii="宋体" w:hAnsi="宋体"/>
          <w:color w:val="auto"/>
        </w:rPr>
      </w:pPr>
      <w:r>
        <w:rPr>
          <w:rFonts w:hint="eastAsia" w:ascii="宋体" w:hAnsi="宋体"/>
          <w:color w:val="auto"/>
        </w:rPr>
        <w:t>我校历来重视通识教育，注重学生文化素质的提高，开设数学、语文、英语、职业生涯规划、职业道德与法律、经济政治与社会、哲学与人生、体育与健康、计算机应用基础、</w:t>
      </w:r>
      <w:r>
        <w:rPr>
          <w:rFonts w:hint="eastAsia" w:ascii="宋体" w:hAnsi="宋体"/>
          <w:color w:val="auto"/>
          <w:lang w:eastAsia="zh-CN"/>
        </w:rPr>
        <w:t>音乐欣赏、心理健康</w:t>
      </w:r>
      <w:r>
        <w:rPr>
          <w:rFonts w:hint="eastAsia" w:ascii="宋体" w:hAnsi="宋体"/>
          <w:color w:val="auto"/>
        </w:rPr>
        <w:t>等公共基础课，确保每个专业的学生都能掌握必备的文化基础知识，引导学生树立正确的世界观、人生观和价值观，提高学生思想政治素质、职业道德水平和科学文化素养；为专业知识的学习和职业技能的培养奠定基础，满足学生职业生涯发展的需要，促进终身学习。课程设置和教学与培养目标相适应，注重学生能力的培养，与学生生活、专业和社会实践紧密联系。</w:t>
      </w:r>
    </w:p>
    <w:p>
      <w:pPr>
        <w:ind w:firstLine="562"/>
        <w:rPr>
          <w:rFonts w:ascii="仿宋_GB2312" w:eastAsia="仿宋_GB2312"/>
          <w:b/>
          <w:color w:val="auto"/>
          <w:kern w:val="0"/>
          <w:szCs w:val="28"/>
        </w:rPr>
      </w:pPr>
      <w:r>
        <w:rPr>
          <w:rFonts w:ascii="仿宋_GB2312" w:eastAsia="仿宋_GB2312"/>
          <w:b/>
          <w:color w:val="auto"/>
          <w:kern w:val="0"/>
          <w:szCs w:val="28"/>
        </w:rPr>
        <w:t>2</w:t>
      </w:r>
      <w:r>
        <w:rPr>
          <w:rFonts w:hint="eastAsia" w:ascii="仿宋_GB2312" w:eastAsia="仿宋_GB2312"/>
          <w:b/>
          <w:color w:val="auto"/>
          <w:kern w:val="0"/>
          <w:szCs w:val="28"/>
        </w:rPr>
        <w:t>．完善专业建设顶层设计，促进学校专业建设更加适合海南社会经济发展需求</w:t>
      </w:r>
    </w:p>
    <w:p>
      <w:pPr>
        <w:ind w:firstLine="560"/>
        <w:rPr>
          <w:rFonts w:ascii="宋体" w:hAnsi="宋体"/>
          <w:color w:val="auto"/>
        </w:rPr>
      </w:pPr>
      <w:r>
        <w:rPr>
          <w:rFonts w:hint="eastAsia" w:ascii="宋体" w:hAnsi="宋体"/>
          <w:color w:val="auto"/>
        </w:rPr>
        <w:t>学校围绕海南产业发展规划和海南建设自由贸易港的战略任务开设契合海南经济社会发展需求的专业。目前我校开设</w:t>
      </w:r>
      <w:r>
        <w:rPr>
          <w:rFonts w:hint="eastAsia" w:ascii="宋体" w:hAnsi="宋体"/>
          <w:color w:val="auto"/>
          <w:lang w:val="en-US" w:eastAsia="zh-CN"/>
        </w:rPr>
        <w:t>18</w:t>
      </w:r>
      <w:r>
        <w:rPr>
          <w:rFonts w:hint="eastAsia" w:ascii="宋体" w:hAnsi="宋体"/>
          <w:color w:val="auto"/>
        </w:rPr>
        <w:t>个专业，学校按“骨干专业、重点专业、特色专业、优质专业”四个类别划分加强专业建设。其中骨干专业：计算机应用、计算机网络技术、电子商务、计算机平面设计、会计电算化、高星级饭店运营与管理专业；重点专业：美容美体、美发与形象设计、中餐烹饪、西餐烹饪、汽车运用与维修专业；特色专业：农产品保鲜与加工、药品食品检验、平面媒体印刷技术专业；优质专业：电子信息技术、制冷与空调设备维修、航空服务、市场营销。</w:t>
      </w:r>
    </w:p>
    <w:p>
      <w:pPr>
        <w:ind w:firstLine="562"/>
        <w:rPr>
          <w:rFonts w:hint="eastAsia" w:ascii="仿宋_GB2312" w:eastAsia="仿宋_GB2312"/>
          <w:b/>
          <w:color w:val="auto"/>
          <w:kern w:val="0"/>
          <w:szCs w:val="28"/>
        </w:rPr>
      </w:pPr>
      <w:r>
        <w:rPr>
          <w:rFonts w:ascii="仿宋_GB2312" w:eastAsia="仿宋_GB2312"/>
          <w:b/>
          <w:color w:val="auto"/>
          <w:kern w:val="0"/>
          <w:szCs w:val="28"/>
        </w:rPr>
        <w:t>3</w:t>
      </w:r>
      <w:r>
        <w:rPr>
          <w:rFonts w:hint="eastAsia" w:ascii="仿宋_GB2312" w:eastAsia="仿宋_GB2312"/>
          <w:b/>
          <w:color w:val="auto"/>
          <w:kern w:val="0"/>
          <w:szCs w:val="28"/>
        </w:rPr>
        <w:t>．科学制定教师成长规划，促进师资队伍</w:t>
      </w:r>
      <w:r>
        <w:rPr>
          <w:rFonts w:ascii="仿宋_GB2312" w:eastAsia="仿宋_GB2312"/>
          <w:b/>
          <w:color w:val="auto"/>
          <w:kern w:val="0"/>
          <w:szCs w:val="28"/>
        </w:rPr>
        <w:t>建设</w:t>
      </w:r>
    </w:p>
    <w:p>
      <w:pPr>
        <w:ind w:firstLine="560"/>
        <w:rPr>
          <w:rFonts w:hint="default" w:ascii="宋体" w:hAnsi="宋体" w:eastAsia="宋体"/>
          <w:color w:val="auto"/>
          <w:lang w:val="en-US" w:eastAsia="zh-CN"/>
        </w:rPr>
      </w:pPr>
      <w:r>
        <w:rPr>
          <w:rFonts w:hint="eastAsia" w:ascii="宋体" w:hAnsi="宋体"/>
          <w:color w:val="auto"/>
        </w:rPr>
        <w:t>学校为努力建设一支政治坚定、师德高尚、业务精深、结构合理、专兼结合、高效精干的教师队伍，采取各种措施，加大人才引进和培养的力度，建设一支懂技能、会教学的师资队伍，形成1年-2年-5年-10年成长规划和梯度培养方向；同时学校制定《校级专业带头人遴选培养与认定管理办法》、《校级骨干教师认定和管理办法》等制度，努力实现“名校出名师，名师出名校”的发展思路；制定《教师专业技术职务低职高聘管理办法》，进一步强化竞争机制,完善专业技术职务聘任制度,更加科学合理地使用人才,促进专业技术人才资源的优化配置和有效利用，充分调动专业技术人员的积极性。</w:t>
      </w:r>
      <w:r>
        <w:rPr>
          <w:rFonts w:hint="eastAsia" w:ascii="宋体" w:hAnsi="宋体"/>
          <w:color w:val="auto"/>
          <w:lang w:val="en-US" w:eastAsia="zh-CN"/>
        </w:rPr>
        <w:t>2019年罗敏老师荣获海南省劳动模范、“五一劳动奖章”，吴丹娜老师荣获“省三八红旗手”和”全省优秀教师”双殊荣，为老师树立了榜样。</w:t>
      </w:r>
    </w:p>
    <w:p>
      <w:pPr>
        <w:ind w:firstLine="562"/>
        <w:rPr>
          <w:rFonts w:hint="eastAsia" w:ascii="仿宋_GB2312" w:eastAsia="仿宋_GB2312"/>
          <w:b/>
          <w:color w:val="auto"/>
          <w:kern w:val="0"/>
          <w:szCs w:val="28"/>
        </w:rPr>
      </w:pPr>
      <w:r>
        <w:rPr>
          <w:rFonts w:ascii="仿宋_GB2312" w:eastAsia="仿宋_GB2312"/>
          <w:b/>
          <w:color w:val="auto"/>
          <w:kern w:val="0"/>
          <w:szCs w:val="28"/>
        </w:rPr>
        <w:t>4</w:t>
      </w:r>
      <w:r>
        <w:rPr>
          <w:rFonts w:hint="eastAsia" w:ascii="仿宋_GB2312" w:eastAsia="仿宋_GB2312"/>
          <w:b/>
          <w:color w:val="auto"/>
          <w:kern w:val="0"/>
          <w:szCs w:val="28"/>
        </w:rPr>
        <w:t>．动态</w:t>
      </w:r>
      <w:r>
        <w:rPr>
          <w:rFonts w:ascii="仿宋_GB2312" w:eastAsia="仿宋_GB2312"/>
          <w:b/>
          <w:color w:val="auto"/>
          <w:kern w:val="0"/>
          <w:szCs w:val="28"/>
        </w:rPr>
        <w:t>调整</w:t>
      </w:r>
      <w:r>
        <w:rPr>
          <w:rFonts w:hint="eastAsia" w:ascii="仿宋_GB2312" w:eastAsia="仿宋_GB2312"/>
          <w:b/>
          <w:color w:val="auto"/>
          <w:kern w:val="0"/>
          <w:szCs w:val="28"/>
        </w:rPr>
        <w:t>课程设置，</w:t>
      </w:r>
      <w:r>
        <w:rPr>
          <w:rFonts w:ascii="仿宋_GB2312" w:eastAsia="仿宋_GB2312"/>
          <w:b/>
          <w:color w:val="auto"/>
          <w:kern w:val="0"/>
          <w:szCs w:val="28"/>
        </w:rPr>
        <w:t>提高教学的针对性和有效性</w:t>
      </w:r>
    </w:p>
    <w:p>
      <w:pPr>
        <w:ind w:firstLine="560"/>
        <w:rPr>
          <w:rFonts w:hint="eastAsia" w:ascii="宋体" w:hAnsi="宋体"/>
          <w:color w:val="auto"/>
        </w:rPr>
      </w:pPr>
      <w:r>
        <w:rPr>
          <w:rFonts w:hint="eastAsia" w:ascii="宋体" w:hAnsi="宋体"/>
          <w:color w:val="auto"/>
        </w:rPr>
        <w:t>学校各专业按照教育部颁发的专业教学标准，结合学校和相关行业企业的实际，制订本专业的人才培养方案，基本确定了各专业的课程体系框架，包括公共基础课程、专业基础课程、专业技能课程、等三个模块。公共基础严格按照部颁的课程标准和使用国家规划教材组织教学，以立德树人为根本，深入贯彻十九大精神及习近平4.13讲话精神，践行社会主义核心价值观为嵌入教学内容。确保每个专业的学生都能掌握必备的文化基础知识，合理确定公共基础课和专业技能课学时比例，根据行业产业发展适时修订。</w:t>
      </w:r>
    </w:p>
    <w:p>
      <w:pPr>
        <w:ind w:firstLine="560"/>
        <w:rPr>
          <w:rFonts w:hint="eastAsia" w:ascii="宋体" w:hAnsi="宋体"/>
          <w:color w:val="auto"/>
        </w:rPr>
      </w:pPr>
      <w:r>
        <w:rPr>
          <w:rFonts w:hint="eastAsia" w:ascii="宋体" w:hAnsi="宋体"/>
          <w:color w:val="auto"/>
        </w:rPr>
        <w:t>专业基础课程及专业课程使用部颁标准和规划教材，坚持校企合作，深化产教融合，根据企业工作流程和岗位要求，课程对接岗位，教材对接技能，强化学生职业素养与职业技能的有机结合，按照行业标准创新教学内容，构建了以培养职业能力为核心的课程体系。教学内容嵌入学生技能大赛、职业资格证书、新法规、新技术、我省地方特色内容知识点及技能的。每学年度我校各教研室都会根据专业的实际，结合企业的需求和毕业生的反馈，对各专业的课程设置进行动态调整，将课程与岗位相对接，使之更切合岗位需求，提高教学的针对性和有效性。</w:t>
      </w:r>
    </w:p>
    <w:p>
      <w:pPr>
        <w:ind w:firstLine="562"/>
        <w:rPr>
          <w:rFonts w:hint="eastAsia"/>
          <w:color w:val="auto"/>
          <w:szCs w:val="28"/>
        </w:rPr>
      </w:pPr>
      <w:r>
        <w:rPr>
          <w:rFonts w:ascii="仿宋_GB2312" w:eastAsia="仿宋_GB2312"/>
          <w:b/>
          <w:color w:val="auto"/>
          <w:kern w:val="0"/>
          <w:szCs w:val="28"/>
        </w:rPr>
        <w:t>5</w:t>
      </w:r>
      <w:r>
        <w:rPr>
          <w:rFonts w:hint="eastAsia" w:ascii="仿宋_GB2312" w:eastAsia="仿宋_GB2312"/>
          <w:b/>
          <w:color w:val="auto"/>
          <w:kern w:val="0"/>
          <w:szCs w:val="28"/>
        </w:rPr>
        <w:t>．坚持校企合作，推动人才培养</w:t>
      </w:r>
      <w:r>
        <w:rPr>
          <w:rFonts w:ascii="仿宋_GB2312" w:eastAsia="仿宋_GB2312"/>
          <w:b/>
          <w:color w:val="auto"/>
          <w:kern w:val="0"/>
          <w:szCs w:val="28"/>
        </w:rPr>
        <w:t>模式改革</w:t>
      </w:r>
    </w:p>
    <w:p>
      <w:pPr>
        <w:ind w:firstLine="560"/>
        <w:rPr>
          <w:rFonts w:hint="eastAsia" w:ascii="宋体" w:hAnsi="宋体" w:eastAsia="宋体"/>
          <w:color w:val="auto"/>
          <w:lang w:eastAsia="zh-CN"/>
        </w:rPr>
      </w:pPr>
      <w:r>
        <w:rPr>
          <w:rFonts w:hint="eastAsia" w:ascii="宋体" w:hAnsi="宋体"/>
          <w:color w:val="auto"/>
        </w:rPr>
        <w:t>学校依托“一校百企”合作联盟，不断加强校企合作力度，形成学校与企业、行业、产业园区联合的合作办学模式，深入推进“校企合作、项目主导、工学结合”的人才培养模式改革，积极探索产教融合、校企合作办学途径，准确定位人才培养目标，进一步构建具有明显职业教育特色的课程体系，形成了由专业核心课程构成的工作过程系统化课程体系，教学过程与生产过程对接，以培养技能型人才为目标，注重学生动手能力的培养。201</w:t>
      </w:r>
      <w:r>
        <w:rPr>
          <w:rFonts w:hint="eastAsia" w:ascii="宋体" w:hAnsi="宋体"/>
          <w:color w:val="auto"/>
          <w:lang w:val="en-US" w:eastAsia="zh-CN"/>
        </w:rPr>
        <w:t>9</w:t>
      </w:r>
      <w:r>
        <w:rPr>
          <w:rFonts w:hint="eastAsia" w:ascii="宋体" w:hAnsi="宋体"/>
          <w:color w:val="auto"/>
        </w:rPr>
        <w:t>年我校在技术性、实践性较强的专业美容、美发、烹饪、汽车运用与维修专业中开展现代学徒制试点工作，积极探索现代学徒制试点实施路径。</w:t>
      </w:r>
      <w:r>
        <w:rPr>
          <w:rFonts w:hint="eastAsia" w:ascii="宋体" w:hAnsi="宋体"/>
          <w:color w:val="auto"/>
          <w:lang w:val="en-US" w:eastAsia="zh-CN"/>
        </w:rPr>
        <w:t>2019年学校</w:t>
      </w:r>
      <w:r>
        <w:rPr>
          <w:rFonts w:hint="eastAsia" w:ascii="宋体" w:hAnsi="宋体"/>
          <w:color w:val="auto"/>
          <w:lang w:eastAsia="zh-CN"/>
        </w:rPr>
        <w:t>还在中西餐烹饪专业、美容专业、电子信息、</w:t>
      </w:r>
      <w:r>
        <w:rPr>
          <w:rFonts w:hint="eastAsia" w:ascii="宋体" w:hAnsi="宋体"/>
          <w:color w:val="auto"/>
        </w:rPr>
        <w:t>制冷与空调设备维修</w:t>
      </w:r>
      <w:r>
        <w:rPr>
          <w:rFonts w:hint="eastAsia" w:ascii="宋体" w:hAnsi="宋体"/>
          <w:color w:val="auto"/>
          <w:lang w:eastAsia="zh-CN"/>
        </w:rPr>
        <w:t>、汽修专业加强与企业合作，成立岗前专项技能强化班，靶向对准岗位，实现了学校课程和工作岗位对接。</w:t>
      </w:r>
    </w:p>
    <w:p>
      <w:pPr>
        <w:ind w:firstLine="562"/>
        <w:rPr>
          <w:rFonts w:hint="eastAsia" w:ascii="仿宋_GB2312" w:eastAsia="仿宋_GB2312"/>
          <w:b/>
          <w:color w:val="auto"/>
          <w:kern w:val="0"/>
          <w:szCs w:val="28"/>
        </w:rPr>
      </w:pPr>
      <w:r>
        <w:rPr>
          <w:rFonts w:ascii="仿宋_GB2312" w:eastAsia="仿宋_GB2312"/>
          <w:b/>
          <w:color w:val="auto"/>
          <w:kern w:val="0"/>
          <w:szCs w:val="28"/>
        </w:rPr>
        <w:t>6</w:t>
      </w:r>
      <w:r>
        <w:rPr>
          <w:rFonts w:hint="eastAsia" w:ascii="仿宋_GB2312" w:eastAsia="仿宋_GB2312"/>
          <w:b/>
          <w:color w:val="auto"/>
          <w:kern w:val="0"/>
          <w:szCs w:val="28"/>
        </w:rPr>
        <w:t>．加大</w:t>
      </w:r>
      <w:r>
        <w:rPr>
          <w:rFonts w:ascii="仿宋_GB2312" w:eastAsia="仿宋_GB2312"/>
          <w:b/>
          <w:color w:val="auto"/>
          <w:kern w:val="0"/>
          <w:szCs w:val="28"/>
        </w:rPr>
        <w:t>投入,</w:t>
      </w:r>
      <w:r>
        <w:rPr>
          <w:rFonts w:hint="eastAsia" w:ascii="仿宋_GB2312" w:eastAsia="仿宋_GB2312"/>
          <w:b/>
          <w:color w:val="auto"/>
          <w:kern w:val="0"/>
          <w:szCs w:val="28"/>
        </w:rPr>
        <w:t>提升</w:t>
      </w:r>
      <w:r>
        <w:rPr>
          <w:rFonts w:ascii="仿宋_GB2312" w:eastAsia="仿宋_GB2312"/>
          <w:b/>
          <w:color w:val="auto"/>
          <w:kern w:val="0"/>
          <w:szCs w:val="28"/>
        </w:rPr>
        <w:t>信息化教学</w:t>
      </w:r>
    </w:p>
    <w:p>
      <w:pPr>
        <w:ind w:firstLine="560"/>
        <w:rPr>
          <w:rFonts w:hint="eastAsia" w:ascii="宋体" w:hAnsi="宋体"/>
          <w:color w:val="auto"/>
        </w:rPr>
      </w:pPr>
      <w:r>
        <w:rPr>
          <w:rFonts w:hint="eastAsia" w:ascii="宋体" w:hAnsi="宋体"/>
          <w:color w:val="auto"/>
        </w:rPr>
        <w:t>我校十分重视信息化教学，信息化教学不断完善。一是加强了校园网基础建设。当前学校网络为千兆主干校园网，接入互联网出口带宽为</w:t>
      </w:r>
      <w:r>
        <w:rPr>
          <w:rFonts w:hint="eastAsia" w:ascii="宋体" w:hAnsi="宋体"/>
          <w:color w:val="auto"/>
          <w:lang w:val="en-US" w:eastAsia="zh-CN"/>
        </w:rPr>
        <w:t>600</w:t>
      </w:r>
      <w:r>
        <w:rPr>
          <w:rFonts w:hint="eastAsia" w:ascii="宋体" w:hAnsi="宋体"/>
          <w:color w:val="auto"/>
        </w:rPr>
        <w:t>M，建有覆盖全校的WIFI无线网络，信息点覆盖所有教育、教学场所，基本满足全校师生办公管理、教育教学的需要；二是完善了校园电教环境建设，每个教室均配备多媒体系统；三是组织教师参加各级信息化教学培训、比赛，提升学校信息化教学装备水平，推动教师进行信息化教学改革，将信息化技术运用到教学过程中，信息化教学手段与课堂教学深度融合，改变了传统教学模式，激发课堂教学活力，拓宽知识传授渠道，提升教学成效。201</w:t>
      </w:r>
      <w:r>
        <w:rPr>
          <w:rFonts w:hint="eastAsia" w:ascii="宋体" w:hAnsi="宋体"/>
          <w:color w:val="auto"/>
          <w:lang w:val="en-US" w:eastAsia="zh-CN"/>
        </w:rPr>
        <w:t>9</w:t>
      </w:r>
      <w:r>
        <w:rPr>
          <w:rFonts w:hint="eastAsia" w:ascii="宋体" w:hAnsi="宋体"/>
          <w:color w:val="auto"/>
        </w:rPr>
        <w:t>年职业院校教师教学能力比赛，学校获得省级</w:t>
      </w:r>
      <w:r>
        <w:rPr>
          <w:rFonts w:hint="eastAsia" w:ascii="宋体" w:hAnsi="宋体"/>
          <w:color w:val="auto"/>
          <w:lang w:eastAsia="zh-CN"/>
        </w:rPr>
        <w:t>二</w:t>
      </w:r>
      <w:r>
        <w:rPr>
          <w:rFonts w:hint="eastAsia" w:ascii="宋体" w:hAnsi="宋体"/>
          <w:color w:val="auto"/>
        </w:rPr>
        <w:t>等奖1个、</w:t>
      </w:r>
      <w:r>
        <w:rPr>
          <w:rFonts w:hint="eastAsia" w:ascii="宋体" w:hAnsi="宋体"/>
          <w:color w:val="auto"/>
          <w:lang w:eastAsia="zh-CN"/>
        </w:rPr>
        <w:t>三</w:t>
      </w:r>
      <w:r>
        <w:rPr>
          <w:rFonts w:hint="eastAsia" w:ascii="宋体" w:hAnsi="宋体"/>
          <w:color w:val="auto"/>
        </w:rPr>
        <w:t>等奖</w:t>
      </w:r>
      <w:r>
        <w:rPr>
          <w:rFonts w:hint="eastAsia" w:ascii="宋体" w:hAnsi="宋体"/>
          <w:color w:val="auto"/>
          <w:lang w:val="en-US" w:eastAsia="zh-CN"/>
        </w:rPr>
        <w:t>2</w:t>
      </w:r>
      <w:r>
        <w:rPr>
          <w:rFonts w:hint="eastAsia" w:ascii="宋体" w:hAnsi="宋体"/>
          <w:color w:val="auto"/>
        </w:rPr>
        <w:t>个。</w:t>
      </w:r>
    </w:p>
    <w:p>
      <w:pPr>
        <w:ind w:firstLine="562"/>
        <w:rPr>
          <w:rFonts w:ascii="仿宋_GB2312" w:eastAsia="仿宋_GB2312"/>
          <w:b/>
          <w:color w:val="auto"/>
          <w:kern w:val="0"/>
          <w:szCs w:val="28"/>
        </w:rPr>
      </w:pPr>
      <w:r>
        <w:rPr>
          <w:rFonts w:ascii="仿宋_GB2312" w:eastAsia="仿宋_GB2312"/>
          <w:b/>
          <w:color w:val="auto"/>
          <w:kern w:val="0"/>
          <w:szCs w:val="28"/>
        </w:rPr>
        <w:t>7</w:t>
      </w:r>
      <w:r>
        <w:rPr>
          <w:rFonts w:hint="eastAsia" w:ascii="仿宋_GB2312" w:eastAsia="仿宋_GB2312"/>
          <w:b/>
          <w:color w:val="auto"/>
          <w:kern w:val="0"/>
          <w:szCs w:val="28"/>
        </w:rPr>
        <w:t>．完善实训</w:t>
      </w:r>
      <w:r>
        <w:rPr>
          <w:rFonts w:ascii="仿宋_GB2312" w:eastAsia="仿宋_GB2312"/>
          <w:b/>
          <w:color w:val="auto"/>
          <w:kern w:val="0"/>
          <w:szCs w:val="28"/>
        </w:rPr>
        <w:t>基地建设,</w:t>
      </w:r>
      <w:r>
        <w:rPr>
          <w:rFonts w:hint="eastAsia" w:ascii="仿宋_GB2312" w:eastAsia="仿宋_GB2312"/>
          <w:b/>
          <w:color w:val="auto"/>
          <w:kern w:val="0"/>
          <w:szCs w:val="28"/>
        </w:rPr>
        <w:t>及时解决教学所需</w:t>
      </w:r>
    </w:p>
    <w:p>
      <w:pPr>
        <w:ind w:firstLine="560"/>
        <w:rPr>
          <w:rFonts w:hint="eastAsia" w:ascii="宋体" w:hAnsi="宋体" w:eastAsia="宋体"/>
          <w:color w:val="auto"/>
          <w:lang w:eastAsia="zh-CN"/>
        </w:rPr>
      </w:pPr>
      <w:r>
        <w:rPr>
          <w:rFonts w:hint="eastAsia" w:ascii="宋体" w:hAnsi="宋体"/>
          <w:color w:val="auto"/>
        </w:rPr>
        <w:t>学校重视实训基地建设，按专业群建设校内实训基地，以满足“专业教学、合作培训、技能鉴定”功能为目标。学校现有财经专业实训基地、计算机应用专业实训基地、中西餐烹饪专业实训基地等11个实训基地，实训室布局合理，功能齐全，设备先进、精良</w:t>
      </w:r>
      <w:r>
        <w:rPr>
          <w:rFonts w:hint="eastAsia" w:ascii="宋体" w:hAnsi="宋体"/>
          <w:color w:val="auto"/>
          <w:lang w:eastAsia="zh-CN"/>
        </w:rPr>
        <w:t>，</w:t>
      </w:r>
      <w:r>
        <w:rPr>
          <w:rFonts w:hint="eastAsia" w:ascii="宋体" w:hAnsi="宋体"/>
          <w:color w:val="auto"/>
        </w:rPr>
        <w:t>供各专业学生实习实训，提高学生实践操作能力。201</w:t>
      </w:r>
      <w:r>
        <w:rPr>
          <w:rFonts w:hint="eastAsia" w:ascii="宋体" w:hAnsi="宋体"/>
          <w:color w:val="auto"/>
          <w:lang w:val="en-US" w:eastAsia="zh-CN"/>
        </w:rPr>
        <w:t>9</w:t>
      </w:r>
      <w:r>
        <w:rPr>
          <w:rFonts w:hint="eastAsia" w:ascii="宋体" w:hAnsi="宋体"/>
          <w:color w:val="auto"/>
        </w:rPr>
        <w:t>年学校改造</w:t>
      </w:r>
      <w:r>
        <w:rPr>
          <w:rFonts w:hint="eastAsia" w:ascii="宋体" w:hAnsi="宋体"/>
          <w:color w:val="auto"/>
          <w:lang w:eastAsia="zh-CN"/>
        </w:rPr>
        <w:t>扩建了</w:t>
      </w:r>
      <w:r>
        <w:rPr>
          <w:rFonts w:hint="eastAsia" w:ascii="宋体" w:hAnsi="宋体"/>
          <w:color w:val="auto"/>
        </w:rPr>
        <w:t>新能源</w:t>
      </w:r>
      <w:r>
        <w:rPr>
          <w:rFonts w:hint="eastAsia" w:ascii="宋体" w:hAnsi="宋体"/>
          <w:color w:val="auto"/>
          <w:lang w:eastAsia="zh-CN"/>
        </w:rPr>
        <w:t>汽车</w:t>
      </w:r>
      <w:r>
        <w:rPr>
          <w:rFonts w:hint="eastAsia" w:ascii="宋体" w:hAnsi="宋体"/>
          <w:color w:val="auto"/>
        </w:rPr>
        <w:t>实训室，项目总投入259</w:t>
      </w:r>
      <w:r>
        <w:rPr>
          <w:rFonts w:hint="eastAsia" w:ascii="宋体" w:hAnsi="宋体"/>
          <w:color w:val="auto"/>
          <w:lang w:val="en-US" w:eastAsia="zh-CN"/>
        </w:rPr>
        <w:t>.</w:t>
      </w:r>
      <w:r>
        <w:rPr>
          <w:rFonts w:hint="eastAsia" w:ascii="宋体" w:hAnsi="宋体"/>
          <w:color w:val="auto"/>
        </w:rPr>
        <w:t>028</w:t>
      </w:r>
      <w:r>
        <w:rPr>
          <w:rFonts w:hint="eastAsia" w:ascii="宋体" w:hAnsi="宋体"/>
          <w:color w:val="auto"/>
          <w:lang w:eastAsia="zh-CN"/>
        </w:rPr>
        <w:t>万</w:t>
      </w:r>
      <w:r>
        <w:rPr>
          <w:rFonts w:hint="eastAsia" w:ascii="宋体" w:hAnsi="宋体"/>
          <w:color w:val="auto"/>
        </w:rPr>
        <w:t>元，改善了学校的实训教学环境</w:t>
      </w:r>
      <w:r>
        <w:rPr>
          <w:rFonts w:hint="eastAsia" w:ascii="宋体" w:hAnsi="宋体"/>
          <w:color w:val="auto"/>
          <w:lang w:eastAsia="zh-CN"/>
        </w:rPr>
        <w:t>。</w:t>
      </w:r>
    </w:p>
    <w:p>
      <w:pPr>
        <w:ind w:firstLine="562"/>
        <w:rPr>
          <w:rFonts w:hint="eastAsia" w:ascii="仿宋_GB2312" w:eastAsia="仿宋_GB2312"/>
          <w:b/>
          <w:color w:val="auto"/>
          <w:kern w:val="0"/>
          <w:szCs w:val="28"/>
        </w:rPr>
      </w:pPr>
      <w:r>
        <w:rPr>
          <w:rFonts w:ascii="仿宋_GB2312" w:eastAsia="仿宋_GB2312"/>
          <w:b/>
          <w:color w:val="auto"/>
          <w:kern w:val="0"/>
          <w:szCs w:val="28"/>
        </w:rPr>
        <w:t>8</w:t>
      </w:r>
      <w:r>
        <w:rPr>
          <w:rFonts w:hint="eastAsia" w:ascii="仿宋_GB2312" w:eastAsia="仿宋_GB2312"/>
          <w:b/>
          <w:color w:val="auto"/>
          <w:kern w:val="0"/>
          <w:szCs w:val="28"/>
        </w:rPr>
        <w:t>．教材选用</w:t>
      </w:r>
    </w:p>
    <w:p>
      <w:pPr>
        <w:ind w:firstLine="560"/>
        <w:rPr>
          <w:rFonts w:hint="eastAsia" w:ascii="宋体" w:hAnsi="宋体"/>
          <w:color w:val="auto"/>
        </w:rPr>
      </w:pPr>
      <w:r>
        <w:rPr>
          <w:rFonts w:hint="eastAsia" w:ascii="宋体" w:hAnsi="宋体"/>
          <w:color w:val="auto"/>
        </w:rPr>
        <w:t>教材建设工作是学校的一项基本建设工作，是进一步深化教学改革、巩固教学改革成果、提高教学质量、造就高素质人才的重要环节。学校根据教育部的职业院校教材管理办法等相关文件精神，坚持以改革促发展的原则，使教材改革与教学改革同步，适应素质教育和创新能力、实践能力培养的需要，更好地为实现人才培养目标服务。学校严格按照各专业实施性教学计划实施教学，由科任教师根据教学的实际选用教材，绝大部分选用的是教育部规划教材、行业部委统编教材，所有教材均</w:t>
      </w:r>
      <w:r>
        <w:rPr>
          <w:rFonts w:hint="eastAsia" w:ascii="宋体" w:hAnsi="宋体"/>
          <w:color w:val="auto"/>
          <w:lang w:eastAsia="zh-CN"/>
        </w:rPr>
        <w:t>按照</w:t>
      </w:r>
      <w:r>
        <w:rPr>
          <w:rFonts w:hint="eastAsia" w:ascii="宋体" w:hAnsi="宋体"/>
          <w:color w:val="auto"/>
        </w:rPr>
        <w:t>省学校后勤与资助管理办公室有关规定进行征订。</w:t>
      </w:r>
    </w:p>
    <w:p>
      <w:pPr>
        <w:ind w:firstLine="562"/>
        <w:rPr>
          <w:rFonts w:ascii="仿宋_GB2312" w:eastAsia="仿宋_GB2312"/>
          <w:b/>
          <w:color w:val="auto"/>
          <w:kern w:val="0"/>
          <w:szCs w:val="28"/>
        </w:rPr>
      </w:pPr>
      <w:r>
        <w:rPr>
          <w:rFonts w:ascii="仿宋_GB2312" w:eastAsia="仿宋_GB2312"/>
          <w:b/>
          <w:color w:val="auto"/>
          <w:kern w:val="0"/>
          <w:szCs w:val="28"/>
        </w:rPr>
        <w:t>9</w:t>
      </w:r>
      <w:r>
        <w:rPr>
          <w:rFonts w:hint="eastAsia" w:ascii="仿宋_GB2312" w:eastAsia="仿宋_GB2312"/>
          <w:b/>
          <w:color w:val="auto"/>
          <w:kern w:val="0"/>
          <w:szCs w:val="28"/>
        </w:rPr>
        <w:t>．积极开展学生专业技能竞赛活动，提高教学质量</w:t>
      </w:r>
    </w:p>
    <w:p>
      <w:pPr>
        <w:ind w:firstLine="560"/>
        <w:rPr>
          <w:rFonts w:ascii="宋体" w:hAnsi="宋体"/>
          <w:color w:val="auto"/>
        </w:rPr>
      </w:pPr>
      <w:r>
        <w:rPr>
          <w:rFonts w:hint="eastAsia" w:ascii="宋体" w:hAnsi="宋体"/>
          <w:color w:val="auto"/>
        </w:rPr>
        <w:t>学校积极组织学生参加201</w:t>
      </w:r>
      <w:r>
        <w:rPr>
          <w:rFonts w:hint="eastAsia" w:ascii="宋体" w:hAnsi="宋体"/>
          <w:color w:val="auto"/>
          <w:lang w:val="en-US" w:eastAsia="zh-CN"/>
        </w:rPr>
        <w:t>9</w:t>
      </w:r>
      <w:r>
        <w:rPr>
          <w:rFonts w:hint="eastAsia" w:ascii="宋体" w:hAnsi="宋体"/>
          <w:color w:val="auto"/>
        </w:rPr>
        <w:t>年全国、全省中等职业学校技能大赛，在大赛中取得可喜成绩，共获得省级</w:t>
      </w:r>
      <w:r>
        <w:rPr>
          <w:rFonts w:hint="eastAsia" w:ascii="宋体" w:hAnsi="宋体"/>
          <w:color w:val="auto"/>
          <w:lang w:val="en-US" w:eastAsia="zh-CN"/>
        </w:rPr>
        <w:t>7</w:t>
      </w:r>
      <w:r>
        <w:rPr>
          <w:rFonts w:hint="eastAsia" w:ascii="宋体" w:hAnsi="宋体"/>
          <w:color w:val="auto"/>
        </w:rPr>
        <w:t>个一等奖、1</w:t>
      </w:r>
      <w:r>
        <w:rPr>
          <w:rFonts w:hint="eastAsia" w:ascii="宋体" w:hAnsi="宋体"/>
          <w:color w:val="auto"/>
          <w:lang w:val="en-US" w:eastAsia="zh-CN"/>
        </w:rPr>
        <w:t>0</w:t>
      </w:r>
      <w:r>
        <w:rPr>
          <w:rFonts w:hint="eastAsia" w:ascii="宋体" w:hAnsi="宋体"/>
          <w:color w:val="auto"/>
        </w:rPr>
        <w:t>个二等奖、1</w:t>
      </w:r>
      <w:r>
        <w:rPr>
          <w:rFonts w:hint="eastAsia" w:ascii="宋体" w:hAnsi="宋体"/>
          <w:color w:val="auto"/>
          <w:lang w:val="en-US" w:eastAsia="zh-CN"/>
        </w:rPr>
        <w:t>7</w:t>
      </w:r>
      <w:r>
        <w:rPr>
          <w:rFonts w:hint="eastAsia" w:ascii="宋体" w:hAnsi="宋体"/>
          <w:color w:val="auto"/>
        </w:rPr>
        <w:t>个三等奖。国家级</w:t>
      </w:r>
      <w:r>
        <w:rPr>
          <w:rFonts w:hint="eastAsia" w:ascii="宋体" w:hAnsi="宋体"/>
          <w:color w:val="auto"/>
          <w:lang w:val="en-US" w:eastAsia="zh-CN"/>
        </w:rPr>
        <w:t>1</w:t>
      </w:r>
      <w:r>
        <w:rPr>
          <w:rFonts w:hint="eastAsia" w:ascii="宋体" w:hAnsi="宋体"/>
          <w:color w:val="auto"/>
        </w:rPr>
        <w:t>个三等奖。通过比赛，不断提升学校的技能大赛成绩，促进了学校教育教学水平的提高，推进了理论与实践一体化教学改革进程，提升了人才培养质量，营造了良好的校园育人氛围。</w:t>
      </w:r>
    </w:p>
    <w:p>
      <w:pPr>
        <w:pStyle w:val="3"/>
        <w:spacing w:beforeLines="0"/>
        <w:ind w:firstLine="602"/>
        <w:rPr>
          <w:rFonts w:hint="eastAsia"/>
          <w:color w:val="auto"/>
        </w:rPr>
      </w:pPr>
      <w:bookmarkStart w:id="14" w:name="_Toc14628"/>
      <w:r>
        <w:rPr>
          <w:rFonts w:hint="eastAsia"/>
          <w:color w:val="auto"/>
        </w:rPr>
        <w:t>（三</w:t>
      </w:r>
      <w:r>
        <w:rPr>
          <w:color w:val="auto"/>
        </w:rPr>
        <w:t>）</w:t>
      </w:r>
      <w:r>
        <w:rPr>
          <w:rFonts w:hint="eastAsia"/>
          <w:color w:val="auto"/>
        </w:rPr>
        <w:t>教师培养</w:t>
      </w:r>
      <w:r>
        <w:rPr>
          <w:color w:val="auto"/>
        </w:rPr>
        <w:t>培训</w:t>
      </w:r>
      <w:bookmarkEnd w:id="14"/>
    </w:p>
    <w:p>
      <w:pPr>
        <w:ind w:firstLine="560"/>
        <w:rPr>
          <w:rFonts w:ascii="宋体" w:hAnsi="宋体"/>
          <w:color w:val="auto"/>
        </w:rPr>
      </w:pPr>
      <w:r>
        <w:rPr>
          <w:rFonts w:hint="eastAsia" w:ascii="宋体" w:hAnsi="宋体"/>
          <w:color w:val="auto"/>
        </w:rPr>
        <w:t>学校围绕专业化、职业化、信息化的师资培养目标，建立国家</w:t>
      </w:r>
      <w:r>
        <w:rPr>
          <w:rFonts w:hint="eastAsia" w:ascii="宋体" w:hAnsi="宋体"/>
          <w:color w:val="auto"/>
          <w:lang w:eastAsia="zh-CN"/>
        </w:rPr>
        <w:t>级、</w:t>
      </w:r>
      <w:r>
        <w:rPr>
          <w:rFonts w:hint="eastAsia" w:ascii="宋体" w:hAnsi="宋体"/>
          <w:color w:val="auto"/>
        </w:rPr>
        <w:t>省</w:t>
      </w:r>
      <w:r>
        <w:rPr>
          <w:rFonts w:hint="eastAsia" w:ascii="宋体" w:hAnsi="宋体"/>
          <w:color w:val="auto"/>
          <w:lang w:eastAsia="zh-CN"/>
        </w:rPr>
        <w:t>级</w:t>
      </w:r>
      <w:r>
        <w:rPr>
          <w:rFonts w:hint="eastAsia" w:ascii="宋体" w:hAnsi="宋体"/>
          <w:color w:val="auto"/>
        </w:rPr>
        <w:t>骨干教师培训、</w:t>
      </w:r>
      <w:r>
        <w:rPr>
          <w:rFonts w:hint="eastAsia" w:ascii="宋体" w:hAnsi="宋体"/>
          <w:color w:val="auto"/>
          <w:lang w:eastAsia="zh-CN"/>
        </w:rPr>
        <w:t>海南省</w:t>
      </w:r>
      <w:r>
        <w:rPr>
          <w:rFonts w:hint="eastAsia" w:ascii="宋体" w:hAnsi="宋体"/>
          <w:color w:val="auto"/>
        </w:rPr>
        <w:t>中职专业带头人工作室项目</w:t>
      </w:r>
      <w:r>
        <w:rPr>
          <w:rFonts w:hint="eastAsia" w:ascii="宋体" w:hAnsi="宋体"/>
          <w:color w:val="auto"/>
          <w:lang w:eastAsia="zh-CN"/>
        </w:rPr>
        <w:t>、</w:t>
      </w:r>
      <w:r>
        <w:rPr>
          <w:rFonts w:hint="eastAsia" w:ascii="宋体" w:hAnsi="宋体"/>
          <w:color w:val="auto"/>
        </w:rPr>
        <w:t>校本培训</w:t>
      </w:r>
      <w:r>
        <w:rPr>
          <w:rFonts w:hint="eastAsia" w:ascii="宋体" w:hAnsi="宋体"/>
          <w:color w:val="auto"/>
          <w:lang w:eastAsia="zh-CN"/>
        </w:rPr>
        <w:t>、</w:t>
      </w:r>
      <w:r>
        <w:rPr>
          <w:rFonts w:hint="eastAsia" w:ascii="宋体" w:hAnsi="宋体"/>
          <w:color w:val="auto"/>
        </w:rPr>
        <w:t>企业实践“四维式”教师培养培训路径。通过培训，使新教师顺利启航，老教师进一步提高教育教学能力、专业技术能力、职业指导能力，让教师在岗位上学习，在岗位上实践，切实提高办学质量和办学品位。</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1</w:t>
      </w:r>
      <w:r>
        <w:rPr>
          <w:rFonts w:hint="eastAsia" w:ascii="仿宋_GB2312" w:eastAsia="仿宋_GB2312"/>
          <w:b/>
          <w:color w:val="auto"/>
          <w:kern w:val="0"/>
          <w:szCs w:val="28"/>
        </w:rPr>
        <w:t>．切实做好教师培训工作，促进教师队伍专业发展。</w:t>
      </w:r>
    </w:p>
    <w:p>
      <w:pPr>
        <w:ind w:firstLine="560"/>
        <w:rPr>
          <w:rFonts w:ascii="宋体" w:hAnsi="宋体"/>
          <w:color w:val="auto"/>
        </w:rPr>
      </w:pPr>
      <w:r>
        <w:rPr>
          <w:rFonts w:hint="eastAsia" w:ascii="宋体" w:hAnsi="宋体"/>
          <w:color w:val="auto"/>
          <w:lang w:val="en-US" w:eastAsia="zh-CN"/>
        </w:rPr>
        <w:t>2019年</w:t>
      </w:r>
      <w:r>
        <w:rPr>
          <w:rFonts w:ascii="宋体" w:hAnsi="宋体"/>
          <w:color w:val="auto"/>
        </w:rPr>
        <w:t>我校的教师培训着眼于优化教师队伍结构和学科建设的需要，贯彻理论与实践统一的思想，坚持按需培训，学用一致的方针，坚持在职为主，加强实践、多种形式并重的培训原则。</w:t>
      </w:r>
    </w:p>
    <w:p>
      <w:pPr>
        <w:ind w:firstLine="560"/>
        <w:rPr>
          <w:rFonts w:ascii="宋体" w:hAnsi="宋体"/>
          <w:color w:val="auto"/>
        </w:rPr>
      </w:pPr>
      <w:r>
        <w:rPr>
          <w:rFonts w:ascii="宋体" w:hAnsi="宋体"/>
          <w:color w:val="auto"/>
        </w:rPr>
        <w:t>截止201</w:t>
      </w:r>
      <w:r>
        <w:rPr>
          <w:rFonts w:hint="eastAsia" w:ascii="宋体" w:hAnsi="宋体"/>
          <w:color w:val="auto"/>
          <w:lang w:val="en-US" w:eastAsia="zh-CN"/>
        </w:rPr>
        <w:t>9</w:t>
      </w:r>
      <w:r>
        <w:rPr>
          <w:rFonts w:ascii="宋体" w:hAnsi="宋体"/>
          <w:color w:val="auto"/>
        </w:rPr>
        <w:t>年12月31日，共外派7名教师参加2017年度中职国家级项目培训，</w:t>
      </w:r>
      <w:r>
        <w:rPr>
          <w:rFonts w:hint="eastAsia" w:ascii="宋体" w:hAnsi="宋体"/>
          <w:color w:val="auto"/>
          <w:lang w:val="en-US" w:eastAsia="zh-CN"/>
        </w:rPr>
        <w:t>8</w:t>
      </w:r>
      <w:r>
        <w:rPr>
          <w:rFonts w:ascii="宋体" w:hAnsi="宋体"/>
          <w:color w:val="auto"/>
        </w:rPr>
        <w:t>名教师参加201</w:t>
      </w:r>
      <w:r>
        <w:rPr>
          <w:rFonts w:hint="eastAsia" w:ascii="宋体" w:hAnsi="宋体"/>
          <w:color w:val="auto"/>
          <w:lang w:val="en-US" w:eastAsia="zh-CN"/>
        </w:rPr>
        <w:t>9</w:t>
      </w:r>
      <w:r>
        <w:rPr>
          <w:rFonts w:ascii="宋体" w:hAnsi="宋体"/>
          <w:color w:val="auto"/>
        </w:rPr>
        <w:t>年度</w:t>
      </w:r>
      <w:r>
        <w:rPr>
          <w:rFonts w:hint="eastAsia" w:ascii="宋体" w:hAnsi="宋体"/>
          <w:color w:val="auto"/>
        </w:rPr>
        <w:t>国家级、省级项目培训</w:t>
      </w:r>
      <w:r>
        <w:rPr>
          <w:rFonts w:ascii="宋体" w:hAnsi="宋体"/>
          <w:color w:val="auto"/>
        </w:rPr>
        <w:t>，派教师</w:t>
      </w:r>
      <w:r>
        <w:rPr>
          <w:rFonts w:hint="eastAsia" w:ascii="宋体" w:hAnsi="宋体"/>
          <w:color w:val="auto"/>
          <w:lang w:val="en-US" w:eastAsia="zh-CN"/>
        </w:rPr>
        <w:t>239</w:t>
      </w:r>
      <w:r>
        <w:rPr>
          <w:rFonts w:ascii="宋体" w:hAnsi="宋体"/>
          <w:color w:val="auto"/>
        </w:rPr>
        <w:t>人次参加省级</w:t>
      </w:r>
      <w:r>
        <w:rPr>
          <w:rFonts w:hint="eastAsia" w:ascii="宋体" w:hAnsi="宋体"/>
          <w:color w:val="auto"/>
        </w:rPr>
        <w:t>海南省中职专业带头人工作室项目</w:t>
      </w:r>
      <w:r>
        <w:rPr>
          <w:rFonts w:ascii="宋体" w:hAnsi="宋体"/>
          <w:color w:val="auto"/>
        </w:rPr>
        <w:t>培训。校本培训有集中培训、分组学习培训和网络学习三种形式。</w:t>
      </w:r>
      <w:r>
        <w:rPr>
          <w:rFonts w:hint="eastAsia" w:ascii="宋体" w:hAnsi="宋体"/>
          <w:color w:val="auto"/>
        </w:rPr>
        <w:t>学校聘请专家开展了PPT课件制作、普通话、信息化、语言文字规范化、网络安全等方面校本培训，参加教师882人次，有效提高教职工综合素质。</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2</w:t>
      </w:r>
      <w:r>
        <w:rPr>
          <w:rFonts w:hint="eastAsia" w:ascii="仿宋_GB2312" w:eastAsia="仿宋_GB2312"/>
          <w:b/>
          <w:color w:val="auto"/>
          <w:kern w:val="0"/>
          <w:szCs w:val="28"/>
        </w:rPr>
        <w:t>．合理安排教师实践锻炼，加强“双师型”教师队伍建设。</w:t>
      </w:r>
    </w:p>
    <w:p>
      <w:pPr>
        <w:ind w:firstLine="560"/>
        <w:rPr>
          <w:rFonts w:ascii="宋体" w:hAnsi="宋体"/>
          <w:color w:val="auto"/>
        </w:rPr>
      </w:pPr>
      <w:r>
        <w:rPr>
          <w:rFonts w:hint="eastAsia" w:ascii="宋体" w:hAnsi="宋体"/>
          <w:color w:val="auto"/>
        </w:rPr>
        <w:t>为响应国家全面深化新时代教师队伍建设改革号召，全面推进我校“双师型”师资队伍的建设，更好地实现培养应用型人才，各专业教研室根据具体情况，安排</w:t>
      </w:r>
      <w:r>
        <w:rPr>
          <w:rFonts w:hint="eastAsia" w:ascii="宋体" w:hAnsi="宋体"/>
          <w:color w:val="auto"/>
          <w:lang w:val="en-US" w:eastAsia="zh-CN"/>
        </w:rPr>
        <w:t>18</w:t>
      </w:r>
      <w:r>
        <w:rPr>
          <w:rFonts w:hint="eastAsia" w:ascii="宋体" w:hAnsi="宋体"/>
          <w:color w:val="auto"/>
        </w:rPr>
        <w:t>名教师在寒暑假期间到海南君澜·鹿回头国宾馆、海南海口海鸥美业、佰车汇汽车修理厂等单位跟岗实践。及时掌握本专业发展动态及实际应用情况，充分了解相应的业务流程、岗位素质、知识技能要求，有效提高自身的“双师”素质。</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3</w:t>
      </w:r>
      <w:r>
        <w:rPr>
          <w:rFonts w:hint="eastAsia" w:ascii="仿宋_GB2312" w:eastAsia="仿宋_GB2312"/>
          <w:b/>
          <w:color w:val="auto"/>
          <w:kern w:val="0"/>
          <w:szCs w:val="28"/>
        </w:rPr>
        <w:t>．及时完成继续教育学分登记工作</w:t>
      </w:r>
    </w:p>
    <w:p>
      <w:pPr>
        <w:ind w:firstLine="560"/>
        <w:rPr>
          <w:rFonts w:ascii="宋体" w:hAnsi="宋体"/>
          <w:color w:val="auto"/>
        </w:rPr>
      </w:pPr>
      <w:r>
        <w:rPr>
          <w:rFonts w:hint="eastAsia" w:ascii="宋体" w:hAnsi="宋体"/>
          <w:color w:val="auto"/>
        </w:rPr>
        <w:t>为了规范我省中等职业学校教师继续教育管理，根据海南省教育研究培训院有关文件精神，海南省经济技术学校2018年度教师继续教育学分登记通过教师个人申请、各教研室初审、教学督导工作室复审后，并于2019年5月初报送省教培院进行学分审核认定，我校共有132名教师参加2018年度教师继续教育学分登记，132名教师本年度学分合格，合格率为100%。其中2018年度我校有6名新教师申请开启学分登记且全部全格，合格率达100%；2014年—2018年五年一周期审核工作结束，我校有89位教师周期合格，其中有2位教师周期不合格，合格率达98%。继续教育学分登记工作，有效促进教师队伍整体素质全面提高，进一步完善教学管理制度，为提高教育工作质量奠定基础。</w:t>
      </w:r>
    </w:p>
    <w:p>
      <w:pPr>
        <w:pStyle w:val="3"/>
        <w:spacing w:beforeLines="0"/>
        <w:ind w:firstLine="602"/>
        <w:rPr>
          <w:rFonts w:hint="eastAsia"/>
          <w:color w:val="auto"/>
        </w:rPr>
      </w:pPr>
      <w:bookmarkStart w:id="15" w:name="_Toc5711"/>
      <w:r>
        <w:rPr>
          <w:rFonts w:hint="eastAsia"/>
          <w:color w:val="auto"/>
        </w:rPr>
        <w:t>（四</w:t>
      </w:r>
      <w:r>
        <w:rPr>
          <w:color w:val="auto"/>
        </w:rPr>
        <w:t>）</w:t>
      </w:r>
      <w:r>
        <w:rPr>
          <w:rFonts w:hint="eastAsia"/>
          <w:color w:val="auto"/>
        </w:rPr>
        <w:t>规范</w:t>
      </w:r>
      <w:r>
        <w:rPr>
          <w:color w:val="auto"/>
        </w:rPr>
        <w:t>管理情况</w:t>
      </w:r>
      <w:bookmarkEnd w:id="15"/>
    </w:p>
    <w:p>
      <w:pPr>
        <w:ind w:firstLine="562"/>
        <w:rPr>
          <w:rFonts w:hint="eastAsia" w:ascii="仿宋_GB2312" w:eastAsia="仿宋_GB2312"/>
          <w:b/>
          <w:color w:val="auto"/>
          <w:kern w:val="0"/>
          <w:szCs w:val="28"/>
        </w:rPr>
      </w:pPr>
      <w:r>
        <w:rPr>
          <w:rFonts w:hint="eastAsia" w:ascii="仿宋_GB2312" w:eastAsia="仿宋_GB2312"/>
          <w:b/>
          <w:color w:val="auto"/>
          <w:kern w:val="0"/>
          <w:szCs w:val="28"/>
        </w:rPr>
        <w:t>1．抓好教学常规管理工作</w:t>
      </w:r>
    </w:p>
    <w:p>
      <w:pPr>
        <w:ind w:firstLine="560"/>
        <w:rPr>
          <w:rFonts w:hint="eastAsia" w:ascii="宋体" w:hAnsi="宋体"/>
          <w:color w:val="auto"/>
        </w:rPr>
      </w:pPr>
      <w:r>
        <w:rPr>
          <w:rFonts w:hint="eastAsia" w:ascii="宋体" w:hAnsi="宋体"/>
          <w:color w:val="auto"/>
        </w:rPr>
        <w:t>一是制定教学计划、编制教学大纲、按进度计划进行教学。在明确学校专业发展规划的指导思想、原则、总体目标和任务的基础上，按照专业教学计划意见和要求，认真制订各专业实施教学计划，并在教学中严格按实施教学计划执行，实施计划的总体调整度不超过计划的15%。每学期开学初，任课教师根据教学大纲、实施教学计划的要求，认真填写教学授课进度计划，各教研室在学期初、期中、期末时对教师的授课进度计划、教案等进行认真审查和检查，同时督促教师按教学大纲的要求进行教学。</w:t>
      </w:r>
    </w:p>
    <w:p>
      <w:pPr>
        <w:ind w:firstLine="560"/>
        <w:rPr>
          <w:rFonts w:hint="eastAsia" w:ascii="宋体" w:hAnsi="宋体"/>
          <w:color w:val="auto"/>
        </w:rPr>
      </w:pPr>
      <w:r>
        <w:rPr>
          <w:rFonts w:hint="eastAsia" w:ascii="宋体" w:hAnsi="宋体"/>
          <w:color w:val="auto"/>
        </w:rPr>
        <w:t>二是加强日常教学管理工作。教务科能及时准确按学校要求做好日常教学管理工作。从教学安排、教学任务下达、任课教师安排、到课程表、晚自习辅导安排表等的编制，都能做到及时、准确。教务科每周对教学日志的填写进行检查及汇总，发现问题及时反馈和上报，确保学校教学秩序的正常。认真做好教师课时统计、学生考试及补考等各项日常教学管理工作。</w:t>
      </w:r>
    </w:p>
    <w:p>
      <w:pPr>
        <w:ind w:firstLine="560"/>
        <w:rPr>
          <w:rFonts w:hint="eastAsia" w:ascii="宋体" w:hAnsi="宋体" w:eastAsia="宋体"/>
          <w:color w:val="auto"/>
          <w:lang w:eastAsia="zh-CN"/>
        </w:rPr>
      </w:pPr>
      <w:r>
        <w:rPr>
          <w:rFonts w:hint="eastAsia" w:ascii="宋体" w:hAnsi="宋体"/>
          <w:color w:val="auto"/>
        </w:rPr>
        <w:t>三是加强教学督导。在期末考试前通过学生评教、学生座谈会等形式开展学生评教工作。由教学督导工作室牵头及各教研室负责人对期初、期中、期末教学工作检查、不定时抽查制度，将督导中发现的问题及时反馈本人及其教研室，增强教师的责任意识和纪律意识。</w:t>
      </w:r>
      <w:r>
        <w:rPr>
          <w:rFonts w:hint="eastAsia" w:ascii="宋体" w:hAnsi="宋体"/>
          <w:color w:val="auto"/>
          <w:lang w:eastAsia="zh-CN"/>
        </w:rPr>
        <w:t>结合教师第一党支部品牌</w:t>
      </w:r>
      <w:r>
        <w:rPr>
          <w:rFonts w:hint="eastAsia" w:asciiTheme="majorEastAsia" w:hAnsiTheme="majorEastAsia" w:eastAsiaTheme="majorEastAsia"/>
          <w:color w:val="auto"/>
          <w:sz w:val="28"/>
          <w:szCs w:val="28"/>
        </w:rPr>
        <w:t>“扶青互助</w:t>
      </w:r>
      <w:r>
        <w:rPr>
          <w:rFonts w:hint="eastAsia" w:asciiTheme="majorEastAsia" w:hAnsiTheme="majorEastAsia" w:eastAsiaTheme="majorEastAsia"/>
          <w:color w:val="auto"/>
          <w:sz w:val="28"/>
          <w:szCs w:val="28"/>
          <w:lang w:eastAsia="zh-CN"/>
        </w:rPr>
        <w:t>组</w:t>
      </w:r>
      <w:r>
        <w:rPr>
          <w:rFonts w:hint="eastAsia" w:asciiTheme="majorEastAsia" w:hAnsiTheme="majorEastAsia" w:eastAsiaTheme="majorEastAsia"/>
          <w:color w:val="auto"/>
          <w:sz w:val="28"/>
          <w:szCs w:val="28"/>
        </w:rPr>
        <w:t>”</w:t>
      </w:r>
      <w:r>
        <w:rPr>
          <w:rFonts w:hint="eastAsia" w:asciiTheme="majorEastAsia" w:hAnsiTheme="majorEastAsia" w:eastAsiaTheme="majorEastAsia"/>
          <w:color w:val="auto"/>
          <w:sz w:val="28"/>
          <w:szCs w:val="28"/>
          <w:lang w:eastAsia="zh-CN"/>
        </w:rPr>
        <w:t>品牌创建活动，督导室及教务科</w:t>
      </w:r>
      <w:r>
        <w:rPr>
          <w:rFonts w:hint="eastAsia" w:ascii="宋体" w:hAnsi="宋体"/>
          <w:color w:val="auto"/>
        </w:rPr>
        <w:t>开展听课、评课及课堂督导教学活动，有效地促进了教学质量的提高</w:t>
      </w:r>
      <w:r>
        <w:rPr>
          <w:rFonts w:hint="eastAsia" w:ascii="宋体" w:hAnsi="宋体"/>
          <w:color w:val="auto"/>
          <w:lang w:eastAsia="zh-CN"/>
        </w:rPr>
        <w:t>。</w:t>
      </w:r>
    </w:p>
    <w:p>
      <w:pPr>
        <w:ind w:firstLine="560"/>
        <w:rPr>
          <w:rFonts w:hint="eastAsia" w:ascii="宋体" w:hAnsi="宋体"/>
          <w:color w:val="auto"/>
        </w:rPr>
      </w:pPr>
      <w:r>
        <w:rPr>
          <w:rFonts w:hint="eastAsia" w:ascii="宋体" w:hAnsi="宋体"/>
          <w:color w:val="auto"/>
        </w:rPr>
        <w:t>四是加强教学检查。教务人员与教学督导工作室人员为了规范教学秩序，提高教师的责任意识和纪律意识，保障教学管理活动正常安全有效开展，建立日常课堂教学巡视制度，坚持每天至少教学巡视一次，并做好记录，通过加强教学检查，确保全年无重大教学事故发生。</w:t>
      </w:r>
    </w:p>
    <w:p>
      <w:pPr>
        <w:ind w:firstLine="560"/>
        <w:rPr>
          <w:rFonts w:hint="eastAsia" w:ascii="宋体" w:hAnsi="宋体"/>
          <w:color w:val="auto"/>
        </w:rPr>
      </w:pPr>
      <w:r>
        <w:rPr>
          <w:rFonts w:hint="eastAsia" w:ascii="宋体" w:hAnsi="宋体"/>
          <w:color w:val="auto"/>
        </w:rPr>
        <w:t>五是坚持教研活动常态化，每2周开展一次教研活动，每学期组织了教学工作学生代表座谈会。组织开展了示范课、公开课、观摩课教学活动。结合“不忘初心，牢记使命”主题教育</w:t>
      </w:r>
      <w:r>
        <w:rPr>
          <w:rFonts w:hint="eastAsia" w:ascii="宋体" w:hAnsi="宋体"/>
          <w:color w:val="auto"/>
          <w:lang w:eastAsia="zh-CN"/>
        </w:rPr>
        <w:t>，</w:t>
      </w:r>
      <w:r>
        <w:rPr>
          <w:rFonts w:hint="eastAsia" w:ascii="宋体" w:hAnsi="宋体"/>
          <w:color w:val="auto"/>
        </w:rPr>
        <w:t>在教师中开展“一课一名师”优质课评比活动，每个教研室都选出一门课程进行评比，通过比赛促进教师教学水平的提高。</w:t>
      </w:r>
    </w:p>
    <w:p>
      <w:pPr>
        <w:ind w:firstLine="562"/>
        <w:rPr>
          <w:rFonts w:hint="eastAsia" w:ascii="仿宋_GB2312" w:eastAsia="仿宋_GB2312"/>
          <w:b/>
          <w:color w:val="auto"/>
          <w:kern w:val="0"/>
          <w:szCs w:val="28"/>
        </w:rPr>
      </w:pPr>
      <w:r>
        <w:rPr>
          <w:rFonts w:hint="eastAsia" w:ascii="仿宋_GB2312" w:eastAsia="仿宋_GB2312"/>
          <w:b/>
          <w:color w:val="auto"/>
          <w:kern w:val="0"/>
          <w:szCs w:val="28"/>
        </w:rPr>
        <w:t>2．学生管理</w:t>
      </w:r>
    </w:p>
    <w:p>
      <w:pPr>
        <w:ind w:firstLine="560"/>
        <w:rPr>
          <w:rFonts w:ascii="宋体" w:hAnsi="宋体"/>
          <w:color w:val="auto"/>
        </w:rPr>
      </w:pPr>
      <w:r>
        <w:rPr>
          <w:rFonts w:hint="eastAsia" w:ascii="宋体" w:hAnsi="宋体"/>
          <w:color w:val="auto"/>
        </w:rPr>
        <w:t>学校注重学生的常规管理，引进企业“7S”管理理念，把“企业化”管理贯穿到学生的行为习惯、组织纪律、文明礼貌、人际交往等各个层面，以此带动校风、教风、学风建设。通过各种活动，如对新生进行为期1个月的入学教育、校史教育，邀请公、检、法等部门进行法制讲座、模拟法庭、现身说法、禁毒讲座等活动，提升其思想品德素养，激发学生生活的热情，树立正确的人生观、价值观和社会观，规范学生言行。</w:t>
      </w:r>
    </w:p>
    <w:p>
      <w:pPr>
        <w:ind w:firstLine="562"/>
        <w:rPr>
          <w:rFonts w:hint="eastAsia" w:ascii="仿宋_GB2312" w:eastAsia="仿宋_GB2312"/>
          <w:b/>
          <w:color w:val="auto"/>
          <w:kern w:val="0"/>
          <w:szCs w:val="28"/>
        </w:rPr>
      </w:pPr>
      <w:r>
        <w:rPr>
          <w:rFonts w:hint="eastAsia" w:ascii="仿宋_GB2312" w:eastAsia="仿宋_GB2312"/>
          <w:b/>
          <w:color w:val="auto"/>
          <w:kern w:val="0"/>
          <w:szCs w:val="28"/>
        </w:rPr>
        <w:t>3．财务管理</w:t>
      </w:r>
    </w:p>
    <w:p>
      <w:pPr>
        <w:ind w:firstLine="560"/>
        <w:rPr>
          <w:rFonts w:ascii="宋体" w:hAnsi="宋体"/>
          <w:color w:val="auto"/>
        </w:rPr>
      </w:pPr>
      <w:r>
        <w:rPr>
          <w:rFonts w:hint="eastAsia" w:ascii="宋体" w:hAnsi="宋体"/>
          <w:color w:val="auto"/>
        </w:rPr>
        <w:t>第一</w:t>
      </w:r>
      <w:r>
        <w:rPr>
          <w:rFonts w:hint="eastAsia" w:ascii="宋体" w:hAnsi="宋体"/>
          <w:color w:val="auto"/>
          <w:lang w:eastAsia="zh-CN"/>
        </w:rPr>
        <w:t>，</w:t>
      </w:r>
      <w:r>
        <w:rPr>
          <w:rFonts w:hint="eastAsia" w:ascii="宋体" w:hAnsi="宋体"/>
          <w:color w:val="auto"/>
        </w:rPr>
        <w:t>合理安排收支预算，严格预算管理。根据学校上年度的实际情况，拟定的预算方案，使预算更加切合实际。充分发挥在财务管理中的积极作用，较圆满地完成预算编制任务。第二</w:t>
      </w:r>
      <w:r>
        <w:rPr>
          <w:rFonts w:hint="eastAsia" w:ascii="宋体" w:hAnsi="宋体"/>
          <w:color w:val="auto"/>
          <w:lang w:eastAsia="zh-CN"/>
        </w:rPr>
        <w:t>，</w:t>
      </w:r>
      <w:r>
        <w:rPr>
          <w:rFonts w:hint="eastAsia" w:ascii="宋体" w:hAnsi="宋体"/>
          <w:color w:val="auto"/>
        </w:rPr>
        <w:t>认真做好决算工作。针对所编制的报表进行对比性分析，通过分析，总结经验，揭示存在的问题，为学校领导决策提供依据。第三</w:t>
      </w:r>
      <w:r>
        <w:rPr>
          <w:rFonts w:hint="eastAsia" w:ascii="宋体" w:hAnsi="宋体"/>
          <w:color w:val="auto"/>
          <w:lang w:eastAsia="zh-CN"/>
        </w:rPr>
        <w:t>，</w:t>
      </w:r>
      <w:r>
        <w:rPr>
          <w:rFonts w:hint="eastAsia" w:ascii="宋体" w:hAnsi="宋体"/>
          <w:color w:val="auto"/>
        </w:rPr>
        <w:t>努力学习，提高财会人员的自身素质。除了积极参加学校的一切政治学习外，财务人员利用业余时间积极学习，不断的提高财会知识和政策水平。第四、继续严格执行政府招标程序，修订完善学校有关项目管理办法，加强项目资料的规范管理。</w:t>
      </w:r>
    </w:p>
    <w:p>
      <w:pPr>
        <w:ind w:firstLine="562"/>
        <w:rPr>
          <w:rFonts w:ascii="仿宋_GB2312" w:eastAsia="仿宋_GB2312"/>
          <w:b/>
          <w:color w:val="auto"/>
          <w:kern w:val="0"/>
          <w:szCs w:val="28"/>
        </w:rPr>
      </w:pPr>
      <w:r>
        <w:rPr>
          <w:rFonts w:hint="eastAsia" w:ascii="仿宋_GB2312" w:eastAsia="仿宋_GB2312"/>
          <w:b/>
          <w:color w:val="auto"/>
          <w:kern w:val="0"/>
          <w:szCs w:val="28"/>
        </w:rPr>
        <w:t>4．后勤管理</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rPr>
        <w:t>争取专项资金，加大投入，加快校园基础能力建设。完成校园文化升级改造项目建设，建成府城校区师生活动中心和读书文化园，完成桂林洋校区集体宿舍热水器安装和道路硬化美好环境改造等。师生的学习和生活条件不断得到改善，进一步优化育人环境。</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w:t>
      </w:r>
      <w:r>
        <w:rPr>
          <w:rFonts w:hint="eastAsia" w:ascii="宋体" w:hAnsi="宋体"/>
          <w:color w:val="auto"/>
        </w:rPr>
        <w:t>做好校园卫生保洁和绿化养护工作。清洁卫生实行区域责任制度，落实门前三包，抓好检查评比，促进成效。同时加强病媒生物防治，坚持每月一次校园除“四害”消杀，整个校园极少见蟑迹鼠迹，卫生环境焕然一新。</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3</w:t>
      </w:r>
      <w:r>
        <w:rPr>
          <w:rFonts w:hint="eastAsia" w:ascii="宋体" w:hAnsi="宋体"/>
          <w:color w:val="auto"/>
          <w:lang w:eastAsia="zh-CN"/>
        </w:rPr>
        <w:t>）</w:t>
      </w:r>
      <w:r>
        <w:rPr>
          <w:rFonts w:hint="eastAsia" w:ascii="宋体" w:hAnsi="宋体"/>
          <w:color w:val="auto"/>
        </w:rPr>
        <w:t>加强食堂食品卫生安全管理。严格按照《学校食品安全与营养健康管理规定》，制定实施《强化食品安全主体责任确保校园食品安全工作实施方案》，严格落实学校相关负责人陪餐制，建立集中用餐信息公开制度，开展食品卫生安全有奖举报活动，全面推进明厨亮灶工程。不断提高学校餐饮服务水平，构建和谐的用餐环境。</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4</w:t>
      </w:r>
      <w:r>
        <w:rPr>
          <w:rFonts w:hint="eastAsia" w:ascii="宋体" w:hAnsi="宋体"/>
          <w:color w:val="auto"/>
          <w:lang w:eastAsia="zh-CN"/>
        </w:rPr>
        <w:t>）</w:t>
      </w:r>
      <w:r>
        <w:rPr>
          <w:rFonts w:hint="eastAsia" w:ascii="宋体" w:hAnsi="宋体"/>
          <w:color w:val="auto"/>
        </w:rPr>
        <w:t>强化水电管理。积极消除安全隐患，对用电、用水、线路、管道等进行认真排查，对旧线路进行改造升级，校园全部达到电缆线路，既美观又安全。加强二次供水管理，健全水电操作规范，一年两次对地下水池和楼顶水池进行清洗、消毒及检测，确保学校生活饮用水安全。</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5</w:t>
      </w:r>
      <w:r>
        <w:rPr>
          <w:rFonts w:hint="eastAsia" w:ascii="宋体" w:hAnsi="宋体"/>
          <w:color w:val="auto"/>
          <w:lang w:eastAsia="zh-CN"/>
        </w:rPr>
        <w:t>）</w:t>
      </w:r>
      <w:r>
        <w:rPr>
          <w:rFonts w:hint="eastAsia" w:ascii="宋体" w:hAnsi="宋体"/>
          <w:color w:val="auto"/>
        </w:rPr>
        <w:t>抓好日常维修，提升服务水平。对校区实行区域划分、责任包干管理，分工明确。不断规范报修程序，实施限时维修，维修工作效率不断提高。在尽量的保证日常教学和办公需要的同时，尽可能的降低维修运营成本，最大程度上保证学校正常的教学与生活秩序。</w:t>
      </w:r>
    </w:p>
    <w:p>
      <w:pPr>
        <w:ind w:firstLine="562"/>
        <w:rPr>
          <w:rFonts w:hint="eastAsia" w:ascii="仿宋_GB2312" w:eastAsia="仿宋_GB2312"/>
          <w:b/>
          <w:color w:val="auto"/>
          <w:kern w:val="0"/>
          <w:szCs w:val="28"/>
        </w:rPr>
      </w:pPr>
      <w:r>
        <w:rPr>
          <w:rFonts w:ascii="仿宋_GB2312" w:eastAsia="仿宋_GB2312"/>
          <w:b/>
          <w:color w:val="auto"/>
          <w:kern w:val="0"/>
          <w:szCs w:val="28"/>
        </w:rPr>
        <w:t>5</w:t>
      </w:r>
      <w:r>
        <w:rPr>
          <w:rFonts w:hint="eastAsia" w:ascii="仿宋_GB2312" w:eastAsia="仿宋_GB2312"/>
          <w:b/>
          <w:color w:val="auto"/>
          <w:kern w:val="0"/>
          <w:szCs w:val="28"/>
        </w:rPr>
        <w:t>．安全管理</w:t>
      </w:r>
    </w:p>
    <w:p>
      <w:pPr>
        <w:ind w:firstLine="560"/>
        <w:rPr>
          <w:rFonts w:hint="eastAsia" w:ascii="宋体" w:hAnsi="宋体"/>
          <w:color w:val="auto"/>
        </w:rPr>
      </w:pPr>
      <w:r>
        <w:rPr>
          <w:rFonts w:hint="eastAsia" w:ascii="宋体" w:hAnsi="宋体"/>
          <w:color w:val="auto"/>
          <w:lang w:eastAsia="zh-CN"/>
        </w:rPr>
        <w:t>（一）</w:t>
      </w:r>
      <w:r>
        <w:rPr>
          <w:rFonts w:hint="eastAsia" w:ascii="宋体" w:hAnsi="宋体"/>
          <w:color w:val="auto"/>
        </w:rPr>
        <w:t>做好校园安全保卫工作。要求校警严格进出校门管理，加强车辆登记管理，来访登记，昼夜巡逻。学校每天还安排有由1名校领导带班的班主任值班和教职工综合值班制度，确保校园安全。</w:t>
      </w:r>
    </w:p>
    <w:p>
      <w:pPr>
        <w:ind w:firstLine="560"/>
        <w:rPr>
          <w:rFonts w:hint="eastAsia" w:ascii="宋体" w:hAnsi="宋体"/>
          <w:color w:val="auto"/>
        </w:rPr>
      </w:pPr>
      <w:r>
        <w:rPr>
          <w:rFonts w:hint="eastAsia" w:ascii="宋体" w:hAnsi="宋体"/>
          <w:color w:val="auto"/>
          <w:lang w:eastAsia="zh-CN"/>
        </w:rPr>
        <w:t>（二）</w:t>
      </w:r>
      <w:r>
        <w:rPr>
          <w:rFonts w:hint="eastAsia" w:ascii="宋体" w:hAnsi="宋体"/>
          <w:color w:val="auto"/>
        </w:rPr>
        <w:t>保卫科定期组织开展安全教育、安全防控、禁毒教育、消防教育、法治教育工作和宣传活动，每学期分校区开展一次消防应急演练，定期进行校园安全隐患排查和宿舍管制刀具危险品排查，全年校园无重大安全事故，无刑事犯罪案件。</w:t>
      </w:r>
    </w:p>
    <w:p>
      <w:pPr>
        <w:ind w:firstLine="562"/>
        <w:rPr>
          <w:rFonts w:ascii="仿宋_GB2312" w:eastAsia="仿宋_GB2312"/>
          <w:b/>
          <w:color w:val="auto"/>
          <w:kern w:val="0"/>
          <w:szCs w:val="28"/>
        </w:rPr>
      </w:pPr>
      <w:r>
        <w:rPr>
          <w:rFonts w:hint="eastAsia" w:ascii="仿宋_GB2312" w:eastAsia="仿宋_GB2312"/>
          <w:b/>
          <w:color w:val="auto"/>
          <w:kern w:val="0"/>
          <w:szCs w:val="28"/>
        </w:rPr>
        <w:t>5．科研管理</w:t>
      </w:r>
      <w:r>
        <w:rPr>
          <w:rFonts w:ascii="仿宋_GB2312" w:eastAsia="仿宋_GB2312"/>
          <w:b/>
          <w:color w:val="auto"/>
          <w:kern w:val="0"/>
          <w:szCs w:val="28"/>
        </w:rPr>
        <w:t>和管理队伍建设</w:t>
      </w:r>
    </w:p>
    <w:p>
      <w:pPr>
        <w:ind w:firstLine="560"/>
        <w:rPr>
          <w:rFonts w:hint="eastAsia" w:ascii="宋体" w:hAnsi="宋体"/>
          <w:color w:val="auto"/>
        </w:rPr>
      </w:pPr>
      <w:r>
        <w:rPr>
          <w:rFonts w:hint="eastAsia" w:ascii="宋体" w:hAnsi="宋体"/>
          <w:color w:val="auto"/>
        </w:rPr>
        <w:t>学校对于教科研管理十分重视，依托全校9个教研室，各类教研活动分层次、分阶段有序推进，着重以科研管理为抓手，走内涵式发展道路，各教研室每两周至少组织1次教研室集体教研活动。教研主题着眼于教育教学实践工作过程中产生的问题，致力于总结提升教育教学过程中积累的经验。201</w:t>
      </w:r>
      <w:r>
        <w:rPr>
          <w:rFonts w:hint="eastAsia" w:ascii="宋体" w:hAnsi="宋体"/>
          <w:color w:val="auto"/>
          <w:lang w:val="en-US" w:eastAsia="zh-CN"/>
        </w:rPr>
        <w:t>9</w:t>
      </w:r>
      <w:r>
        <w:rPr>
          <w:rFonts w:hint="eastAsia" w:ascii="宋体" w:hAnsi="宋体"/>
          <w:color w:val="auto"/>
        </w:rPr>
        <w:t>年度学校教师承担3项省级课题研究，其中李颖老师主持的省级课题《“旅游产业会计岗位实务”教材的开发研究》顺利结题。</w:t>
      </w:r>
    </w:p>
    <w:p>
      <w:pPr>
        <w:ind w:firstLine="560"/>
        <w:rPr>
          <w:rFonts w:hint="eastAsia" w:ascii="宋体" w:hAnsi="宋体" w:eastAsia="宋体"/>
          <w:color w:val="auto"/>
          <w:lang w:eastAsia="zh-CN"/>
        </w:rPr>
      </w:pPr>
      <w:r>
        <w:rPr>
          <w:rFonts w:hint="eastAsia" w:ascii="宋体" w:hAnsi="宋体"/>
          <w:color w:val="auto"/>
        </w:rPr>
        <w:t>学校还积极组织教师参加各类大赛，许美云、吴钟杰、吴丹娜团队获得2019年海南省中职学校教学能力大赛二等奖，黎欢慧、黄英典团队和王希凡、李晓仪团队都获得2019年海南省中职学校教学能力大赛三等奖。黎欢慧老师参加2019年海南省中职学校德育课教师研学提升活动获三等奖。吴文彬老师参加2019年海南省中职会计教师微课暨创新说课大赛获得一等奖，王婷、袁静老师参加2019年海南省中职会计教师微课暨创新说课大赛获得三等奖</w:t>
      </w:r>
      <w:r>
        <w:rPr>
          <w:rFonts w:hint="eastAsia" w:ascii="宋体" w:hAnsi="宋体"/>
          <w:color w:val="auto"/>
          <w:lang w:eastAsia="zh-CN"/>
        </w:rPr>
        <w:t>。</w:t>
      </w:r>
    </w:p>
    <w:p>
      <w:pPr>
        <w:ind w:firstLine="560"/>
        <w:rPr>
          <w:rFonts w:hint="eastAsia" w:ascii="宋体" w:hAnsi="宋体" w:eastAsia="宋体"/>
          <w:color w:val="auto"/>
          <w:lang w:eastAsia="zh-CN"/>
        </w:rPr>
      </w:pPr>
      <w:r>
        <w:rPr>
          <w:rFonts w:hint="eastAsia" w:ascii="宋体" w:hAnsi="宋体"/>
          <w:color w:val="auto"/>
        </w:rPr>
        <w:t>学校领导班子成员目前共有</w:t>
      </w:r>
      <w:r>
        <w:rPr>
          <w:rFonts w:hint="eastAsia" w:ascii="宋体" w:hAnsi="宋体"/>
          <w:color w:val="auto"/>
          <w:lang w:val="en-US" w:eastAsia="zh-CN"/>
        </w:rPr>
        <w:t>3</w:t>
      </w:r>
      <w:r>
        <w:rPr>
          <w:rFonts w:hint="eastAsia" w:ascii="宋体" w:hAnsi="宋体"/>
          <w:color w:val="auto"/>
        </w:rPr>
        <w:t>人（暂缺一名副校长）</w:t>
      </w:r>
      <w:r>
        <w:rPr>
          <w:rFonts w:hint="eastAsia" w:ascii="宋体" w:hAnsi="宋体"/>
          <w:color w:val="auto"/>
          <w:lang w:eastAsia="zh-CN"/>
        </w:rPr>
        <w:t>，</w:t>
      </w:r>
      <w:r>
        <w:rPr>
          <w:rFonts w:hint="eastAsia" w:ascii="宋体" w:hAnsi="宋体"/>
          <w:color w:val="auto"/>
        </w:rPr>
        <w:t>均为中共党员，综合素质高，领导能力强</w:t>
      </w:r>
      <w:r>
        <w:rPr>
          <w:rFonts w:hint="eastAsia" w:ascii="宋体" w:hAnsi="宋体"/>
          <w:color w:val="auto"/>
          <w:lang w:eastAsia="zh-CN"/>
        </w:rPr>
        <w:t>，</w:t>
      </w:r>
      <w:r>
        <w:rPr>
          <w:rFonts w:hint="eastAsia" w:ascii="宋体" w:hAnsi="宋体"/>
          <w:color w:val="auto"/>
        </w:rPr>
        <w:t>办学思路清晰，定位准确，班子成员分工明确，团结协作，工作务实，成绩显著；内部组织机构健全，管理人员岗位规范健全，岗位责任明确</w:t>
      </w:r>
      <w:r>
        <w:rPr>
          <w:rFonts w:hint="eastAsia" w:ascii="宋体" w:hAnsi="宋体"/>
          <w:color w:val="auto"/>
          <w:lang w:eastAsia="zh-CN"/>
        </w:rPr>
        <w:t>，目前中层干部</w:t>
      </w:r>
      <w:r>
        <w:rPr>
          <w:rFonts w:hint="eastAsia" w:ascii="宋体" w:hAnsi="宋体"/>
          <w:color w:val="auto"/>
          <w:lang w:val="en-US" w:eastAsia="zh-CN"/>
        </w:rPr>
        <w:t>11</w:t>
      </w:r>
      <w:r>
        <w:rPr>
          <w:rFonts w:hint="eastAsia" w:ascii="宋体" w:hAnsi="宋体"/>
          <w:color w:val="auto"/>
          <w:lang w:eastAsia="zh-CN"/>
        </w:rPr>
        <w:t>人，专项工作负责人14人</w:t>
      </w:r>
      <w:r>
        <w:rPr>
          <w:rFonts w:hint="eastAsia" w:ascii="宋体" w:hAnsi="宋体"/>
          <w:color w:val="auto"/>
        </w:rPr>
        <w:t>。学校重视管理队伍建设，不断加强干部队伍的思想政治教育和管理能力培养，加强管理队伍的学习、培训与考核管理，经常派出管理干部参加各种层次与形式的提升培训与交流学习</w:t>
      </w:r>
      <w:r>
        <w:rPr>
          <w:rFonts w:hint="eastAsia" w:ascii="宋体" w:hAnsi="宋体"/>
          <w:color w:val="auto"/>
          <w:lang w:eastAsia="zh-CN"/>
        </w:rPr>
        <w:t>。</w:t>
      </w:r>
    </w:p>
    <w:p>
      <w:pPr>
        <w:ind w:firstLine="562"/>
        <w:rPr>
          <w:rFonts w:hint="eastAsia" w:ascii="仿宋_GB2312" w:eastAsia="仿宋_GB2312"/>
          <w:b/>
          <w:color w:val="auto"/>
          <w:kern w:val="0"/>
          <w:szCs w:val="28"/>
        </w:rPr>
      </w:pPr>
      <w:r>
        <w:rPr>
          <w:rFonts w:ascii="仿宋_GB2312" w:eastAsia="仿宋_GB2312"/>
          <w:b/>
          <w:color w:val="auto"/>
          <w:kern w:val="0"/>
          <w:szCs w:val="28"/>
        </w:rPr>
        <w:t>6</w:t>
      </w:r>
      <w:r>
        <w:rPr>
          <w:rFonts w:hint="eastAsia" w:ascii="仿宋_GB2312" w:eastAsia="仿宋_GB2312"/>
          <w:b/>
          <w:color w:val="auto"/>
          <w:kern w:val="0"/>
          <w:szCs w:val="28"/>
        </w:rPr>
        <w:t>．管理信息化水平</w:t>
      </w:r>
    </w:p>
    <w:p>
      <w:pPr>
        <w:ind w:firstLine="560"/>
        <w:rPr>
          <w:rFonts w:hint="eastAsia" w:ascii="宋体" w:hAnsi="宋体"/>
          <w:color w:val="auto"/>
        </w:rPr>
      </w:pPr>
      <w:r>
        <w:rPr>
          <w:rFonts w:hint="eastAsia" w:ascii="宋体" w:hAnsi="宋体"/>
          <w:color w:val="auto"/>
        </w:rPr>
        <w:t>（1）成立信息化建设与管理办公室，加强信息化建设工作</w:t>
      </w:r>
    </w:p>
    <w:p>
      <w:pPr>
        <w:ind w:firstLine="560"/>
        <w:rPr>
          <w:rFonts w:hint="eastAsia" w:ascii="宋体" w:hAnsi="宋体"/>
          <w:color w:val="auto"/>
        </w:rPr>
      </w:pPr>
      <w:r>
        <w:rPr>
          <w:rFonts w:hint="eastAsia" w:ascii="宋体" w:hAnsi="宋体"/>
          <w:color w:val="auto"/>
        </w:rPr>
        <w:t>学校成立了“信息化建设与管理办公室”，由专人负责学校各类信息化应用的建设、管理、服务及维护，制定信息化发展规划，落实推进学校信息化建设方案，确保学校教育信息化的各项工作贯彻落实。</w:t>
      </w:r>
    </w:p>
    <w:p>
      <w:pPr>
        <w:ind w:firstLine="560"/>
        <w:rPr>
          <w:rFonts w:hint="eastAsia" w:ascii="宋体" w:hAnsi="宋体"/>
          <w:color w:val="auto"/>
        </w:rPr>
      </w:pPr>
      <w:r>
        <w:rPr>
          <w:rFonts w:hint="eastAsia" w:ascii="宋体" w:hAnsi="宋体"/>
          <w:color w:val="auto"/>
        </w:rPr>
        <w:t>（2）建设完善各项管理软件</w:t>
      </w:r>
    </w:p>
    <w:p>
      <w:pPr>
        <w:ind w:firstLine="560"/>
        <w:rPr>
          <w:rFonts w:ascii="宋体" w:hAnsi="宋体"/>
          <w:color w:val="auto"/>
        </w:rPr>
      </w:pPr>
      <w:r>
        <w:rPr>
          <w:rFonts w:hint="eastAsia" w:ascii="宋体" w:hAnsi="宋体"/>
          <w:color w:val="auto"/>
        </w:rPr>
        <w:t>学校正在逐步建立和完善学校智慧校园系统建设，建设有教务管理、学生管理、后勤管理、行政办公管理等4个系统，以管理软件为依托实现学校的教育管理信息化。</w:t>
      </w:r>
    </w:p>
    <w:p>
      <w:pPr>
        <w:pStyle w:val="3"/>
        <w:spacing w:beforeLines="0"/>
        <w:ind w:firstLine="602"/>
        <w:rPr>
          <w:rFonts w:hint="eastAsia"/>
          <w:color w:val="auto"/>
        </w:rPr>
      </w:pPr>
      <w:bookmarkStart w:id="16" w:name="_Toc24392"/>
      <w:r>
        <w:rPr>
          <w:rFonts w:hint="eastAsia"/>
          <w:color w:val="auto"/>
        </w:rPr>
        <w:t>（五</w:t>
      </w:r>
      <w:r>
        <w:rPr>
          <w:color w:val="auto"/>
        </w:rPr>
        <w:t>）</w:t>
      </w:r>
      <w:r>
        <w:rPr>
          <w:rFonts w:hint="eastAsia"/>
          <w:color w:val="auto"/>
        </w:rPr>
        <w:t>德育工作</w:t>
      </w:r>
      <w:r>
        <w:rPr>
          <w:color w:val="auto"/>
        </w:rPr>
        <w:t>情况</w:t>
      </w:r>
      <w:bookmarkEnd w:id="16"/>
    </w:p>
    <w:p>
      <w:pPr>
        <w:ind w:firstLine="560"/>
        <w:rPr>
          <w:rFonts w:hint="eastAsia" w:ascii="宋体" w:hAnsi="宋体"/>
          <w:color w:val="auto"/>
        </w:rPr>
      </w:pPr>
      <w:bookmarkStart w:id="17" w:name="_Toc438658214"/>
      <w:r>
        <w:rPr>
          <w:rFonts w:hint="eastAsia" w:ascii="宋体" w:hAnsi="宋体"/>
          <w:color w:val="auto"/>
        </w:rPr>
        <w:t>根据年度德育工作计划，以中职学生日常行为规范教育为目标，以学生的日常行为规范教育为基础，加强对学生的思想道德、行为规范和礼仪常规教育，坚持“突出重点，注重实效”地开展德育工作，围绕校园文化建设，积极开展各类主题教育活动，使学生学会做人，学会求知，学会生活，学会劳动，学会健体，学会审美，努力培养举止文明、日常礼仪、品德优良、心理健康、专业踏实且富有创新精神的准职业人。</w:t>
      </w:r>
    </w:p>
    <w:p>
      <w:pPr>
        <w:ind w:firstLine="560"/>
        <w:rPr>
          <w:rFonts w:hint="eastAsia" w:ascii="宋体" w:hAnsi="宋体"/>
          <w:color w:val="auto"/>
        </w:rPr>
      </w:pPr>
      <w:r>
        <w:rPr>
          <w:rFonts w:hint="eastAsia" w:ascii="仿宋_GB2312" w:eastAsia="仿宋_GB2312"/>
          <w:b/>
          <w:color w:val="auto"/>
          <w:kern w:val="0"/>
          <w:szCs w:val="28"/>
        </w:rPr>
        <w:t>1．德育课实施情况</w:t>
      </w:r>
    </w:p>
    <w:p>
      <w:pPr>
        <w:ind w:firstLine="560"/>
        <w:rPr>
          <w:b/>
          <w:color w:val="auto"/>
          <w:kern w:val="0"/>
          <w:szCs w:val="28"/>
        </w:rPr>
      </w:pPr>
      <w:r>
        <w:rPr>
          <w:rFonts w:hint="eastAsia"/>
          <w:b/>
          <w:color w:val="auto"/>
          <w:kern w:val="0"/>
          <w:szCs w:val="28"/>
        </w:rPr>
        <w:t>（</w:t>
      </w:r>
      <w:r>
        <w:rPr>
          <w:b/>
          <w:color w:val="auto"/>
          <w:kern w:val="0"/>
          <w:szCs w:val="28"/>
        </w:rPr>
        <w:t>1</w:t>
      </w:r>
      <w:r>
        <w:rPr>
          <w:rFonts w:hint="eastAsia"/>
          <w:b/>
          <w:color w:val="auto"/>
          <w:kern w:val="0"/>
          <w:szCs w:val="28"/>
        </w:rPr>
        <w:t>）学校德育课课程实施总体情况</w:t>
      </w:r>
    </w:p>
    <w:p>
      <w:pPr>
        <w:ind w:firstLine="560"/>
        <w:rPr>
          <w:rFonts w:hint="eastAsia" w:ascii="宋体" w:hAnsi="宋体"/>
          <w:color w:val="auto"/>
        </w:rPr>
      </w:pPr>
      <w:r>
        <w:rPr>
          <w:rFonts w:hint="eastAsia" w:ascii="宋体" w:hAnsi="宋体"/>
          <w:color w:val="auto"/>
        </w:rPr>
        <w:t>学校全面贯彻落实《教育部关于中等职业学校德育课课程设置与教学安排的意见》《中等职业学校德育大纲》等文件精神，严格</w:t>
      </w:r>
      <w:r>
        <w:rPr>
          <w:rFonts w:hint="eastAsia" w:ascii="宋体" w:hAnsi="宋体"/>
          <w:color w:val="auto"/>
          <w:lang w:val="en-US" w:eastAsia="zh-CN"/>
        </w:rPr>
        <w:t>按照要求</w:t>
      </w:r>
      <w:r>
        <w:rPr>
          <w:rFonts w:hint="eastAsia" w:ascii="宋体" w:hAnsi="宋体"/>
          <w:color w:val="auto"/>
        </w:rPr>
        <w:t>足量开设德育必修课程，组织上好每一节德育课教学工作，要求所有德育课教师对标教育部对中等职业学校思想政治素质要求和课程教学总体目标，按照教学大纲的课时计划及分配建议结合实际教学周安排，合理规划，保质保量完成教学安排。</w:t>
      </w:r>
    </w:p>
    <w:p>
      <w:pPr>
        <w:ind w:firstLine="560"/>
        <w:rPr>
          <w:b/>
          <w:color w:val="auto"/>
          <w:kern w:val="0"/>
          <w:szCs w:val="28"/>
        </w:rPr>
      </w:pPr>
      <w:r>
        <w:rPr>
          <w:rFonts w:hint="eastAsia"/>
          <w:b/>
          <w:color w:val="auto"/>
          <w:kern w:val="0"/>
          <w:szCs w:val="28"/>
        </w:rPr>
        <w:t>（</w:t>
      </w:r>
      <w:r>
        <w:rPr>
          <w:rFonts w:hint="eastAsia"/>
          <w:b/>
          <w:color w:val="auto"/>
          <w:kern w:val="0"/>
          <w:szCs w:val="28"/>
          <w:lang w:val="en-US" w:eastAsia="zh-CN"/>
        </w:rPr>
        <w:t>2</w:t>
      </w:r>
      <w:r>
        <w:rPr>
          <w:rFonts w:hint="eastAsia"/>
          <w:b/>
          <w:color w:val="auto"/>
          <w:kern w:val="0"/>
          <w:szCs w:val="28"/>
        </w:rPr>
        <w:t>）推进德育课教学及改革的情况</w:t>
      </w:r>
    </w:p>
    <w:p>
      <w:pPr>
        <w:ind w:firstLine="560"/>
        <w:rPr>
          <w:rFonts w:hint="eastAsia" w:ascii="宋体" w:hAnsi="宋体"/>
          <w:color w:val="auto"/>
        </w:rPr>
      </w:pPr>
      <w:r>
        <w:rPr>
          <w:rFonts w:hint="eastAsia" w:ascii="宋体" w:hAnsi="宋体"/>
          <w:color w:val="auto"/>
        </w:rPr>
        <w:t>我校积极探索德育新方向，将专业技能课程与公共基础课程“平行推进”，在公共课中佐以专业方向的指导，比如融入专业对口英语、文学、形体课程，全方位实现与岗位的零距离。潜移默化地将德育与课堂教学、专业课与文化课、专业与行业植入教育教学中。课程思政贯穿于每个学期、每个专业、每个课堂，使得学生从入学时的自律性不强、没有良好的学习习惯等表现，逐步转变为彬彬有礼、乐观向上、专业素养高、能力突出的群体。</w:t>
      </w:r>
    </w:p>
    <w:p>
      <w:pPr>
        <w:ind w:firstLine="560"/>
        <w:rPr>
          <w:rFonts w:hint="eastAsia" w:ascii="宋体" w:hAnsi="宋体"/>
          <w:color w:val="auto"/>
        </w:rPr>
      </w:pPr>
      <w:r>
        <w:rPr>
          <w:rFonts w:hint="eastAsia" w:ascii="宋体" w:hAnsi="宋体"/>
          <w:color w:val="auto"/>
          <w:lang w:eastAsia="zh-CN"/>
        </w:rPr>
        <w:t>学校</w:t>
      </w:r>
      <w:r>
        <w:rPr>
          <w:rFonts w:hint="eastAsia" w:ascii="宋体" w:hAnsi="宋体"/>
          <w:color w:val="auto"/>
        </w:rPr>
        <w:t>根据专业特点、学生年龄段对思政课堂进行对口的编排</w:t>
      </w:r>
      <w:r>
        <w:rPr>
          <w:rFonts w:hint="eastAsia" w:ascii="宋体" w:hAnsi="宋体"/>
          <w:color w:val="auto"/>
          <w:lang w:eastAsia="zh-CN"/>
        </w:rPr>
        <w:t>。</w:t>
      </w:r>
      <w:r>
        <w:rPr>
          <w:rFonts w:hint="eastAsia" w:ascii="宋体" w:hAnsi="宋体"/>
          <w:color w:val="auto"/>
        </w:rPr>
        <w:t>例如，案例选择注重实效性、贴近生活、紧跟时代。加强思政课教师与专业课教师之间的联系和交流，把握专业与专业、行业之间的最新发展动态，落实德育课为专业服务的理念，促进专业课思政元素的转化。</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2</w:t>
      </w:r>
      <w:r>
        <w:rPr>
          <w:rFonts w:hint="eastAsia" w:ascii="仿宋_GB2312" w:eastAsia="仿宋_GB2312"/>
          <w:b/>
          <w:color w:val="auto"/>
          <w:kern w:val="0"/>
          <w:szCs w:val="28"/>
        </w:rPr>
        <w:t>．</w:t>
      </w:r>
      <w:r>
        <w:rPr>
          <w:rFonts w:ascii="仿宋_GB2312" w:eastAsia="仿宋_GB2312"/>
          <w:b/>
          <w:color w:val="auto"/>
          <w:kern w:val="0"/>
          <w:szCs w:val="28"/>
        </w:rPr>
        <w:t>坚持立德树人，深入推进学生日常管理</w:t>
      </w:r>
      <w:bookmarkEnd w:id="17"/>
    </w:p>
    <w:p>
      <w:pPr>
        <w:ind w:firstLine="562"/>
        <w:rPr>
          <w:b/>
          <w:color w:val="auto"/>
          <w:kern w:val="0"/>
          <w:szCs w:val="28"/>
        </w:rPr>
      </w:pPr>
      <w:r>
        <w:rPr>
          <w:rFonts w:hint="eastAsia"/>
          <w:b/>
          <w:color w:val="auto"/>
          <w:kern w:val="0"/>
          <w:szCs w:val="28"/>
        </w:rPr>
        <w:t>（</w:t>
      </w:r>
      <w:r>
        <w:rPr>
          <w:b/>
          <w:color w:val="auto"/>
          <w:kern w:val="0"/>
          <w:szCs w:val="28"/>
        </w:rPr>
        <w:t>1</w:t>
      </w:r>
      <w:r>
        <w:rPr>
          <w:rFonts w:hint="eastAsia"/>
          <w:b/>
          <w:color w:val="auto"/>
          <w:kern w:val="0"/>
          <w:szCs w:val="28"/>
        </w:rPr>
        <w:t>）</w:t>
      </w:r>
      <w:r>
        <w:rPr>
          <w:b/>
          <w:color w:val="auto"/>
          <w:kern w:val="0"/>
          <w:szCs w:val="28"/>
        </w:rPr>
        <w:t>学业指导</w:t>
      </w:r>
    </w:p>
    <w:p>
      <w:pPr>
        <w:ind w:firstLine="560"/>
        <w:rPr>
          <w:rFonts w:ascii="宋体" w:hAnsi="宋体"/>
          <w:color w:val="auto"/>
        </w:rPr>
      </w:pPr>
      <w:r>
        <w:rPr>
          <w:rFonts w:hint="eastAsia" w:ascii="宋体" w:hAnsi="宋体"/>
          <w:color w:val="auto"/>
        </w:rPr>
        <w:t>加强制度建设，确保规范运行。为了加强学生指导，学校编印了《2019级学生入学教育手册》，制定了校情篇、制度篇、安全篇、法纪篇、学习篇、生活篇、礼仪篇、心理篇、交友篇等9个部分，对学校基本情况、中专学生守则、中等职业学校学生公约、校园安全规范、宿舍管理规定、学生学籍管理办法（入学与注册、考核与成绩记载、转专业与转学、休学与复学、毕业结业与肄业、奖励与处分等）、学生违纪处罚条例、学生日常行为规范量化管理制度、先进个人评选及奖励（先进班集体、三好学生、优秀学生干部、优秀毕业生及单项）、优秀学生奖学金管理办法、学生学业成绩考核、学生行为养成各项规定、毕业生顶岗实习管理、就业工作等13个方面进行全面的指导与服务，做到学生的行为规范都有章可循</w:t>
      </w:r>
      <w:r>
        <w:rPr>
          <w:rFonts w:ascii="宋体" w:hAnsi="宋体"/>
          <w:color w:val="auto"/>
        </w:rPr>
        <w:t>。</w:t>
      </w:r>
    </w:p>
    <w:p>
      <w:pPr>
        <w:ind w:firstLine="562"/>
        <w:rPr>
          <w:b/>
          <w:color w:val="auto"/>
          <w:kern w:val="0"/>
          <w:szCs w:val="28"/>
        </w:rPr>
      </w:pPr>
      <w:r>
        <w:rPr>
          <w:rFonts w:hint="eastAsia"/>
          <w:b/>
          <w:color w:val="auto"/>
          <w:kern w:val="0"/>
          <w:szCs w:val="28"/>
        </w:rPr>
        <w:t>（2）思想品德</w:t>
      </w:r>
      <w:r>
        <w:rPr>
          <w:b/>
          <w:color w:val="auto"/>
          <w:kern w:val="0"/>
          <w:szCs w:val="28"/>
        </w:rPr>
        <w:t>教育</w:t>
      </w:r>
    </w:p>
    <w:p>
      <w:pPr>
        <w:ind w:firstLine="560"/>
        <w:rPr>
          <w:rFonts w:hint="eastAsia" w:ascii="宋体" w:hAnsi="宋体" w:cs="宋体"/>
          <w:color w:val="auto"/>
          <w:szCs w:val="28"/>
        </w:rPr>
      </w:pPr>
      <w:bookmarkStart w:id="18" w:name="_Toc438658215"/>
      <w:r>
        <w:rPr>
          <w:rFonts w:hint="eastAsia" w:ascii="宋体" w:hAnsi="宋体" w:cs="宋体"/>
          <w:color w:val="auto"/>
          <w:szCs w:val="28"/>
        </w:rPr>
        <w:t>紧紧依靠全体班主任、生活老师、任课教师，以创建和谐校园为目标，全面贯彻落实《中共中央国务院关于进一步加强和改进未成年人思想道德建设的若干意见》、《中等职业学校德育大纲（2014年修订）》和《中等职业学校学生公约》的要求，结合我校德育工作实际，坚持以爱国主义教育为主线，以养成教育为基础，以责任教育为核心，以争创文明班级为总抓手，以活动为载体，以稳定为主旋律，创设和谐的教育环境，切实提高德育工作的实效，形成良好的班风、学风、校风，为教学质量的提高提供保障。</w:t>
      </w:r>
    </w:p>
    <w:p>
      <w:pPr>
        <w:ind w:firstLine="560"/>
        <w:rPr>
          <w:rFonts w:hint="eastAsia" w:ascii="宋体" w:hAnsi="宋体" w:cs="宋体"/>
          <w:color w:val="auto"/>
          <w:szCs w:val="28"/>
        </w:rPr>
      </w:pPr>
      <w:r>
        <w:rPr>
          <w:rFonts w:hint="eastAsia" w:ascii="宋体" w:hAnsi="宋体" w:cs="宋体"/>
          <w:color w:val="auto"/>
          <w:szCs w:val="28"/>
        </w:rPr>
        <w:t>一是开展为期一个多月的新生入学教育。内容包括：感恩教育、爱校爱专业教育、校纪校规教育、安全教育、文明养成教育、节能减排教育、职业生涯规划教育、新生学习生活适应性教育，国防知识教育，法制教育，校史与校园文化教育等，通过以上教育，加深新生对学校和各专业的了解，特别是办学理念、学生评价观和学生就业优势的了解，增进新生对学校的认同感。</w:t>
      </w:r>
    </w:p>
    <w:p>
      <w:pPr>
        <w:ind w:firstLine="560"/>
        <w:rPr>
          <w:rFonts w:hint="eastAsia" w:ascii="宋体" w:hAnsi="宋体" w:cs="宋体"/>
          <w:color w:val="auto"/>
          <w:szCs w:val="28"/>
        </w:rPr>
      </w:pPr>
      <w:r>
        <w:rPr>
          <w:rFonts w:hint="eastAsia" w:ascii="宋体" w:hAnsi="宋体" w:cs="宋体"/>
          <w:color w:val="auto"/>
          <w:szCs w:val="28"/>
        </w:rPr>
        <w:t>二是开展每周一下午主题班会教育活动。以“学雷锋活动日”、“世界无烟日”、“国际禁毒日”、“世界卫生日”、“教师节”、“国庆节”、“世界防艾滋病日”、“宪法日”等活动日为切入点，对学生进行专题思想教育工作。共开展主题班会40多次，如“雷锋精神助我成长”、“扫黑除恶及套路贷主题教育”、“防溺水安全教育”、“珍爱生命，拒绝毒品”、“勤俭节约”、“感恩教育主题班会”、“消防安全教育”、“我的宿舍我的家”、“团结友爱，和睦相处，共建和谐班级”、“中职生早恋的危害”、“树励志成才初心”、“校庆主题班会”、“预防艾滋病你我同参与”、“宪法主题教育”等。通过组织学生进行“学雷锋，见行动黑板报评比”、“教师节黑板报评比”、国庆节黑板报评比”、“十八岁成人礼”活动，鼓励学生利用国庆和元旦放假期间对家长进行感恩行为体验，让学生感悟了“博学尚礼、诚信敬业”的校训和“勤奋遵纪、求实进取”的校风以及“勤学善思、励志强能”的学风。</w:t>
      </w:r>
    </w:p>
    <w:p>
      <w:pPr>
        <w:ind w:firstLine="560"/>
        <w:rPr>
          <w:rFonts w:hint="eastAsia" w:ascii="宋体" w:hAnsi="宋体" w:cs="宋体"/>
          <w:color w:val="auto"/>
          <w:szCs w:val="28"/>
        </w:rPr>
      </w:pPr>
      <w:r>
        <w:rPr>
          <w:rFonts w:hint="eastAsia" w:ascii="宋体" w:hAnsi="宋体" w:cs="宋体"/>
          <w:color w:val="auto"/>
          <w:szCs w:val="28"/>
        </w:rPr>
        <w:t>三是加强后进生转化教育。要求班主任每周最少出早操、下班级和下宿舍各两次。以便及时了解学生中出现的各类问题，进行及时的、针对性强的思想教育。对于纪律散漫、经常违纪、行为养成不良、心理障碍的学生经常跟他们谈心聊天，心理咨询，及时发现他们的闪光点加以表扬，化解他们的思想包袱，并安排班级学生关心帮助他们，让他们感受到集体的温暖。同时主动及时跟家长进行家校联动，取得较好效果。</w:t>
      </w:r>
    </w:p>
    <w:p>
      <w:pPr>
        <w:ind w:firstLine="560"/>
        <w:rPr>
          <w:rFonts w:ascii="宋体" w:hAnsi="宋体"/>
          <w:color w:val="auto"/>
        </w:rPr>
      </w:pPr>
      <w:r>
        <w:rPr>
          <w:rFonts w:hint="eastAsia" w:ascii="宋体" w:hAnsi="宋体" w:cs="宋体"/>
          <w:color w:val="auto"/>
          <w:szCs w:val="28"/>
        </w:rPr>
        <w:t>四是继续实行“7S管理”。通过“7S管理标准”、“7S管理标识”、“7S管理看板”等，不断将企业的用人标准内化为学生的职业认识、职业情感，为将来进入企业一线“岗位”工作奠定基础。制定《教室7S管理规范标准》、《宿舍7S管理规范标准》，制作标示提醒标语、教室7S管理标识、手机充电箱以及学生宿舍7S管理标识。在7S管理活动中，学校对学生校服、专业服装穿戴，胸卡佩戴，仪表仪容等情况，反复抓、抓反复，“让标准成为习惯，让习惯成为标准”，取得了很好的成效。通过这一系列活动，我们感悟着“清洁、清理、清扫、整顿、素养、节约、安全”带给我们的改变</w:t>
      </w:r>
      <w:r>
        <w:rPr>
          <w:rFonts w:hint="eastAsia" w:ascii="宋体" w:hAnsi="宋体"/>
          <w:color w:val="auto"/>
        </w:rPr>
        <w:t>。</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3</w:t>
      </w:r>
      <w:r>
        <w:rPr>
          <w:rFonts w:hint="eastAsia" w:ascii="仿宋_GB2312" w:eastAsia="仿宋_GB2312"/>
          <w:b/>
          <w:color w:val="auto"/>
          <w:kern w:val="0"/>
          <w:szCs w:val="28"/>
        </w:rPr>
        <w:t>．</w:t>
      </w:r>
      <w:r>
        <w:rPr>
          <w:rFonts w:ascii="仿宋_GB2312" w:eastAsia="仿宋_GB2312"/>
          <w:b/>
          <w:color w:val="auto"/>
          <w:kern w:val="0"/>
          <w:szCs w:val="28"/>
        </w:rPr>
        <w:t>坚持以文化育人，广泛开展校园文化活动</w:t>
      </w:r>
      <w:bookmarkEnd w:id="18"/>
    </w:p>
    <w:p>
      <w:pPr>
        <w:ind w:firstLine="562"/>
        <w:rPr>
          <w:rFonts w:ascii="宋体" w:hAnsi="宋体"/>
          <w:b/>
          <w:color w:val="auto"/>
          <w:kern w:val="0"/>
          <w:szCs w:val="28"/>
        </w:rPr>
      </w:pPr>
      <w:r>
        <w:rPr>
          <w:rFonts w:hint="eastAsia" w:ascii="宋体" w:hAnsi="宋体"/>
          <w:b/>
          <w:color w:val="auto"/>
          <w:kern w:val="0"/>
          <w:szCs w:val="28"/>
        </w:rPr>
        <w:t>（1）“多样化”的校园文化生活</w:t>
      </w:r>
    </w:p>
    <w:p>
      <w:pPr>
        <w:ind w:firstLine="560"/>
        <w:rPr>
          <w:rFonts w:ascii="宋体" w:hAnsi="宋体"/>
          <w:color w:val="auto"/>
        </w:rPr>
      </w:pPr>
      <w:r>
        <w:rPr>
          <w:rFonts w:hint="eastAsia" w:ascii="宋体" w:hAnsi="宋体"/>
          <w:color w:val="auto"/>
        </w:rPr>
        <w:t>学校开展形式多样的学生校园文体活动，促进学生生健康学习和生活，每月一主题，每周一重点，以主题引领活动，用活动渲染主题，从多方面、多角度着手，形成教育活动系列化。每周一早上组织升旗仪式，每班派代表轮流在国旗下进行主题演讲，安排一个班级唱响每周一歌，在国旗下渗透爱国教育。全年开展合唱比赛、趣味运动会、十八岁成人礼、排球赛、文化艺术节、校庆社团风采展、元旦文艺晚会等大型活动8次。以不同的主题为活动切入点，紧扣当下的社会热点内容，在学生中进行广泛的社会主义核心价值观教育，提升学生思想素质。</w:t>
      </w:r>
    </w:p>
    <w:p>
      <w:pPr>
        <w:ind w:firstLine="562"/>
        <w:rPr>
          <w:b/>
          <w:color w:val="auto"/>
          <w:kern w:val="0"/>
          <w:szCs w:val="28"/>
        </w:rPr>
      </w:pPr>
      <w:r>
        <w:rPr>
          <w:rFonts w:hint="eastAsia"/>
          <w:b/>
          <w:color w:val="auto"/>
          <w:kern w:val="0"/>
          <w:szCs w:val="28"/>
        </w:rPr>
        <w:t>（2）扶志育才，以励志教育促学生励志成才</w:t>
      </w:r>
    </w:p>
    <w:p>
      <w:pPr>
        <w:ind w:firstLine="560"/>
        <w:rPr>
          <w:rFonts w:hint="eastAsia" w:ascii="宋体" w:hAnsi="宋体"/>
          <w:color w:val="auto"/>
        </w:rPr>
      </w:pPr>
      <w:r>
        <w:rPr>
          <w:rFonts w:hint="eastAsia" w:ascii="宋体" w:hAnsi="宋体"/>
          <w:color w:val="auto"/>
          <w:lang w:eastAsia="zh-CN"/>
        </w:rPr>
        <w:t>第一，</w:t>
      </w:r>
      <w:r>
        <w:rPr>
          <w:rFonts w:hint="eastAsia" w:ascii="宋体" w:hAnsi="宋体"/>
          <w:color w:val="auto"/>
        </w:rPr>
        <w:t>加强党建引领，建立激励机制</w:t>
      </w:r>
    </w:p>
    <w:p>
      <w:pPr>
        <w:ind w:firstLine="560"/>
        <w:rPr>
          <w:rFonts w:hint="eastAsia" w:ascii="宋体" w:hAnsi="宋体"/>
          <w:color w:val="auto"/>
        </w:rPr>
      </w:pPr>
      <w:r>
        <w:rPr>
          <w:rFonts w:hint="eastAsia" w:ascii="宋体" w:hAnsi="宋体"/>
          <w:color w:val="auto"/>
        </w:rPr>
        <w:t>为了确保在“扶贫励志班”开展扶贫励志教育的效果，学生励志党支部结合“不忘初心、牢记使命”主题教育，制定了扶贫励志学生在学生公寓过好集体生活应遵循的“三大纪律、八项注意”，共同营造良好的公寓氛围。安排党员带着非党员生活老师深入宿舍，逐间做好宣传教育，与扶贫励志班学生座谈交心，加强思想引导，与扶贫励志学生签订承诺书，强化监督考核。</w:t>
      </w:r>
    </w:p>
    <w:p>
      <w:pPr>
        <w:ind w:firstLine="560"/>
        <w:rPr>
          <w:rFonts w:hint="eastAsia" w:ascii="宋体" w:hAnsi="宋体"/>
          <w:color w:val="auto"/>
        </w:rPr>
      </w:pPr>
      <w:r>
        <w:rPr>
          <w:rFonts w:hint="eastAsia" w:ascii="宋体" w:hAnsi="宋体"/>
          <w:color w:val="auto"/>
        </w:rPr>
        <w:t>学校成立扶贫励志教育领导小组和扶贫励志教育辅导团。领导小组由张毅生校长任组长，袁育忠书记、张亚平副校长任副组长，负责励志教育总协调，指导上课教师在课堂上渗透文明、感恩、法治等教育内容，在课程中开展励志教育工作。扶贫励志教育辅导团由学生励志党支部、党办、教务科、学生科、团委、招生办、就业办、心理咨询室、各教研室等部门的骨干教师组成，共有35名辅导员。学校向每名辅导员颁发聘书。辅导团利用每周二下午第二课堂时间上励志课程，开展励志教育，达到课程励志和励志课程相结合的目的。</w:t>
      </w:r>
    </w:p>
    <w:p>
      <w:pPr>
        <w:ind w:firstLine="560"/>
        <w:rPr>
          <w:rFonts w:hint="eastAsia" w:ascii="宋体" w:hAnsi="宋体"/>
          <w:color w:val="auto"/>
        </w:rPr>
      </w:pPr>
      <w:r>
        <w:rPr>
          <w:rFonts w:hint="eastAsia" w:ascii="宋体" w:hAnsi="宋体"/>
          <w:color w:val="auto"/>
        </w:rPr>
        <w:t>学校建立辅导员微信工作群，每个班开展活动后都将活动内容整合成文字和图片，以简讯的形式上传至群内，供各班辅导员交流，同时也作为活动考核。每个“扶贫励志班”辅导员参照社团指导老师标准发放工作津贴，每年年终将对“扶贫励志班”的教育效果进行考核，表现突出的辅导员进行表彰，考核不合格的辅导员不再续聘。</w:t>
      </w:r>
    </w:p>
    <w:p>
      <w:pPr>
        <w:ind w:firstLine="560"/>
        <w:rPr>
          <w:rFonts w:hint="eastAsia" w:ascii="宋体" w:hAnsi="宋体"/>
          <w:color w:val="auto"/>
        </w:rPr>
      </w:pPr>
      <w:r>
        <w:rPr>
          <w:rFonts w:hint="eastAsia" w:ascii="宋体" w:hAnsi="宋体"/>
          <w:color w:val="auto"/>
          <w:lang w:eastAsia="zh-CN"/>
        </w:rPr>
        <w:t>第二，</w:t>
      </w:r>
      <w:r>
        <w:rPr>
          <w:rFonts w:hint="eastAsia" w:ascii="宋体" w:hAnsi="宋体"/>
          <w:color w:val="auto"/>
        </w:rPr>
        <w:t>细化工作任务，提高教育成效</w:t>
      </w:r>
    </w:p>
    <w:p>
      <w:pPr>
        <w:ind w:firstLine="560"/>
        <w:rPr>
          <w:rFonts w:hint="eastAsia" w:ascii="宋体" w:hAnsi="宋体"/>
          <w:color w:val="auto"/>
        </w:rPr>
      </w:pPr>
      <w:r>
        <w:rPr>
          <w:rFonts w:hint="eastAsia" w:ascii="宋体" w:hAnsi="宋体"/>
          <w:color w:val="auto"/>
        </w:rPr>
        <w:t>为了做好对贫困学生励志教育，我校采取“理论+实践”相结合的励志教育模式，主要体现在以下5个方面：</w:t>
      </w:r>
    </w:p>
    <w:p>
      <w:pPr>
        <w:ind w:firstLine="560"/>
        <w:rPr>
          <w:rFonts w:hint="eastAsia" w:ascii="宋体" w:hAnsi="宋体"/>
          <w:color w:val="auto"/>
        </w:rPr>
      </w:pPr>
      <w:r>
        <w:rPr>
          <w:rFonts w:hint="eastAsia" w:ascii="宋体" w:hAnsi="宋体"/>
          <w:color w:val="auto"/>
        </w:rPr>
        <w:t>一是编写了《励志教育》（上、下册）读本。辅导员根据《励志教育》读本的内容，结合专业特点，制作针对性较强的励志教育内容，采取讲座、班会、实践、心理辅导等形式，每周至少利用2次第二课堂时间对所辅导的班级实施励志教育。一年级学生主要学习上册内容，主要包括优秀传统文化、理想信念、职业道德、赏识受挫、法治、反哺感恩等，帮助他们保持积极乐观的生活态度，树立学习信心；二年级学生主要学习下册内容，主要包括面试技巧、职业操守、职场生存发展等就业方面的内容，帮助他们消除就业恐惧，顺利进入工作岗位；在三年级顶岗实习学生的励志教育上，我校采取建立微信群的方式，由辅导员每天上传就业方面的励志文章、励志视频等，及时解答他们的工作和生活上的困惑，帮助他们树立积极工作、稳定就业的良好心态。</w:t>
      </w:r>
    </w:p>
    <w:p>
      <w:pPr>
        <w:ind w:firstLine="560"/>
        <w:rPr>
          <w:rFonts w:hint="eastAsia" w:ascii="宋体" w:hAnsi="宋体"/>
          <w:color w:val="auto"/>
        </w:rPr>
      </w:pPr>
      <w:r>
        <w:rPr>
          <w:rFonts w:hint="eastAsia" w:ascii="宋体" w:hAnsi="宋体"/>
          <w:color w:val="auto"/>
        </w:rPr>
        <w:t>二是开展扶贫励志讲座。学校定期邀请法治专家、励志作家、社会企业知名人士以及成功脱贫致富校友等开展扶贫励志讲座，讲座内容涵盖社会励志典范以及人生哲学、文明礼仪、感恩教育、为人处世、法制安全、就业准备等多个方面，要求学生撰写心得体会，让学生在扶贫励志事迹中受教育，在扶贫励志事迹中促成长。本年度已开展5次，受教育学生达2600人次。</w:t>
      </w:r>
    </w:p>
    <w:p>
      <w:pPr>
        <w:ind w:firstLine="560"/>
        <w:rPr>
          <w:rFonts w:hint="eastAsia" w:ascii="宋体" w:hAnsi="宋体"/>
          <w:color w:val="auto"/>
        </w:rPr>
      </w:pPr>
      <w:r>
        <w:rPr>
          <w:rFonts w:hint="eastAsia" w:ascii="宋体" w:hAnsi="宋体"/>
          <w:color w:val="auto"/>
        </w:rPr>
        <w:t>三是组织扶贫励志志愿服务活动。团委建立了扶贫励志志愿者服务队，“扶贫励志班”学生注册率达95%以上。团委每周组织扶贫励志志愿者服务队参加校内“双创”活动、慰问孤寡老人、公益环保宣传等志愿服务活动，本学期“扶贫励志班”学生已参加励志志愿服务活动达800余人次。通过实际行动，培养学生学会服务、反哺感恩、无私奉献的意识。2019年组织志愿者参加了2019年全省妇女表彰大会，获得了主办方的一致好评。</w:t>
      </w:r>
    </w:p>
    <w:p>
      <w:pPr>
        <w:ind w:firstLine="560"/>
        <w:rPr>
          <w:rFonts w:hint="eastAsia" w:ascii="宋体" w:hAnsi="宋体"/>
          <w:color w:val="auto"/>
        </w:rPr>
      </w:pPr>
      <w:r>
        <w:rPr>
          <w:rFonts w:hint="eastAsia" w:ascii="宋体" w:hAnsi="宋体"/>
          <w:color w:val="auto"/>
        </w:rPr>
        <w:t>四是组织扶贫励志勤工俭学活动。学校成立勤工俭学服务中心，设立校内资助性的勤工俭学岗位，优先对年满16周岁的贫困家庭学生提供勤工俭学岗位，已安排27名贫困学生参加校内勤工俭学。学校还通过校企合作单位，在每年寒暑假及周末组织学生参加扶贫励志勤工俭学，派带队老师负责管理，确保勤工俭学活动中学生人身安全。辅导员对本班学生进行摸底排查，鼓励学生积极参加勤工俭学活动，加强学生参加勤工俭学前的思想教育，跟踪学生在勤工俭学时的思想动态，及时开展关爱教育。</w:t>
      </w:r>
    </w:p>
    <w:p>
      <w:pPr>
        <w:ind w:firstLine="560"/>
        <w:rPr>
          <w:rFonts w:hint="eastAsia" w:ascii="宋体" w:hAnsi="宋体"/>
          <w:color w:val="auto"/>
        </w:rPr>
      </w:pPr>
      <w:r>
        <w:rPr>
          <w:rFonts w:hint="eastAsia" w:ascii="宋体" w:hAnsi="宋体"/>
          <w:color w:val="auto"/>
        </w:rPr>
        <w:t>五是组织扶贫励志就业创业教育。学校对扶贫励志班学生开展职业生涯和职业规划教育，创办了校内创业孵化基地、创业体验店，组织安排扶贫励志班学生在农产品加工、美容、美发、中餐、电子、空调、平面设计、电子商务、印刷、数字影像共10个专业创业体验店进行创业体验，配备创业指导老师进行指导，打造真实的创业环境，让贫困学生到体验店真正参与创业，旨在培养学生的创业兴趣和锻炼学生创业技能，掌握创业能力，努力实现一人创业全家致富目标。2018届扶贫励志生29人合伙成功创业，创办“众星国际美发中心”，目前经营状况良好。</w:t>
      </w:r>
    </w:p>
    <w:p>
      <w:pPr>
        <w:ind w:firstLine="551" w:firstLineChars="196"/>
        <w:rPr>
          <w:color w:val="auto"/>
          <w:kern w:val="0"/>
          <w:szCs w:val="28"/>
        </w:rPr>
      </w:pPr>
      <w:r>
        <w:rPr>
          <w:rFonts w:hint="eastAsia"/>
          <w:b/>
          <w:color w:val="auto"/>
          <w:kern w:val="0"/>
          <w:szCs w:val="28"/>
        </w:rPr>
        <w:t>（</w:t>
      </w:r>
      <w:r>
        <w:rPr>
          <w:rFonts w:hint="eastAsia"/>
          <w:b/>
          <w:color w:val="auto"/>
          <w:kern w:val="0"/>
          <w:szCs w:val="28"/>
          <w:lang w:val="en-US" w:eastAsia="zh-CN"/>
        </w:rPr>
        <w:t>3</w:t>
      </w:r>
      <w:r>
        <w:rPr>
          <w:rFonts w:hint="eastAsia"/>
          <w:b/>
          <w:color w:val="auto"/>
          <w:kern w:val="0"/>
          <w:szCs w:val="28"/>
        </w:rPr>
        <w:t>）多样化地加强学生心理健康教育</w:t>
      </w:r>
    </w:p>
    <w:p>
      <w:pPr>
        <w:ind w:firstLine="560"/>
        <w:rPr>
          <w:rFonts w:hint="eastAsia" w:ascii="宋体" w:hAnsi="宋体"/>
          <w:color w:val="auto"/>
        </w:rPr>
      </w:pPr>
      <w:r>
        <w:rPr>
          <w:rFonts w:hint="eastAsia" w:ascii="宋体" w:hAnsi="宋体"/>
          <w:color w:val="auto"/>
        </w:rPr>
        <w:t>我校非常重视师生心灵成长，在两个校区分别建立系统、功能配套齐全的心理健康教育中心，配备3名专业心理咨询师。2019年，两个校区根据师生具体情况，制定年度工作方案，开展系列心理健康教育和心理辅导活动。两校区共接待个体心理辅导94人次，宣泄、沙盘、音乐放松、阅读治疗四大功能室共接待师生1117人次。继续做好学生心理健康测评，做好心理健康档案收集归档，排查心理危机个案，并根据学情需要，对2016级和2017级学生举行霍兰德职业倾向测评，为学生择业就业提供指导。开展心灵花园心里幸福课堂讲座共计74场，心理委员培训10场。为了提高我校班主任、学生会干部和班级心理委员队伍综合素质，提升他们的交流和工作能力，培养集体归属感和团队合作精神，在校领导张毅生校长和袁育忠书记的大力支持下，心理健康教育中心、团委联合邀请海南省心理健康教育工作室骨干成员、省技师学院艺术系主任符式旺老师和张舒老师班主任，为我校班主任、心理委员和学生干部举行大型团队素质拓展活动学生干部素质拓展培训，参与本次活动的班主任共有60人，学生会学生干部、班级心理委员共有300人。借助广播、宣传栏、微信公众号平台、微信学习分享群加大心理健康教育知识普及力度，本年度心理健康教育中心许美云老师针对学生出现的心理状态，在“芝馨花园”微信公众平台发表了六篇《听，花开的声音》，及《亲爱的小孩，不哭》、《我是美丽天使，我的青春我做主》《从电影“悲伤逆流成河”说起》、《话说“项链”一文引发的思考》等系列心育文章，同时，每日组织学生进行“我们的馨悦之约”读书分享线上线下活动，推送正能量的经典语句，这些文章和正能量的经典语句为师生提供了“情绪情感共鸣”场，使他们在共鸣中得到心灵的安抚，被师生亲切地称为“心灵氧吧”，这种心育方式也深受省内外同行的赞赏和借鉴。2019年，心理健康教育中心的老师们本着教研创新精神，许美云老师和陈元勤老师运用绘画心理学，对29个学生进行房树人测试，并分析指导，通过绘画了解到的特特殊个案，进行定期心理能量赋能，许美云老师运用书法绘画辅导的学生在重建自信之后，将绘画作品报送参加“全国寻彩少儿艺术书法绘画大展赛”中两幅绘画作品获得金奖。2019年许美云老师继续以心理剧为媒介，带领心理剧社的同学开展多部校园心理情境剧创作并参与演出活动，其中两部典型剧作《看见》《匆》，深入师生内心世界，心理剧活动不仅进一步丰富了师生校园生活，且在参与中释放自己的心理压力，治愈尘封的心理雾霾，让她们困扰的心结在参与中达到不治而愈。我校专业科学系统、娴熟的心理健康教育工作，深受省兄弟学校的认可，起到引领作用，5月份省文化艺术学校心理健康教育中心邢葵主任带领该校心理协会成员和心理委员们与我校心理健康教育中心的师生进行工作经验交流分享。我校心理健康教育以人为本的核心理念，体现出我校学生有着强烈自主学习的能力，这一能力更体现出在多样化的心理健康维护下，在和谐的校园环境中，我校学生阳光自信、独立自主、好学乐学的人格气质。</w:t>
      </w:r>
    </w:p>
    <w:p>
      <w:pPr>
        <w:ind w:firstLine="576" w:firstLineChars="205"/>
        <w:rPr>
          <w:b/>
          <w:color w:val="auto"/>
          <w:kern w:val="0"/>
          <w:szCs w:val="28"/>
        </w:rPr>
      </w:pPr>
      <w:r>
        <w:rPr>
          <w:rFonts w:hint="eastAsia" w:ascii="仿宋_GB2312" w:eastAsia="仿宋_GB2312"/>
          <w:b/>
          <w:color w:val="auto"/>
          <w:kern w:val="0"/>
          <w:szCs w:val="28"/>
          <w:lang w:val="en-US" w:eastAsia="zh-CN"/>
        </w:rPr>
        <w:t>4</w:t>
      </w:r>
      <w:r>
        <w:rPr>
          <w:rFonts w:hint="eastAsia" w:ascii="仿宋_GB2312" w:eastAsia="仿宋_GB2312"/>
          <w:b/>
          <w:color w:val="auto"/>
          <w:kern w:val="0"/>
          <w:szCs w:val="28"/>
        </w:rPr>
        <w:t>．</w:t>
      </w:r>
      <w:r>
        <w:rPr>
          <w:rFonts w:hint="eastAsia"/>
          <w:b/>
          <w:color w:val="auto"/>
          <w:kern w:val="0"/>
          <w:szCs w:val="28"/>
        </w:rPr>
        <w:t>“自治化”的学生社团活动</w:t>
      </w:r>
    </w:p>
    <w:p>
      <w:pPr>
        <w:ind w:firstLine="548" w:firstLineChars="196"/>
        <w:rPr>
          <w:rFonts w:hint="eastAsia" w:ascii="宋体" w:hAnsi="宋体"/>
          <w:color w:val="auto"/>
        </w:rPr>
      </w:pPr>
      <w:r>
        <w:rPr>
          <w:rFonts w:hint="eastAsia" w:ascii="宋体" w:hAnsi="宋体"/>
          <w:color w:val="auto"/>
        </w:rPr>
        <w:t>目前学校设有25个学生社团，招收1100余名成员，文艺方面有舞蹈、健美操、合唱团社团等；专业方面有美妆、烹饪、英语、会计沙盘社团等。学生社团蓬勃发展，在校学生积极参与社团活动率较高，定期开展社团活动日、社团风采展示等活动，效果好、成效高，通过社团活动陶冶了学生的情操，提高了学生的艺术修养，学生社团成为学校立德育人的重要阵地。。</w:t>
      </w:r>
    </w:p>
    <w:p>
      <w:pPr>
        <w:ind w:firstLine="548" w:firstLineChars="196"/>
        <w:rPr>
          <w:rFonts w:hint="default" w:ascii="宋体" w:hAnsi="宋体" w:eastAsia="宋体"/>
          <w:color w:val="auto"/>
          <w:lang w:val="en-US" w:eastAsia="zh-CN"/>
        </w:rPr>
      </w:pPr>
      <w:r>
        <w:rPr>
          <w:rFonts w:hint="eastAsia" w:ascii="宋体" w:hAnsi="宋体"/>
          <w:color w:val="auto"/>
        </w:rPr>
        <w:t>投入50余万元建设学生活动中心，内含标准会议室、演艺厅，每个社团均配备办公桌、资料柜，为学生开展社团活动提供了场所。各社团均由老师指导、学生自主管理，每社团均设有日常“自治化”管理架构。除日常活动外，各社团还积极参与校园文化艺术节、文艺晚会、职业教育活动周等大型展示活动等，为学生参加各类文体艺活动搭建了平台，为学校输送大批高素质的艺术人才，2019年参加省级各类文艺比赛成绩优异：参加省教育厅“我为祖国点赞”演讲比赛荣获三等奖</w:t>
      </w:r>
      <w:r>
        <w:rPr>
          <w:rFonts w:hint="eastAsia" w:ascii="宋体" w:hAnsi="宋体"/>
          <w:color w:val="auto"/>
          <w:lang w:eastAsia="zh-CN"/>
        </w:rPr>
        <w:t>，参加海南省大中小学校园歌手比赛（个人项目）荣获</w:t>
      </w:r>
      <w:r>
        <w:rPr>
          <w:rFonts w:hint="eastAsia" w:ascii="宋体" w:hAnsi="宋体"/>
          <w:color w:val="auto"/>
          <w:lang w:val="en-US" w:eastAsia="zh-CN"/>
        </w:rPr>
        <w:t>2个二等奖。</w:t>
      </w:r>
    </w:p>
    <w:p>
      <w:pPr>
        <w:ind w:firstLine="551" w:firstLineChars="196"/>
        <w:rPr>
          <w:b/>
          <w:color w:val="auto"/>
          <w:kern w:val="0"/>
          <w:szCs w:val="28"/>
        </w:rPr>
      </w:pPr>
      <w:r>
        <w:rPr>
          <w:rFonts w:hint="eastAsia" w:ascii="仿宋_GB2312" w:eastAsia="仿宋_GB2312"/>
          <w:b/>
          <w:color w:val="auto"/>
          <w:kern w:val="0"/>
          <w:szCs w:val="28"/>
          <w:lang w:val="en-US" w:eastAsia="zh-CN"/>
        </w:rPr>
        <w:t>5</w:t>
      </w:r>
      <w:r>
        <w:rPr>
          <w:rFonts w:hint="eastAsia" w:ascii="仿宋_GB2312" w:eastAsia="仿宋_GB2312"/>
          <w:b/>
          <w:color w:val="auto"/>
          <w:kern w:val="0"/>
          <w:szCs w:val="28"/>
        </w:rPr>
        <w:t>．</w:t>
      </w:r>
      <w:r>
        <w:rPr>
          <w:rFonts w:hint="eastAsia"/>
          <w:b/>
          <w:color w:val="auto"/>
          <w:kern w:val="0"/>
          <w:szCs w:val="28"/>
        </w:rPr>
        <w:t>团组织学生会建设及活动情况</w:t>
      </w:r>
    </w:p>
    <w:p>
      <w:pPr>
        <w:ind w:firstLine="560"/>
        <w:rPr>
          <w:rFonts w:hint="eastAsia" w:ascii="宋体" w:hAnsi="宋体"/>
          <w:color w:val="auto"/>
        </w:rPr>
      </w:pPr>
      <w:r>
        <w:rPr>
          <w:rFonts w:hint="eastAsia" w:ascii="宋体" w:hAnsi="宋体"/>
          <w:color w:val="auto"/>
        </w:rPr>
        <w:t>（1）加强基层团组织建设夯实共青团工作基础</w:t>
      </w:r>
    </w:p>
    <w:p>
      <w:pPr>
        <w:ind w:firstLine="560"/>
        <w:rPr>
          <w:rFonts w:hint="eastAsia" w:ascii="宋体" w:hAnsi="宋体"/>
          <w:color w:val="auto"/>
        </w:rPr>
      </w:pPr>
      <w:r>
        <w:rPr>
          <w:rFonts w:hint="eastAsia" w:ascii="宋体" w:hAnsi="宋体"/>
          <w:color w:val="auto"/>
        </w:rPr>
        <w:t>一年来建立了59个团支部，基层组织覆盖率100%；举办了新团员团课培训班，严格按照新团员发展和考核程序发展吸收180名新团员；认真落实团干“1+100”制度，学校各专职团干均按要求直接联系100名以上的学生团员，并积极开展各种线上线下互动2000人次，所属团组织均已录入“智慧团建”系统。聘任527名团学干部，在维护晚修和食堂纪律、志愿服务、检查评比等学校日常管理方面做出积极贡献。</w:t>
      </w:r>
    </w:p>
    <w:p>
      <w:pPr>
        <w:ind w:firstLine="560"/>
        <w:rPr>
          <w:rFonts w:hint="eastAsia" w:ascii="宋体" w:hAnsi="宋体"/>
          <w:color w:val="auto"/>
        </w:rPr>
      </w:pPr>
      <w:r>
        <w:rPr>
          <w:rFonts w:hint="eastAsia" w:ascii="宋体" w:hAnsi="宋体"/>
          <w:color w:val="auto"/>
        </w:rPr>
        <w:t>（2）开展“青春心向党，建功新时代”纪念五四运动100周年系列活动</w:t>
      </w:r>
    </w:p>
    <w:p>
      <w:pPr>
        <w:ind w:firstLine="560"/>
        <w:rPr>
          <w:rFonts w:hint="eastAsia" w:ascii="宋体" w:hAnsi="宋体"/>
          <w:color w:val="auto"/>
        </w:rPr>
      </w:pPr>
      <w:r>
        <w:rPr>
          <w:rFonts w:hint="eastAsia" w:ascii="宋体" w:hAnsi="宋体"/>
          <w:color w:val="auto"/>
        </w:rPr>
        <w:t>组织团员青年观看爱国电视纪录片，引导学生明白新时代青年的新担当，不负韶华；引领学唱爱国歌曲，激发团员青年学生爱国热情；围绕感恩学校主题，在抖音平台拍摄60秒内的短视频；通过计算金钱账和时间账，引导团员青年学生深入理解父母的养育之恩。</w:t>
      </w:r>
    </w:p>
    <w:p>
      <w:pPr>
        <w:ind w:firstLine="560"/>
        <w:rPr>
          <w:rFonts w:hint="eastAsia" w:ascii="宋体" w:hAnsi="宋体"/>
          <w:color w:val="auto"/>
        </w:rPr>
      </w:pPr>
      <w:r>
        <w:rPr>
          <w:rFonts w:hint="eastAsia" w:ascii="宋体" w:hAnsi="宋体"/>
          <w:color w:val="auto"/>
        </w:rPr>
        <w:t>（3）开展庆祝2019年教师节系列活动</w:t>
      </w:r>
    </w:p>
    <w:p>
      <w:pPr>
        <w:ind w:firstLine="560"/>
        <w:rPr>
          <w:rFonts w:hint="eastAsia" w:ascii="宋体" w:hAnsi="宋体"/>
          <w:color w:val="auto"/>
        </w:rPr>
      </w:pPr>
      <w:r>
        <w:rPr>
          <w:rFonts w:hint="eastAsia" w:ascii="宋体" w:hAnsi="宋体"/>
          <w:color w:val="auto"/>
        </w:rPr>
        <w:t>通过学校广播站开设教师节专题栏目，组织全体学生观看电影《老师·好》；开展庆祝教师节的“三个一”活动，即一次迎接仪式，一声问候话语，一张感恩信笺，引导学生理解支持老师，营造尊师重教的浓郁氛围。</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4</w:t>
      </w:r>
      <w:r>
        <w:rPr>
          <w:rFonts w:hint="eastAsia" w:ascii="宋体" w:hAnsi="宋体"/>
          <w:color w:val="auto"/>
          <w:lang w:eastAsia="zh-CN"/>
        </w:rPr>
        <w:t>）</w:t>
      </w:r>
      <w:r>
        <w:rPr>
          <w:rFonts w:hint="eastAsia" w:ascii="宋体" w:hAnsi="宋体"/>
          <w:color w:val="auto"/>
        </w:rPr>
        <w:t>开展志愿服务，培养青年团员感恩、奉献意识</w:t>
      </w:r>
    </w:p>
    <w:p>
      <w:pPr>
        <w:ind w:firstLine="560"/>
        <w:rPr>
          <w:rFonts w:hint="eastAsia" w:ascii="宋体" w:hAnsi="宋体"/>
          <w:color w:val="auto"/>
        </w:rPr>
      </w:pPr>
      <w:r>
        <w:rPr>
          <w:rFonts w:hint="eastAsia" w:ascii="宋体" w:hAnsi="宋体"/>
          <w:color w:val="auto"/>
        </w:rPr>
        <w:t>“3·5”学雷锋日期间，广泛组织开展“我是校园环保小卫士”、“防艾宣传文明出行”、“无偿献血”等志愿服务活动；全年利用双休日举办了19场义剪进社区志愿服务行动，用一技之长造福民众。</w:t>
      </w:r>
    </w:p>
    <w:p>
      <w:pPr>
        <w:pStyle w:val="3"/>
        <w:spacing w:beforeLines="0"/>
        <w:ind w:firstLine="602"/>
        <w:rPr>
          <w:rFonts w:hint="eastAsia"/>
          <w:color w:val="auto"/>
        </w:rPr>
      </w:pPr>
      <w:bookmarkStart w:id="19" w:name="_Toc11166"/>
      <w:r>
        <w:rPr>
          <w:rFonts w:hint="eastAsia"/>
          <w:color w:val="auto"/>
        </w:rPr>
        <w:t>（六</w:t>
      </w:r>
      <w:r>
        <w:rPr>
          <w:color w:val="auto"/>
        </w:rPr>
        <w:t>）</w:t>
      </w:r>
      <w:r>
        <w:rPr>
          <w:rFonts w:hint="eastAsia"/>
          <w:color w:val="auto"/>
        </w:rPr>
        <w:t>党建情况</w:t>
      </w:r>
      <w:bookmarkEnd w:id="19"/>
    </w:p>
    <w:p>
      <w:pPr>
        <w:ind w:firstLine="562"/>
        <w:rPr>
          <w:rFonts w:hint="eastAsia" w:ascii="宋体" w:hAnsi="宋体"/>
          <w:b/>
          <w:color w:val="auto"/>
        </w:rPr>
      </w:pPr>
      <w:r>
        <w:rPr>
          <w:rFonts w:hint="eastAsia" w:ascii="宋体" w:hAnsi="宋体"/>
          <w:b/>
          <w:color w:val="auto"/>
        </w:rPr>
        <w:t>1</w:t>
      </w:r>
      <w:r>
        <w:rPr>
          <w:rFonts w:ascii="宋体" w:hAnsi="宋体"/>
          <w:b/>
          <w:color w:val="auto"/>
        </w:rPr>
        <w:t>.</w:t>
      </w:r>
      <w:r>
        <w:rPr>
          <w:rFonts w:hint="eastAsia" w:ascii="宋体" w:hAnsi="宋体"/>
          <w:b/>
          <w:color w:val="auto"/>
        </w:rPr>
        <w:t>加强理论学习，提升政治思想的引领力</w:t>
      </w:r>
    </w:p>
    <w:p>
      <w:pPr>
        <w:ind w:firstLine="560"/>
        <w:rPr>
          <w:rFonts w:hint="eastAsia" w:ascii="宋体" w:hAnsi="宋体"/>
          <w:color w:val="auto"/>
        </w:rPr>
      </w:pPr>
      <w:r>
        <w:rPr>
          <w:rFonts w:hint="eastAsia" w:ascii="宋体" w:hAnsi="宋体"/>
          <w:color w:val="auto"/>
        </w:rPr>
        <w:t>学校党委注重发挥好头雁效应，抓好党委理论学习中心组学习，制定了党委理论学习中心组学习计划安排表，重点学习习近平总书记重要讲话和中央重要会议精神、国家职业教育改革实施方案等，每次由1名党委委员领学，结合学习内容开展研讨，全年共召开中心组学习会13次。关注政治时事热点和党建工作最新要求，组织党务干部培训班2期，先后5次组织全体教职工学习习近平总书记在改革开放40周年、“4.13”重要讲话、党的十九届四中全会精神和党史新中国史讲座学习讲座，参与学习达1100余人次。通过学习，强化了思想引领，用理论知识指导实践行动，为办好人民满意的职业教育提供坚强的政治保证，把全体教职工的思想统一到党的十九大精神上来。</w:t>
      </w:r>
    </w:p>
    <w:p>
      <w:pPr>
        <w:ind w:firstLine="562"/>
        <w:rPr>
          <w:rFonts w:hint="eastAsia" w:ascii="宋体" w:hAnsi="宋体"/>
          <w:b/>
          <w:color w:val="auto"/>
        </w:rPr>
      </w:pPr>
      <w:r>
        <w:rPr>
          <w:rFonts w:hint="eastAsia" w:ascii="宋体" w:hAnsi="宋体"/>
          <w:b/>
          <w:color w:val="auto"/>
        </w:rPr>
        <w:t>2</w:t>
      </w:r>
      <w:r>
        <w:rPr>
          <w:rFonts w:ascii="宋体" w:hAnsi="宋体"/>
          <w:b/>
          <w:color w:val="auto"/>
        </w:rPr>
        <w:t>.</w:t>
      </w:r>
      <w:r>
        <w:rPr>
          <w:rFonts w:hint="eastAsia" w:ascii="宋体" w:hAnsi="宋体"/>
          <w:b/>
          <w:color w:val="auto"/>
        </w:rPr>
        <w:t>健全组织建设，提升为民服务的向心力</w:t>
      </w:r>
    </w:p>
    <w:p>
      <w:pPr>
        <w:ind w:firstLine="560"/>
        <w:rPr>
          <w:rFonts w:hint="eastAsia" w:ascii="宋体" w:hAnsi="宋体"/>
          <w:color w:val="auto"/>
        </w:rPr>
      </w:pPr>
      <w:r>
        <w:rPr>
          <w:rFonts w:hint="eastAsia" w:ascii="宋体" w:hAnsi="宋体"/>
          <w:color w:val="auto"/>
        </w:rPr>
        <w:t>（1）落实“三会一课”学习制度。5个党支部共召开集中学习会77次，举办14次主题党课，开展了12次主题党日活动，参加集中学习的党员达836人次，普通党员学习课时人均达42节，党务干部达76节。通过学习教育，统一了全体党员的思想认识，提高了政治站位。</w:t>
      </w:r>
    </w:p>
    <w:p>
      <w:pPr>
        <w:ind w:firstLine="560"/>
        <w:rPr>
          <w:rFonts w:hint="eastAsia" w:ascii="宋体" w:hAnsi="宋体"/>
          <w:color w:val="auto"/>
        </w:rPr>
      </w:pPr>
      <w:r>
        <w:rPr>
          <w:rFonts w:hint="eastAsia" w:ascii="宋体" w:hAnsi="宋体"/>
          <w:color w:val="auto"/>
        </w:rPr>
        <w:t>（2）持续推进党支部标准化建设。全年发展党员1名，转正预备党员3名，培养入党积极分子6名，向党组织提交入党申请书的师生有43名，按标准化建设要求规范工作台账。以整治软弱涣散基层党组织为契机，结合标准化建设要求，党支部存在软弱涣散的17条具体表现，各党支部对标查找，共查找出问题41条，作出整改承诺17条，通过整改问题激发组织活力，现已全部完成整改。</w:t>
      </w:r>
    </w:p>
    <w:p>
      <w:pPr>
        <w:ind w:firstLine="560"/>
        <w:rPr>
          <w:rFonts w:hint="eastAsia" w:ascii="宋体" w:hAnsi="宋体"/>
          <w:color w:val="auto"/>
        </w:rPr>
      </w:pPr>
      <w:r>
        <w:rPr>
          <w:rFonts w:hint="eastAsia" w:ascii="宋体" w:hAnsi="宋体"/>
          <w:color w:val="auto"/>
        </w:rPr>
        <w:t>（3）形成支部服务师生品牌。各党支部结合业务工作，打造支部服务品牌活动，形成支部服务师生品牌：行政党支部打造行政效能示范点，修订学校制度，严格抓考勤，制定顶岗实习管理双班主任制；后勤党支部组建服务师生先锋队，建立党小组服务师生行动群，提高后勤维修效率；教师第一党支部成立扶青互助组，帮扶青年教师提高教学能力；教师第二党支部组建技能教学先锋队，通过技能教学技术魅力帮扶后进生或初中职业班学生；学生励志党支部成立文明创建攻坚组，制订学生的文明养成教育计划，监督学生的不文明行为。</w:t>
      </w:r>
    </w:p>
    <w:p>
      <w:pPr>
        <w:ind w:firstLine="562"/>
        <w:rPr>
          <w:rFonts w:hint="eastAsia" w:ascii="宋体" w:hAnsi="宋体"/>
          <w:b/>
          <w:color w:val="auto"/>
        </w:rPr>
      </w:pPr>
      <w:r>
        <w:rPr>
          <w:rFonts w:hint="eastAsia" w:ascii="宋体" w:hAnsi="宋体"/>
          <w:b/>
          <w:color w:val="auto"/>
        </w:rPr>
        <w:t>3</w:t>
      </w:r>
      <w:r>
        <w:rPr>
          <w:rFonts w:ascii="宋体" w:hAnsi="宋体"/>
          <w:b/>
          <w:color w:val="auto"/>
        </w:rPr>
        <w:t>.</w:t>
      </w:r>
      <w:r>
        <w:rPr>
          <w:rFonts w:hint="eastAsia" w:ascii="宋体" w:hAnsi="宋体"/>
          <w:b/>
          <w:color w:val="auto"/>
        </w:rPr>
        <w:t>完善制度建设，提升干事创业的执行力</w:t>
      </w:r>
    </w:p>
    <w:p>
      <w:pPr>
        <w:ind w:firstLine="560"/>
        <w:rPr>
          <w:rFonts w:hint="eastAsia" w:ascii="宋体" w:hAnsi="宋体"/>
          <w:color w:val="auto"/>
        </w:rPr>
      </w:pPr>
      <w:r>
        <w:rPr>
          <w:rFonts w:hint="eastAsia" w:ascii="宋体" w:hAnsi="宋体"/>
          <w:color w:val="auto"/>
        </w:rPr>
        <w:t>建立和完善《密切党群干群关系“</w:t>
      </w:r>
      <w:r>
        <w:rPr>
          <w:rFonts w:hint="eastAsia" w:ascii="宋体" w:hAnsi="宋体"/>
          <w:color w:val="auto"/>
          <w:lang w:eastAsia="zh-CN"/>
        </w:rPr>
        <w:t>六</w:t>
      </w:r>
      <w:r>
        <w:rPr>
          <w:rFonts w:hint="eastAsia" w:ascii="宋体" w:hAnsi="宋体"/>
          <w:color w:val="auto"/>
        </w:rPr>
        <w:t>走进”工作制度》、《落实全面从严治党责任书实施细则》、《党员领导干部下基层解难题办实事工作实施细则》等3个主题教育长效制度；为解决立德树人劳动教育缺位的问题，指导校园生态环境整治工作组，编制完成了校本《劳动教育大纲》。</w:t>
      </w:r>
    </w:p>
    <w:p>
      <w:pPr>
        <w:ind w:firstLine="562"/>
        <w:rPr>
          <w:rFonts w:hint="eastAsia" w:ascii="宋体" w:hAnsi="宋体"/>
          <w:b/>
          <w:color w:val="auto"/>
        </w:rPr>
      </w:pPr>
      <w:r>
        <w:rPr>
          <w:rFonts w:hint="eastAsia" w:ascii="宋体" w:hAnsi="宋体"/>
          <w:b/>
          <w:color w:val="auto"/>
        </w:rPr>
        <w:t>4</w:t>
      </w:r>
      <w:r>
        <w:rPr>
          <w:rFonts w:ascii="宋体" w:hAnsi="宋体"/>
          <w:b/>
          <w:color w:val="auto"/>
        </w:rPr>
        <w:t>.</w:t>
      </w:r>
      <w:r>
        <w:rPr>
          <w:rFonts w:hint="eastAsia" w:ascii="宋体" w:hAnsi="宋体"/>
          <w:b/>
          <w:color w:val="auto"/>
        </w:rPr>
        <w:t>强化党风廉政建设，提升拒腐防变的免疫力</w:t>
      </w:r>
    </w:p>
    <w:p>
      <w:pPr>
        <w:ind w:firstLine="560"/>
        <w:rPr>
          <w:rFonts w:hint="eastAsia" w:ascii="宋体" w:hAnsi="宋体"/>
          <w:color w:val="auto"/>
        </w:rPr>
      </w:pPr>
      <w:r>
        <w:rPr>
          <w:rFonts w:hint="eastAsia" w:ascii="宋体" w:hAnsi="宋体"/>
          <w:color w:val="auto"/>
        </w:rPr>
        <w:t>（1）提前谋划、压实责任。制定党风廉政建设工作计划，召开了3次纪委会研究落实。加强全面从严治党工作布局，召开了1次全面从严治党工作会，落实“一岗双责”，与各科室负责人、党支部书记签订了23份《2019年度全面从严治党责任书》。</w:t>
      </w:r>
    </w:p>
    <w:p>
      <w:pPr>
        <w:ind w:firstLine="560"/>
        <w:rPr>
          <w:rFonts w:ascii="宋体" w:hAnsi="宋体"/>
          <w:color w:val="auto"/>
        </w:rPr>
      </w:pPr>
      <w:r>
        <w:rPr>
          <w:rFonts w:hint="eastAsia" w:ascii="宋体" w:hAnsi="宋体"/>
          <w:color w:val="auto"/>
        </w:rPr>
        <w:t>（2）防微杜渐，违纪必究。组织中层及以上干部和专项工作负责人、教研室负责人和全体党员观看廉政警示片《蝇贪蚁腐之害》、《偏离做表的人生》，在节假日以纪委的名义向全体教职工发警示通知5条。党委书记开展集体警示谈话3次，共47人次。继续落实《海南省经济技术学校工程与采购项目廉政预警谈话和告知制度》，共开展项目谈话9次，签发9份《项目廉洁运作告知书》。对违规收取学生顶岗实习管理费的1名党员进行纪律处分，并开展“举一反三”警示教育。</w:t>
      </w:r>
    </w:p>
    <w:p>
      <w:pPr>
        <w:ind w:firstLine="562"/>
        <w:rPr>
          <w:rFonts w:hint="eastAsia" w:ascii="宋体" w:hAnsi="宋体"/>
          <w:b/>
          <w:color w:val="auto"/>
        </w:rPr>
      </w:pPr>
      <w:r>
        <w:rPr>
          <w:rFonts w:ascii="宋体" w:hAnsi="宋体"/>
          <w:b/>
          <w:color w:val="auto"/>
        </w:rPr>
        <w:t>5.</w:t>
      </w:r>
      <w:r>
        <w:rPr>
          <w:rFonts w:hint="eastAsia" w:ascii="宋体" w:hAnsi="宋体"/>
          <w:b/>
          <w:color w:val="auto"/>
        </w:rPr>
        <w:t>抓牢意识形态建设，提升师生思政统筹力</w:t>
      </w:r>
    </w:p>
    <w:p>
      <w:pPr>
        <w:ind w:firstLine="560"/>
        <w:rPr>
          <w:rFonts w:hint="eastAsia" w:ascii="宋体" w:hAnsi="宋体"/>
          <w:color w:val="auto"/>
        </w:rPr>
      </w:pPr>
      <w:r>
        <w:rPr>
          <w:rFonts w:hint="eastAsia" w:ascii="宋体" w:hAnsi="宋体"/>
          <w:color w:val="auto"/>
        </w:rPr>
        <w:t>召开1次意识形态工作会，明确了学校意识形态工作内容，与各科室负责人、党支部书记签订了23份《2019年意识形态工作责任书》；召开思政教师工作会，着力提升思政课教师的理论素养和教学水平，切实巩固思政课意识形态教育主阵地。</w:t>
      </w:r>
    </w:p>
    <w:p>
      <w:pPr>
        <w:ind w:firstLine="562"/>
        <w:rPr>
          <w:rFonts w:hint="eastAsia" w:ascii="宋体" w:hAnsi="宋体"/>
          <w:b/>
          <w:color w:val="auto"/>
        </w:rPr>
      </w:pPr>
      <w:r>
        <w:rPr>
          <w:rFonts w:hint="eastAsia" w:ascii="宋体" w:hAnsi="宋体"/>
          <w:b/>
          <w:color w:val="auto"/>
          <w:lang w:val="en-US" w:eastAsia="zh-CN"/>
        </w:rPr>
        <w:t>6</w:t>
      </w:r>
      <w:r>
        <w:rPr>
          <w:rFonts w:ascii="宋体" w:hAnsi="宋体"/>
          <w:b/>
          <w:color w:val="auto"/>
        </w:rPr>
        <w:t>.</w:t>
      </w:r>
      <w:r>
        <w:rPr>
          <w:rFonts w:hint="eastAsia" w:ascii="宋体" w:hAnsi="宋体"/>
          <w:b/>
          <w:color w:val="auto"/>
        </w:rPr>
        <w:t>扎实开展主题教育，把“改”字贯穿始终</w:t>
      </w:r>
    </w:p>
    <w:p>
      <w:pPr>
        <w:ind w:firstLine="560"/>
        <w:rPr>
          <w:rFonts w:hint="eastAsia" w:ascii="宋体" w:hAnsi="宋体"/>
          <w:color w:val="auto"/>
        </w:rPr>
      </w:pPr>
      <w:r>
        <w:rPr>
          <w:rFonts w:hint="eastAsia" w:ascii="宋体" w:hAnsi="宋体"/>
          <w:color w:val="auto"/>
        </w:rPr>
        <w:t>在主题教育中，结合“三进”活动制定找差距参照系，列出37个观测点，举办找差距培训讲座，提高找差距的勇气和能力，全体党员找出差距830条，党委委员找出差距73条，作出整改承诺169项，按照计划自行开展立行立改和践诺行动，已完成143项。结合师生意见抓整改，主题教育中深入基层召开了征求意见会13次，共征求得师生意见建议61条，制定出“15+N”条为师生办实事项目，已完成11条；结合上下联动抓整改，开展了校园生态卫生、旧风陋习、学生顶岗实习违规收费问题等3项专项整治和“关于整治巡查内部审计发现突出的问题”、“关于整治学习落实习近平新时代中国特色社会主义思想不力的问题”、“关于整治干事创业精气神不够的问题”、“关于整治服务师生不主动的问题”等4项专项整改，取得了良好的整治效果。</w:t>
      </w:r>
    </w:p>
    <w:p>
      <w:pPr>
        <w:ind w:firstLine="560"/>
        <w:rPr>
          <w:rFonts w:hint="eastAsia" w:ascii="宋体" w:hAnsi="宋体" w:eastAsia="宋体"/>
          <w:color w:val="auto"/>
          <w:lang w:eastAsia="zh-CN"/>
        </w:rPr>
      </w:pPr>
      <w:r>
        <w:rPr>
          <w:rFonts w:hint="eastAsia" w:ascii="宋体" w:hAnsi="宋体"/>
          <w:color w:val="auto"/>
        </w:rPr>
        <w:t>在主题教育的后期,校党委向学校各科室发出通知要求,将“不忘初心、牢记使命”主题教育的有效模式推广到各个科室、各班级。要求各科室教职员工要牢记“立德树人”的初心，履行办好人民满意的职业教育的使命,对照职业教育法、教师法，对照中小学师德规范，对照习近平总书记在教育上的系列讲话，对照海南自贸区自贸港对教育的要求，对照先进教育工作者的典型，查摆自身的不足，认真抓好整改，通过整改补好短板，争先创优。在学生中开展“牢记立志成才初心,履行为自贸区（港）做贡献的使命”主题教育,各班都召开了“入学为什么”主题班会。要求每个学生都要明确“为什么要入学”、“要为谁而学”、“如何当好一名合格的中职生”三个问题，对照中职生守则，对照学生纪律管理规定，对照文明礼仪规范，查摆不足，树立每天进步一点点的理念，抓好整改、追求进步</w:t>
      </w:r>
      <w:r>
        <w:rPr>
          <w:rFonts w:hint="eastAsia" w:ascii="宋体" w:hAnsi="宋体"/>
          <w:color w:val="auto"/>
          <w:lang w:eastAsia="zh-CN"/>
        </w:rPr>
        <w:t>。</w:t>
      </w:r>
    </w:p>
    <w:p>
      <w:pPr>
        <w:pStyle w:val="2"/>
        <w:spacing w:beforeLines="0"/>
        <w:ind w:firstLine="0" w:firstLineChars="0"/>
        <w:rPr>
          <w:color w:val="auto"/>
        </w:rPr>
      </w:pPr>
      <w:bookmarkStart w:id="20" w:name="_Toc14027"/>
      <w:r>
        <w:rPr>
          <w:rFonts w:hint="eastAsia"/>
          <w:color w:val="auto"/>
        </w:rPr>
        <w:t>四</w:t>
      </w:r>
      <w:r>
        <w:rPr>
          <w:color w:val="auto"/>
        </w:rPr>
        <w:t>、校企合作</w:t>
      </w:r>
      <w:bookmarkEnd w:id="20"/>
    </w:p>
    <w:p>
      <w:pPr>
        <w:pStyle w:val="3"/>
        <w:spacing w:beforeLines="0"/>
        <w:ind w:firstLine="602"/>
        <w:rPr>
          <w:rFonts w:hint="eastAsia"/>
          <w:color w:val="auto"/>
          <w:shd w:val="clear" w:color="auto" w:fill="FFFFFF"/>
        </w:rPr>
      </w:pPr>
      <w:bookmarkStart w:id="21" w:name="_Toc21227"/>
      <w:r>
        <w:rPr>
          <w:rFonts w:hint="eastAsia"/>
          <w:color w:val="auto"/>
          <w:shd w:val="clear" w:color="auto" w:fill="FFFFFF"/>
        </w:rPr>
        <w:t>（一</w:t>
      </w:r>
      <w:r>
        <w:rPr>
          <w:color w:val="auto"/>
          <w:shd w:val="clear" w:color="auto" w:fill="FFFFFF"/>
        </w:rPr>
        <w:t>）</w:t>
      </w:r>
      <w:r>
        <w:rPr>
          <w:rFonts w:hint="eastAsia"/>
          <w:color w:val="auto"/>
          <w:shd w:val="clear" w:color="auto" w:fill="FFFFFF"/>
        </w:rPr>
        <w:t>校企合作基本情况</w:t>
      </w:r>
      <w:bookmarkEnd w:id="21"/>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1.</w:t>
      </w:r>
      <w:r>
        <w:rPr>
          <w:rFonts w:hint="eastAsia" w:ascii="仿宋_GB2312" w:eastAsia="仿宋_GB2312"/>
          <w:b/>
          <w:color w:val="auto"/>
          <w:kern w:val="0"/>
          <w:szCs w:val="28"/>
        </w:rPr>
        <w:t>积极开展引企驻校的校企合作，服务海南自贸港建设，促进本地经济发展。</w:t>
      </w:r>
    </w:p>
    <w:p>
      <w:pPr>
        <w:ind w:firstLine="560"/>
        <w:rPr>
          <w:rFonts w:hint="eastAsia" w:ascii="宋体" w:hAnsi="宋体"/>
          <w:color w:val="auto"/>
        </w:rPr>
      </w:pPr>
      <w:r>
        <w:rPr>
          <w:rFonts w:hint="eastAsia" w:ascii="宋体" w:hAnsi="宋体"/>
          <w:color w:val="auto"/>
          <w:lang w:val="en-US" w:eastAsia="zh-CN"/>
        </w:rPr>
        <w:t>（1）</w:t>
      </w:r>
      <w:r>
        <w:rPr>
          <w:rFonts w:hint="eastAsia" w:ascii="宋体" w:hAnsi="宋体"/>
          <w:color w:val="auto"/>
        </w:rPr>
        <w:t>学校与海南思香源食品有限公司合作共建集专业教学、生产实习、产品展销于一体的食品实训基地。2017年该专业成为我校国家示范专业。</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w:t>
      </w:r>
      <w:r>
        <w:rPr>
          <w:rFonts w:hint="eastAsia" w:ascii="宋体" w:hAnsi="宋体"/>
          <w:color w:val="auto"/>
        </w:rPr>
        <w:t>学校与海南省烹饪协会合作,成立海南省烹饪协会培训交流部。通过合作进一步加强学校烹饪专业建设。</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3</w:t>
      </w:r>
      <w:r>
        <w:rPr>
          <w:rFonts w:hint="eastAsia" w:ascii="宋体" w:hAnsi="宋体"/>
          <w:color w:val="auto"/>
          <w:lang w:eastAsia="zh-CN"/>
        </w:rPr>
        <w:t>）</w:t>
      </w:r>
      <w:r>
        <w:rPr>
          <w:rFonts w:hint="eastAsia" w:ascii="宋体" w:hAnsi="宋体"/>
          <w:color w:val="auto"/>
        </w:rPr>
        <w:t>学校与海口信圆商务服务有限公司合作，开展了36人“会计技能加油班”技能培训，与相关企业合作开展了41人美发岗前专业技能强化班，与海南三厨新海府合作开展了120人岗前炸鸽子、炸油条、烧腊专项技能强化班，与海南好师傅家电维修有限公司合作开展了27人电子与空调技能强化班，与广州本田、保时捷合作开展了40人汽修技能强化班的技能培训。实现了学校课程和工作岗位对接，为学生更好的就业或创业奠定了基础。</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2.</w:t>
      </w:r>
      <w:r>
        <w:rPr>
          <w:rFonts w:hint="eastAsia" w:ascii="仿宋_GB2312" w:eastAsia="仿宋_GB2312"/>
          <w:b/>
          <w:color w:val="auto"/>
          <w:kern w:val="0"/>
          <w:szCs w:val="28"/>
        </w:rPr>
        <w:t>以勤工俭学活动的模式开展校企合作</w:t>
      </w:r>
    </w:p>
    <w:p>
      <w:pPr>
        <w:ind w:firstLine="560"/>
        <w:rPr>
          <w:rFonts w:hint="eastAsia" w:ascii="宋体" w:hAnsi="宋体"/>
          <w:color w:val="auto"/>
        </w:rPr>
      </w:pPr>
      <w:r>
        <w:rPr>
          <w:rFonts w:hint="eastAsia" w:ascii="宋体" w:hAnsi="宋体"/>
          <w:color w:val="auto"/>
        </w:rPr>
        <w:t>学校为了提高学生的社会适应能力及增强学生责任感，大力开展勤工俭学活动，利用周末、重大节假日及寒暑假组织在校学生参加勤工俭学。学校先后与海南三厨新海府餐饮管理有限公司、海南琼菜坊、海口美兰机场酒店、海口鲁能希尔顿酒店、鹿回头国宾馆等多家企业开展勤工俭学活动，常年为在校学生提供充足勤工俭学岗位，建立了良好的勤工俭学渠道。</w:t>
      </w:r>
    </w:p>
    <w:p>
      <w:pPr>
        <w:ind w:firstLine="560"/>
        <w:rPr>
          <w:rFonts w:ascii="宋体" w:hAnsi="宋体"/>
          <w:color w:val="auto"/>
        </w:rPr>
      </w:pPr>
      <w:r>
        <w:rPr>
          <w:rFonts w:hint="eastAsia" w:ascii="宋体" w:hAnsi="宋体"/>
          <w:color w:val="auto"/>
        </w:rPr>
        <w:t>学校组织1000多人次参加勤工俭学。勤工俭学不仅培养了学生吃苦耐劳精神及动手能力，而且树立学生正确的择业观及提高技能实践能力，不仅为合作企业解决临时用工的紧缺，而且提前为顶岗实习做好准备，并推进了学校与企业合作的深度和粘性。</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3.</w:t>
      </w:r>
      <w:r>
        <w:rPr>
          <w:rFonts w:hint="eastAsia" w:ascii="仿宋_GB2312" w:eastAsia="仿宋_GB2312"/>
          <w:b/>
          <w:color w:val="auto"/>
          <w:kern w:val="0"/>
          <w:szCs w:val="28"/>
        </w:rPr>
        <w:t>校企合作，建立企业冠名班</w:t>
      </w:r>
    </w:p>
    <w:p>
      <w:pPr>
        <w:ind w:firstLine="560"/>
        <w:rPr>
          <w:rFonts w:ascii="宋体" w:hAnsi="宋体"/>
          <w:color w:val="auto"/>
        </w:rPr>
      </w:pPr>
      <w:r>
        <w:rPr>
          <w:rFonts w:hint="eastAsia" w:ascii="宋体" w:hAnsi="宋体"/>
          <w:color w:val="auto"/>
        </w:rPr>
        <w:t>为进一步深化产教融合、校企合作，学校结合专业建设实际，在部分合作较好的企业，建立冠名班:红妆美容班、新标榜美发班、龙泉后备经理班、信圆加油班、新海府加强班（油条、烧腊、炸乳鸽方向）。进行了以“冠名班”为试点，全面推进专业技能学习，由企业派高级专业技能人员指导学生，并设立“优秀学徒”奖学金，奖教金，助学金等。企业冠名班在教育教学中，收到了良好的效果，这种模式被企业、学校和学生所接受，在此基础上，校企共同制定了“冠名班”的实施方案。让企业高级管理人员与学校专业教师共同参与管理与教育学生，学习内容及学生考核评价主要由企业实施。通过手把手的教学模式，学生学习兴趣较高，学习效果特别好。</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4.</w:t>
      </w:r>
      <w:r>
        <w:rPr>
          <w:rFonts w:hint="eastAsia" w:ascii="仿宋_GB2312" w:eastAsia="仿宋_GB2312"/>
          <w:b/>
          <w:color w:val="auto"/>
          <w:kern w:val="0"/>
          <w:szCs w:val="28"/>
        </w:rPr>
        <w:t>安排顶岗实习，实现校企合作</w:t>
      </w:r>
    </w:p>
    <w:p>
      <w:pPr>
        <w:ind w:firstLine="560"/>
        <w:rPr>
          <w:rFonts w:hint="eastAsia" w:ascii="宋体" w:hAnsi="宋体"/>
          <w:color w:val="auto"/>
        </w:rPr>
      </w:pPr>
      <w:r>
        <w:rPr>
          <w:rFonts w:hint="eastAsia" w:ascii="宋体" w:hAnsi="宋体"/>
          <w:color w:val="auto"/>
        </w:rPr>
        <w:t>学校遵循突出学生主体地位，引导学生主动发展的顶岗实习基本理念，助力海南自贸区（港）建设和贯彻落实全国教育大会精神，培养德智体美劳全面发展的社会主义的建设者和接班人，充分发挥校企双方资源优势，培养社会需要的中职人才。学校把学生顶岗实习和校企深度融合作为学校工作的重中之重。为实现所培养技术技能型人才，为与企业“零距离”接触，强化学生专业实际动手操作能力，为确保教学功能和生产功能的充分发挥，学校成立了校企合作指导委员会及各专业教学指导委员会，设立就业工作室与企业对接合作洽谈与安排顶岗实习</w:t>
      </w:r>
    </w:p>
    <w:p>
      <w:pPr>
        <w:ind w:firstLine="560"/>
        <w:rPr>
          <w:rFonts w:ascii="宋体" w:hAnsi="宋体"/>
          <w:color w:val="auto"/>
        </w:rPr>
      </w:pPr>
      <w:r>
        <w:rPr>
          <w:rFonts w:hint="eastAsia" w:ascii="宋体" w:hAnsi="宋体"/>
          <w:color w:val="auto"/>
        </w:rPr>
        <w:t>学校采用“走出去，引进来”相结合拓宽学生顶岗实习市场，开拓更多优质岗位，每年12月份召开“一校百企”校企合作座谈会等交流活动，并建立长期实习就业基地，先后与中免集团三亚市内免税店、深圳天虹股份有限公司、大地保险股份有限公司、海口红妆美容管理有限公司、三亚航佳商贸有限公司、海南春光食品有限公司、海南蔚蓝时代实业有限公司、三亚鹿回头国宾馆、海南拾味馆餐饮连锁管理有限公司等企业建立长期合作关系，每年引近上百家用人单位进校园开展招聘会，为实习生提供实习就业岗位2000多个。</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5.</w:t>
      </w:r>
      <w:r>
        <w:rPr>
          <w:rFonts w:hint="eastAsia" w:ascii="仿宋_GB2312" w:eastAsia="仿宋_GB2312"/>
          <w:b/>
          <w:color w:val="auto"/>
          <w:kern w:val="0"/>
          <w:szCs w:val="28"/>
        </w:rPr>
        <w:t>建立校企合作，创办委托培养班</w:t>
      </w:r>
    </w:p>
    <w:p>
      <w:pPr>
        <w:ind w:firstLine="560"/>
        <w:rPr>
          <w:rFonts w:hint="eastAsia" w:ascii="宋体" w:hAnsi="宋体"/>
          <w:color w:val="auto"/>
        </w:rPr>
      </w:pPr>
      <w:r>
        <w:rPr>
          <w:rFonts w:hint="eastAsia" w:ascii="宋体" w:hAnsi="宋体"/>
          <w:color w:val="auto"/>
        </w:rPr>
        <w:t>为了更好贯彻教育教学与生产劳动相结合的方针，提高人才培养质量，实现无缝对接，毕业即就业。多年来我校与多家企业共同合作创办了委托培养班，如：与海口红妆美容有限公司创办红妆美容班；与海南新标榜美发有限公司创办美发班；与海南罗牛山集团有限公司创办食品保鲜与加工班；与海南龙泉集团创办龙泉后备经理班；与中国电信海口分公司创办中国电信班等。创办形式和办学特点如下：</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rPr>
        <w:t>校企双方根据实际情况，本着互惠互利的原则，共同招收具有初中以上学历的社会青年及符合就读条件的企业在职员工参加学习。</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w:t>
      </w:r>
      <w:r>
        <w:rPr>
          <w:rFonts w:hint="eastAsia" w:ascii="宋体" w:hAnsi="宋体"/>
          <w:color w:val="auto"/>
        </w:rPr>
        <w:t>双方联合制订培养计划，共同制定教学计划和教学大纲。</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3</w:t>
      </w:r>
      <w:r>
        <w:rPr>
          <w:rFonts w:hint="eastAsia" w:ascii="宋体" w:hAnsi="宋体"/>
          <w:color w:val="auto"/>
          <w:lang w:eastAsia="zh-CN"/>
        </w:rPr>
        <w:t>）</w:t>
      </w:r>
      <w:r>
        <w:rPr>
          <w:rFonts w:hint="eastAsia" w:ascii="宋体" w:hAnsi="宋体"/>
          <w:color w:val="auto"/>
        </w:rPr>
        <w:t>委托培养班第一学年在校学习理论，第二学年第一学期到企业学习专业技能，第二学期回校加强理论与技能相结合强化学习，第三学年到企业顶岗实习就业。</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4</w:t>
      </w:r>
      <w:r>
        <w:rPr>
          <w:rFonts w:hint="eastAsia" w:ascii="宋体" w:hAnsi="宋体"/>
          <w:color w:val="auto"/>
          <w:lang w:eastAsia="zh-CN"/>
        </w:rPr>
        <w:t>）</w:t>
      </w:r>
      <w:r>
        <w:rPr>
          <w:rFonts w:hint="eastAsia" w:ascii="宋体" w:hAnsi="宋体"/>
          <w:color w:val="auto"/>
        </w:rPr>
        <w:t>企业派相关技术人员到学校对学生进行授课。</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5</w:t>
      </w:r>
      <w:r>
        <w:rPr>
          <w:rFonts w:hint="eastAsia" w:ascii="宋体" w:hAnsi="宋体"/>
          <w:color w:val="auto"/>
          <w:lang w:eastAsia="zh-CN"/>
        </w:rPr>
        <w:t>）</w:t>
      </w:r>
      <w:r>
        <w:rPr>
          <w:rFonts w:hint="eastAsia" w:ascii="宋体" w:hAnsi="宋体"/>
          <w:color w:val="auto"/>
        </w:rPr>
        <w:t>学校派专业老师到企业挂职学习并授课。</w:t>
      </w:r>
    </w:p>
    <w:p>
      <w:pPr>
        <w:pStyle w:val="3"/>
        <w:spacing w:beforeLines="0"/>
        <w:ind w:firstLine="602"/>
        <w:rPr>
          <w:rFonts w:hint="eastAsia"/>
          <w:color w:val="auto"/>
          <w:shd w:val="clear" w:color="auto" w:fill="FFFFFF"/>
        </w:rPr>
      </w:pPr>
      <w:bookmarkStart w:id="22" w:name="_Toc23301"/>
      <w:r>
        <w:rPr>
          <w:rFonts w:hint="eastAsia"/>
          <w:color w:val="auto"/>
          <w:shd w:val="clear" w:color="auto" w:fill="FFFFFF"/>
        </w:rPr>
        <w:t>（</w:t>
      </w:r>
      <w:r>
        <w:rPr>
          <w:rFonts w:hint="eastAsia"/>
          <w:color w:val="auto"/>
          <w:shd w:val="clear" w:color="auto" w:fill="FFFFFF"/>
          <w:lang w:eastAsia="zh-CN"/>
        </w:rPr>
        <w:t>二</w:t>
      </w:r>
      <w:r>
        <w:rPr>
          <w:color w:val="auto"/>
          <w:shd w:val="clear" w:color="auto" w:fill="FFFFFF"/>
        </w:rPr>
        <w:t>）</w:t>
      </w:r>
      <w:r>
        <w:rPr>
          <w:rFonts w:hint="eastAsia"/>
          <w:color w:val="auto"/>
          <w:shd w:val="clear" w:color="auto" w:fill="FFFFFF"/>
        </w:rPr>
        <w:t>校企合作开展效果</w:t>
      </w:r>
      <w:bookmarkEnd w:id="22"/>
    </w:p>
    <w:p>
      <w:pPr>
        <w:ind w:firstLine="562"/>
        <w:rPr>
          <w:rFonts w:hint="eastAsia" w:ascii="宋体" w:hAnsi="宋体"/>
          <w:color w:val="auto"/>
          <w:lang w:eastAsia="zh-CN"/>
        </w:rPr>
      </w:pPr>
      <w:r>
        <w:rPr>
          <w:rFonts w:hint="eastAsia" w:ascii="宋体" w:hAnsi="宋体"/>
          <w:color w:val="auto"/>
          <w:lang w:eastAsia="zh-CN"/>
        </w:rPr>
        <w:t>学校通过开展引企驻校、勤工俭学、企业冠名班、跟岗实习、订单培养班、现代学徒制、顶岗实习等形式广泛地开展校企合作，实现了校企双赢。</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1.</w:t>
      </w:r>
      <w:r>
        <w:rPr>
          <w:rFonts w:hint="eastAsia" w:ascii="仿宋_GB2312" w:eastAsia="仿宋_GB2312"/>
          <w:b/>
          <w:color w:val="auto"/>
          <w:kern w:val="0"/>
          <w:szCs w:val="28"/>
        </w:rPr>
        <w:t>提升企业竞争力</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rPr>
        <w:t>企业优势</w:t>
      </w:r>
    </w:p>
    <w:p>
      <w:pPr>
        <w:ind w:firstLine="560"/>
        <w:rPr>
          <w:rFonts w:hint="eastAsia" w:ascii="宋体" w:hAnsi="宋体"/>
          <w:color w:val="auto"/>
        </w:rPr>
      </w:pPr>
      <w:r>
        <w:rPr>
          <w:rFonts w:hint="eastAsia" w:ascii="宋体" w:hAnsi="宋体"/>
          <w:color w:val="auto"/>
        </w:rPr>
        <w:t>通过校企合作，一定程度上提升了企业的竞争力。一是校企合作可以提高企业决策竞争力，市场环境的竞争可以在决策中致胜；二是校企合作能在学生培养阶段强化学生对企业文化的认同感，这样会有效减少员工的流动性；三是校企合作培养的学生，会大大缩短学生与企业之间的磨合期，在学校期间就能了解到企业文化和工作环境，这将极大降低企业对员工的培训成本；四是校企合作可以提高工作流程的竞争力，组织各个机构和岗位角色做人做事等方式，高效率及高效益对企业组织的运行更加完善；五是校企合作可以提升企业创新能力的竞争力，对企业文化渗透越早，有助于对企业思维模式的形成，并了解企业结构，对企业创新是一个强有力的支持，创新能力将成为市场竞争的一个制高点。持续发展校企合作，定能有力地提升企业的竞争力；六是校企合作会让企业招聘到最需要的人才，因为我们知道企业需要什么样的人才，学校会采用“有的放矢、量体裁衣”的教学手段，培养企业紧缺人才和储备优秀的后备资源。</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）校</w:t>
      </w:r>
      <w:r>
        <w:rPr>
          <w:rFonts w:hint="eastAsia" w:ascii="宋体" w:hAnsi="宋体"/>
          <w:color w:val="auto"/>
        </w:rPr>
        <w:t>企“双赢”</w:t>
      </w:r>
    </w:p>
    <w:p>
      <w:pPr>
        <w:ind w:firstLine="560"/>
        <w:rPr>
          <w:rFonts w:ascii="宋体" w:hAnsi="宋体"/>
          <w:color w:val="auto"/>
        </w:rPr>
      </w:pPr>
      <w:r>
        <w:rPr>
          <w:rFonts w:hint="eastAsia" w:ascii="宋体" w:hAnsi="宋体"/>
          <w:color w:val="auto"/>
        </w:rPr>
        <w:t>旅游、酒店业是季节性很强的产业，只有在高峰时期企业才能大量提供实习机会。学校紧紧抓住企业的这一机会，在旅游高峰时期，选择优质酒店签订合作协议，学生将理论学习实践于工作过程，再次回到课堂又将工作过程融化到理论学习中，构建了“校企双融”的人才培养模式，既为企业解决了用工荒问题，也为服务类学生实习提供了更优质的岗位。</w:t>
      </w:r>
    </w:p>
    <w:p>
      <w:pPr>
        <w:ind w:firstLine="562"/>
        <w:rPr>
          <w:rFonts w:ascii="仿宋_GB2312" w:eastAsia="仿宋_GB2312"/>
          <w:b/>
          <w:color w:val="auto"/>
          <w:kern w:val="0"/>
          <w:szCs w:val="28"/>
        </w:rPr>
      </w:pPr>
      <w:r>
        <w:rPr>
          <w:rFonts w:hint="eastAsia" w:ascii="仿宋_GB2312" w:eastAsia="仿宋_GB2312"/>
          <w:b/>
          <w:color w:val="auto"/>
          <w:kern w:val="0"/>
          <w:szCs w:val="28"/>
          <w:lang w:val="en-US" w:eastAsia="zh-CN"/>
        </w:rPr>
        <w:t>2.</w:t>
      </w:r>
      <w:r>
        <w:rPr>
          <w:rFonts w:hint="eastAsia" w:ascii="仿宋_GB2312" w:eastAsia="仿宋_GB2312"/>
          <w:b/>
          <w:color w:val="auto"/>
          <w:kern w:val="0"/>
          <w:szCs w:val="28"/>
        </w:rPr>
        <w:t>学校赢得发展</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1</w:t>
      </w:r>
      <w:r>
        <w:rPr>
          <w:rFonts w:hint="eastAsia" w:ascii="宋体" w:hAnsi="宋体"/>
          <w:color w:val="auto"/>
          <w:lang w:eastAsia="zh-CN"/>
        </w:rPr>
        <w:t>）</w:t>
      </w:r>
      <w:r>
        <w:rPr>
          <w:rFonts w:hint="eastAsia" w:ascii="宋体" w:hAnsi="宋体"/>
          <w:color w:val="auto"/>
        </w:rPr>
        <w:t>校企合作之学生发展</w:t>
      </w:r>
    </w:p>
    <w:p>
      <w:pPr>
        <w:ind w:firstLine="560"/>
        <w:rPr>
          <w:rFonts w:hint="eastAsia" w:ascii="宋体" w:hAnsi="宋体"/>
          <w:color w:val="auto"/>
        </w:rPr>
      </w:pPr>
      <w:r>
        <w:rPr>
          <w:rFonts w:hint="eastAsia" w:ascii="宋体" w:hAnsi="宋体"/>
          <w:color w:val="auto"/>
          <w:lang w:eastAsia="zh-CN"/>
        </w:rPr>
        <w:t>第一，</w:t>
      </w:r>
      <w:r>
        <w:rPr>
          <w:rFonts w:hint="eastAsia" w:ascii="宋体" w:hAnsi="宋体"/>
          <w:color w:val="auto"/>
        </w:rPr>
        <w:t>每个学生都能在我校成人成才，一直是学校全体教职工努力的目标，我们有信心且相信，每个学生都能在学校不断更进的教育体制中逐渐成长，将来走进社会，成为有职业素养、能适应社会、愿吃苦耐劳、怀一技之长的技能型人才。通过校企合作使学生及早了解企业文化、企业制度及企业发展，对学生在思想意识上有过渡期准备。学生可获得实际的工作体验，帮助他们顺利就业。在人才市场上，诸多用人单位希望录用具有一定工作经验的人员，这对一直在学校学习的学生来说是不切实际的，但通过校企合作，按照企业实际的生产和服务要求参加工作实践，获取工作经验，学生在校期间就具备了企业等用人单位录用新员工所需的工作经验。</w:t>
      </w:r>
    </w:p>
    <w:p>
      <w:pPr>
        <w:ind w:firstLine="560"/>
        <w:rPr>
          <w:rFonts w:hint="eastAsia" w:ascii="宋体" w:hAnsi="宋体"/>
          <w:color w:val="auto"/>
        </w:rPr>
      </w:pPr>
      <w:r>
        <w:rPr>
          <w:rFonts w:hint="eastAsia" w:ascii="宋体" w:hAnsi="宋体"/>
          <w:color w:val="auto"/>
          <w:lang w:eastAsia="zh-CN"/>
        </w:rPr>
        <w:t>第二，</w:t>
      </w:r>
      <w:r>
        <w:rPr>
          <w:rFonts w:hint="eastAsia" w:ascii="宋体" w:hAnsi="宋体"/>
          <w:color w:val="auto"/>
        </w:rPr>
        <w:t>对学生而言，解决了他们的后顾之忧，使学生能够集中精力、专心致志地学习钻研职业技能，及时走上工作岗位并拿到较高的报酬。通过校企合作，学生掌握了行业发展情况，了解企业用人需求，实现了就业生有才能施，不荒才，不废材的就业状况。</w:t>
      </w:r>
    </w:p>
    <w:p>
      <w:pPr>
        <w:ind w:firstLine="560"/>
        <w:rPr>
          <w:rFonts w:hint="eastAsia" w:ascii="宋体" w:hAnsi="宋体"/>
          <w:color w:val="auto"/>
        </w:rPr>
      </w:pPr>
      <w:r>
        <w:rPr>
          <w:rFonts w:hint="eastAsia" w:ascii="宋体" w:hAnsi="宋体"/>
          <w:color w:val="auto"/>
          <w:lang w:eastAsia="zh-CN"/>
        </w:rPr>
        <w:t>第三，</w:t>
      </w:r>
      <w:r>
        <w:rPr>
          <w:rFonts w:hint="eastAsia" w:ascii="宋体" w:hAnsi="宋体"/>
          <w:color w:val="auto"/>
        </w:rPr>
        <w:t>学生参与工作实践，有利于培养爱岗敬业、吃苦耐劳的精神，增强对岗位、职业的感情，较早地接受企业文化的熏陶。同时把理论知识和实践能力融为一体，使学校的教学质量得以真正提高，更重要的是，学生的动手能力、综合分析能力、独立完成工作的能力和应变能力等这些职业岗位能力得到了很好的培养和锻炼，这是岗位实践活动以外任何形式无法完成的。</w:t>
      </w:r>
    </w:p>
    <w:p>
      <w:pPr>
        <w:ind w:firstLine="560"/>
        <w:rPr>
          <w:rFonts w:hint="eastAsia" w:ascii="宋体" w:hAnsi="宋体"/>
          <w:color w:val="auto"/>
        </w:rPr>
      </w:pPr>
      <w:r>
        <w:rPr>
          <w:rFonts w:hint="eastAsia" w:ascii="宋体" w:hAnsi="宋体"/>
          <w:color w:val="auto"/>
          <w:lang w:eastAsia="zh-CN"/>
        </w:rPr>
        <w:t>（</w:t>
      </w:r>
      <w:r>
        <w:rPr>
          <w:rFonts w:hint="eastAsia" w:ascii="宋体" w:hAnsi="宋体"/>
          <w:color w:val="auto"/>
          <w:lang w:val="en-US" w:eastAsia="zh-CN"/>
        </w:rPr>
        <w:t>2</w:t>
      </w:r>
      <w:r>
        <w:rPr>
          <w:rFonts w:hint="eastAsia" w:ascii="宋体" w:hAnsi="宋体"/>
          <w:color w:val="auto"/>
          <w:lang w:eastAsia="zh-CN"/>
        </w:rPr>
        <w:t>）</w:t>
      </w:r>
      <w:r>
        <w:rPr>
          <w:rFonts w:hint="eastAsia" w:ascii="宋体" w:hAnsi="宋体"/>
          <w:color w:val="auto"/>
        </w:rPr>
        <w:t>校企合作之教师发展</w:t>
      </w:r>
    </w:p>
    <w:p>
      <w:pPr>
        <w:ind w:firstLine="560"/>
        <w:rPr>
          <w:rFonts w:hint="eastAsia" w:ascii="宋体" w:hAnsi="宋体"/>
          <w:color w:val="auto"/>
        </w:rPr>
      </w:pPr>
      <w:r>
        <w:rPr>
          <w:rFonts w:hint="eastAsia" w:ascii="宋体" w:hAnsi="宋体"/>
          <w:color w:val="auto"/>
          <w:lang w:val="en-US" w:eastAsia="zh-CN"/>
        </w:rPr>
        <w:t>第一，</w:t>
      </w:r>
      <w:r>
        <w:rPr>
          <w:rFonts w:hint="eastAsia" w:ascii="宋体" w:hAnsi="宋体"/>
          <w:color w:val="auto"/>
        </w:rPr>
        <w:t>通过广泛的校企合作，我校各个专业都建立了校外实习基地，这些实习基地不仅解决了学生的实习问题和就业问题，而且还为各专业教师提供了学习锻炼、提升素质的机会。学生在企业实习期间，学校采取挂职锻炼、跟班实践、参观考察等方式，有计划、有目的地组织教师到企业学习、了解企业的新工艺、新设备、新技术，同时了解企业用人规格，便于学校调整人才培养目标，提高了教学实效。各专业教师通过进企业学习锻炼，业务水平和对新技术的应用实践能力得到了很大的提高，部分教师还考取了专业技术等级证书，使学校“双师型”教师数量不断增加。</w:t>
      </w:r>
    </w:p>
    <w:p>
      <w:pPr>
        <w:ind w:firstLine="560"/>
        <w:rPr>
          <w:rFonts w:hint="eastAsia" w:ascii="宋体" w:hAnsi="宋体"/>
          <w:color w:val="auto"/>
        </w:rPr>
      </w:pPr>
      <w:r>
        <w:rPr>
          <w:rFonts w:hint="eastAsia" w:ascii="宋体" w:hAnsi="宋体"/>
          <w:color w:val="auto"/>
          <w:lang w:eastAsia="zh-CN"/>
        </w:rPr>
        <w:t>第二，</w:t>
      </w:r>
      <w:r>
        <w:rPr>
          <w:rFonts w:hint="eastAsia" w:ascii="宋体" w:hAnsi="宋体"/>
          <w:color w:val="auto"/>
        </w:rPr>
        <w:t>要培养企业所需要的技术人才，就需着眼于企业的需求、企业的标准来进行教改。通过校企合作，企业技术工人所需的知识、技能，企业对员工的评价标准，企业员工的基本素养等成为了我校课程设置、课堂教学方式、校本教材开发等的依据。</w:t>
      </w:r>
    </w:p>
    <w:p>
      <w:pPr>
        <w:ind w:firstLine="560"/>
        <w:rPr>
          <w:rFonts w:hint="eastAsia" w:ascii="宋体" w:hAnsi="宋体"/>
          <w:color w:val="auto"/>
        </w:rPr>
      </w:pPr>
      <w:r>
        <w:rPr>
          <w:rFonts w:hint="eastAsia" w:ascii="宋体" w:hAnsi="宋体"/>
          <w:color w:val="auto"/>
        </w:rPr>
        <w:t>首先，通过校企合作，教师深入企业调研，根据市场和企业的实际需求，进行了一系列的课程改革，删减不能适应当前企业和市场需求的课程内容，增加适应当前经济特点与反映新知识、新技术与新工艺等的课程内容。</w:t>
      </w:r>
    </w:p>
    <w:p>
      <w:pPr>
        <w:ind w:firstLine="560"/>
        <w:rPr>
          <w:rFonts w:hint="eastAsia" w:ascii="宋体" w:hAnsi="宋体"/>
          <w:color w:val="auto"/>
        </w:rPr>
      </w:pPr>
      <w:r>
        <w:rPr>
          <w:rFonts w:hint="eastAsia" w:ascii="宋体" w:hAnsi="宋体"/>
          <w:color w:val="auto"/>
        </w:rPr>
        <w:t>其次，通过校企合作，改革了课堂教学方式。结合企业的需求和学生实际，降低了教材的难度，强化了专业课实操技能要求，采取了“前期补基础，后期强实训，以技能项目带基础理论，降低难度，因材选学”的办法。同时不断创新了教学模式，根据企业和岗位群对人才的需求，推行“项目教学”、“任务驱动”和“理实一体化教学”，实现了由讲授式向启发式转化、由课堂教学向现场教学转化、由传统教学手段向现代教学手段转化，使学生掌握的知识和技能符合市场和企业的发展需求。</w:t>
      </w:r>
    </w:p>
    <w:p>
      <w:pPr>
        <w:pStyle w:val="3"/>
        <w:spacing w:beforeLines="0"/>
        <w:ind w:firstLine="602"/>
        <w:rPr>
          <w:color w:val="auto"/>
          <w:shd w:val="clear" w:color="auto" w:fill="FFFFFF"/>
        </w:rPr>
      </w:pPr>
      <w:bookmarkStart w:id="23" w:name="_Toc11507"/>
      <w:r>
        <w:rPr>
          <w:rFonts w:hint="eastAsia"/>
          <w:color w:val="auto"/>
          <w:shd w:val="clear" w:color="auto" w:fill="FFFFFF"/>
        </w:rPr>
        <w:t>（二</w:t>
      </w:r>
      <w:r>
        <w:rPr>
          <w:color w:val="auto"/>
          <w:shd w:val="clear" w:color="auto" w:fill="FFFFFF"/>
        </w:rPr>
        <w:t>）</w:t>
      </w:r>
      <w:r>
        <w:rPr>
          <w:rFonts w:hint="eastAsia"/>
          <w:color w:val="auto"/>
          <w:shd w:val="clear" w:color="auto" w:fill="FFFFFF"/>
        </w:rPr>
        <w:t>学生实习情况</w:t>
      </w:r>
      <w:bookmarkEnd w:id="23"/>
    </w:p>
    <w:p>
      <w:pPr>
        <w:ind w:firstLine="560"/>
        <w:rPr>
          <w:rFonts w:hint="eastAsia" w:ascii="宋体" w:hAnsi="宋体"/>
          <w:color w:val="auto"/>
        </w:rPr>
      </w:pPr>
      <w:r>
        <w:rPr>
          <w:rFonts w:hint="eastAsia" w:ascii="宋体" w:hAnsi="宋体"/>
          <w:color w:val="auto"/>
        </w:rPr>
        <w:t>2018-2019学年度，我校坚持贯彻国家和海南省有关毕业生就业工作的方针及会议精神，在教育厅的正确领导下，在校领导在带领下，全校教职工的齐心协助，较好的完成了2019年学生顶岗实习工作。</w:t>
      </w:r>
    </w:p>
    <w:p>
      <w:pPr>
        <w:ind w:firstLine="560"/>
        <w:rPr>
          <w:rFonts w:hint="eastAsia" w:ascii="宋体" w:hAnsi="宋体"/>
          <w:color w:val="auto"/>
        </w:rPr>
      </w:pPr>
      <w:r>
        <w:rPr>
          <w:rFonts w:hint="eastAsia" w:ascii="宋体" w:hAnsi="宋体"/>
          <w:color w:val="auto"/>
        </w:rPr>
        <w:t>1．2019年学生顶岗实习情况</w:t>
      </w:r>
    </w:p>
    <w:p>
      <w:pPr>
        <w:ind w:firstLine="560"/>
        <w:rPr>
          <w:rFonts w:hint="eastAsia" w:ascii="宋体" w:hAnsi="宋体"/>
          <w:color w:val="auto"/>
        </w:rPr>
      </w:pPr>
      <w:r>
        <w:rPr>
          <w:rFonts w:hint="eastAsia" w:ascii="宋体" w:hAnsi="宋体"/>
          <w:color w:val="auto"/>
        </w:rPr>
        <w:t>我校2019年顶岗实习学生1591人，截止到2019年10月，全部参加顶岗实习，实习对口率75.12%。</w:t>
      </w:r>
    </w:p>
    <w:p>
      <w:pPr>
        <w:ind w:firstLine="560"/>
        <w:rPr>
          <w:rFonts w:hint="eastAsia" w:ascii="宋体" w:hAnsi="宋体"/>
          <w:color w:val="auto"/>
        </w:rPr>
      </w:pPr>
      <w:r>
        <w:rPr>
          <w:rFonts w:hint="eastAsia" w:ascii="宋体" w:hAnsi="宋体"/>
          <w:color w:val="auto"/>
        </w:rPr>
        <w:t>2．2019年实习生总体流向</w:t>
      </w:r>
    </w:p>
    <w:p>
      <w:pPr>
        <w:ind w:firstLine="560"/>
        <w:rPr>
          <w:rFonts w:hint="eastAsia" w:ascii="宋体" w:hAnsi="宋体"/>
          <w:color w:val="auto"/>
        </w:rPr>
      </w:pPr>
      <w:r>
        <w:rPr>
          <w:rFonts w:hint="eastAsia" w:ascii="宋体" w:hAnsi="宋体"/>
          <w:color w:val="auto"/>
        </w:rPr>
        <w:t>在海南本地实习1355人，占85.17%，外省实习236人，占14.83%。</w:t>
      </w:r>
    </w:p>
    <w:p>
      <w:pPr>
        <w:pStyle w:val="3"/>
        <w:spacing w:beforeLines="0"/>
        <w:ind w:firstLine="602"/>
        <w:rPr>
          <w:color w:val="auto"/>
          <w:shd w:val="clear" w:color="auto" w:fill="FFFFFF"/>
        </w:rPr>
      </w:pPr>
      <w:bookmarkStart w:id="24" w:name="_Toc14696"/>
      <w:r>
        <w:rPr>
          <w:rFonts w:hint="eastAsia"/>
          <w:color w:val="auto"/>
          <w:shd w:val="clear" w:color="auto" w:fill="FFFFFF"/>
        </w:rPr>
        <w:t>（三</w:t>
      </w:r>
      <w:r>
        <w:rPr>
          <w:color w:val="auto"/>
          <w:shd w:val="clear" w:color="auto" w:fill="FFFFFF"/>
        </w:rPr>
        <w:t>）</w:t>
      </w:r>
      <w:r>
        <w:rPr>
          <w:rFonts w:hint="eastAsia"/>
          <w:color w:val="auto"/>
          <w:shd w:val="clear" w:color="auto" w:fill="FFFFFF"/>
        </w:rPr>
        <w:t>集团化办学情况</w:t>
      </w:r>
      <w:bookmarkEnd w:id="24"/>
    </w:p>
    <w:p>
      <w:pPr>
        <w:ind w:firstLine="560"/>
        <w:rPr>
          <w:rFonts w:hint="eastAsia" w:ascii="宋体" w:hAnsi="宋体"/>
          <w:color w:val="auto"/>
        </w:rPr>
      </w:pPr>
      <w:r>
        <w:rPr>
          <w:rFonts w:hint="eastAsia" w:ascii="宋体" w:hAnsi="宋体"/>
          <w:color w:val="auto"/>
        </w:rPr>
        <w:t>学校积极联合行业企业参与职业教育</w:t>
      </w:r>
      <w:r>
        <w:rPr>
          <w:rFonts w:hint="eastAsia" w:ascii="宋体" w:hAnsi="宋体"/>
          <w:color w:val="auto"/>
          <w:lang w:eastAsia="zh-CN"/>
        </w:rPr>
        <w:t>，</w:t>
      </w:r>
      <w:r>
        <w:rPr>
          <w:rFonts w:hint="eastAsia" w:ascii="宋体" w:hAnsi="宋体"/>
          <w:color w:val="auto"/>
        </w:rPr>
        <w:t>不断加强集团化办学深度合作。2009年5月至今，学校先后与海南食品科学规划协会、海南省烹饪协会、海南旅游协会、海南会计协会、海南省汽车配件协会</w:t>
      </w:r>
      <w:r>
        <w:rPr>
          <w:rFonts w:hint="eastAsia" w:ascii="宋体" w:hAnsi="宋体"/>
          <w:color w:val="auto"/>
          <w:lang w:eastAsia="zh-CN"/>
        </w:rPr>
        <w:t>、</w:t>
      </w:r>
      <w:r>
        <w:rPr>
          <w:rFonts w:hint="eastAsia" w:ascii="宋体" w:hAnsi="宋体"/>
          <w:color w:val="auto"/>
        </w:rPr>
        <w:t>海南省成美慈善基金会、北京新发展慈善基金会参与学校集团化办学中。</w:t>
      </w:r>
    </w:p>
    <w:p>
      <w:pPr>
        <w:ind w:firstLine="560"/>
        <w:rPr>
          <w:rFonts w:ascii="宋体" w:hAnsi="宋体"/>
          <w:color w:val="auto"/>
        </w:rPr>
      </w:pPr>
      <w:r>
        <w:rPr>
          <w:rFonts w:hint="eastAsia" w:ascii="宋体" w:hAnsi="宋体"/>
          <w:color w:val="auto"/>
        </w:rPr>
        <w:t>2009年至今，我校与海南省职业机电集团、海南省农业集团、海南省商贸职业教育集团、海南旅游职业教育集团共同协商规划集团化办学新思路，共同编制《关于职业教育集团有关职责管理体制》。</w:t>
      </w:r>
    </w:p>
    <w:p>
      <w:pPr>
        <w:pStyle w:val="2"/>
        <w:spacing w:beforeLines="0"/>
        <w:ind w:firstLine="0" w:firstLineChars="0"/>
        <w:rPr>
          <w:color w:val="auto"/>
        </w:rPr>
      </w:pPr>
      <w:bookmarkStart w:id="25" w:name="_Toc2688"/>
      <w:r>
        <w:rPr>
          <w:rFonts w:hint="eastAsia"/>
          <w:color w:val="auto"/>
        </w:rPr>
        <w:t>五</w:t>
      </w:r>
      <w:r>
        <w:rPr>
          <w:color w:val="auto"/>
        </w:rPr>
        <w:t>、社会贡献</w:t>
      </w:r>
      <w:bookmarkEnd w:id="25"/>
    </w:p>
    <w:p>
      <w:pPr>
        <w:pStyle w:val="3"/>
        <w:spacing w:beforeLines="0"/>
        <w:ind w:firstLine="602"/>
        <w:rPr>
          <w:color w:val="auto"/>
          <w:shd w:val="clear" w:color="auto" w:fill="FFFFFF"/>
        </w:rPr>
      </w:pPr>
      <w:bookmarkStart w:id="26" w:name="_Toc31810"/>
      <w:r>
        <w:rPr>
          <w:rFonts w:hint="eastAsia"/>
          <w:color w:val="auto"/>
          <w:shd w:val="clear" w:color="auto" w:fill="FFFFFF"/>
        </w:rPr>
        <w:t>（一</w:t>
      </w:r>
      <w:r>
        <w:rPr>
          <w:color w:val="auto"/>
          <w:shd w:val="clear" w:color="auto" w:fill="FFFFFF"/>
        </w:rPr>
        <w:t>）</w:t>
      </w:r>
      <w:r>
        <w:rPr>
          <w:rFonts w:hint="eastAsia"/>
          <w:color w:val="auto"/>
          <w:shd w:val="clear" w:color="auto" w:fill="FFFFFF"/>
        </w:rPr>
        <w:t>技术</w:t>
      </w:r>
      <w:r>
        <w:rPr>
          <w:color w:val="auto"/>
          <w:shd w:val="clear" w:color="auto" w:fill="FFFFFF"/>
        </w:rPr>
        <w:t>技能人才培养</w:t>
      </w:r>
      <w:bookmarkEnd w:id="26"/>
    </w:p>
    <w:p>
      <w:pPr>
        <w:ind w:firstLine="562"/>
        <w:rPr>
          <w:rFonts w:ascii="仿宋_GB2312" w:eastAsia="仿宋_GB2312"/>
          <w:b/>
          <w:color w:val="auto"/>
          <w:kern w:val="0"/>
          <w:szCs w:val="28"/>
        </w:rPr>
      </w:pPr>
      <w:r>
        <w:rPr>
          <w:rFonts w:hint="eastAsia" w:ascii="仿宋_GB2312" w:eastAsia="仿宋_GB2312"/>
          <w:b/>
          <w:color w:val="auto"/>
          <w:kern w:val="0"/>
          <w:szCs w:val="28"/>
        </w:rPr>
        <w:t>1．</w:t>
      </w:r>
      <w:r>
        <w:rPr>
          <w:rFonts w:ascii="仿宋_GB2312" w:eastAsia="仿宋_GB2312"/>
          <w:b/>
          <w:color w:val="auto"/>
          <w:kern w:val="0"/>
          <w:szCs w:val="28"/>
        </w:rPr>
        <w:t>学校</w:t>
      </w:r>
      <w:r>
        <w:rPr>
          <w:rFonts w:hint="eastAsia" w:ascii="仿宋_GB2312" w:eastAsia="仿宋_GB2312"/>
          <w:b/>
          <w:color w:val="auto"/>
          <w:kern w:val="0"/>
          <w:szCs w:val="28"/>
        </w:rPr>
        <w:t>办学</w:t>
      </w:r>
      <w:r>
        <w:rPr>
          <w:rFonts w:ascii="仿宋_GB2312" w:eastAsia="仿宋_GB2312"/>
          <w:b/>
          <w:color w:val="auto"/>
          <w:kern w:val="0"/>
          <w:szCs w:val="28"/>
        </w:rPr>
        <w:t>定位及人才培养模式</w:t>
      </w:r>
    </w:p>
    <w:p>
      <w:pPr>
        <w:ind w:firstLine="560"/>
        <w:rPr>
          <w:rFonts w:hint="eastAsia" w:ascii="宋体" w:hAnsi="宋体"/>
          <w:color w:val="auto"/>
        </w:rPr>
      </w:pPr>
      <w:r>
        <w:rPr>
          <w:rFonts w:hint="eastAsia" w:ascii="宋体" w:hAnsi="宋体"/>
          <w:color w:val="auto"/>
        </w:rPr>
        <w:t>学校围绕海南产业发展规划和海南建设海南自贸港的战略任务开设契合海南经济社会发展需求的专业。一是围绕海南省“十三五”规划重点发展的十二</w:t>
      </w:r>
      <w:r>
        <w:rPr>
          <w:rFonts w:hint="eastAsia" w:ascii="宋体" w:hAnsi="宋体"/>
          <w:color w:val="auto"/>
          <w:lang w:eastAsia="zh-CN"/>
        </w:rPr>
        <w:t>大</w:t>
      </w:r>
      <w:r>
        <w:rPr>
          <w:rFonts w:hint="eastAsia" w:ascii="宋体" w:hAnsi="宋体"/>
          <w:color w:val="auto"/>
        </w:rPr>
        <w:t>产业中的互联网产业开设计算机应用、电子商务、计算机网络技术等专业，培养互联网及电子商务等相关产业所需的初、中级技术技能型人才。二是围绕为服务海南自贸港建设开设高星级饭店运营与管理、美发与形象设计、美容美体、航空服务、市场营销、电子信息技术、汽车运用与维修、制冷与空调设备维修、会计电算化等专业，培养现代服务等相关产业所需的初、中级技术技能型人才。三是围绕热带农产品加工产业以及相关的上、中、下游产业，将农产品加工产业链中的各个环节所需要的人才作为培养对象，开设农产品保鲜与加工、食品生物工艺、药品食品检验、西餐烹饪、中餐烹饪与营养膳食等相关的专业，为食品产业及相关行业培养配套人才。</w:t>
      </w:r>
    </w:p>
    <w:p>
      <w:pPr>
        <w:ind w:firstLine="560"/>
        <w:rPr>
          <w:rFonts w:ascii="宋体" w:hAnsi="宋体"/>
          <w:color w:val="auto"/>
        </w:rPr>
      </w:pPr>
      <w:r>
        <w:rPr>
          <w:rFonts w:hint="eastAsia" w:ascii="宋体" w:hAnsi="宋体"/>
          <w:color w:val="auto"/>
        </w:rPr>
        <w:t>根据海南的产业发展规划，面向海南食品产业链和旅游产业链的岗位能力需求，学校改革创新人才培养模式，提出“能力本位、产教融合、工学结合、知行合一”的总思路。各个重点建设专业根据各专业特点，构建各具特色鲜明的人才培养模式：农产品保鲜与加工专业依托校中厂及区域农产品加工企业的深度合作，创建了“能力本位、工学结合、订单培养”人才培养模式；会计电算化专业与海口信圆商务服务有限公司共建“会计技能加油班”，引进中小微企业的真实账务，创建了“仿真教学、真账参与、德能并重，校企共育”人才培养模式；计算机应用专业依托行业协会，紧靠科技园区，根据企业岗位的要求，确定电商、影楼、广告及电信等四个专业培养方向，创建了“产教融合、校企合作、定向培养”人才培养模式；酒店服务与管理专业充分发挥学校与6家高星级酒店联合办学的优势，创建了“德能兼备、校企共育、工学结合”人才培养模式。</w:t>
      </w:r>
    </w:p>
    <w:p>
      <w:pPr>
        <w:ind w:firstLine="562"/>
        <w:rPr>
          <w:rFonts w:ascii="仿宋_GB2312" w:eastAsia="仿宋_GB2312"/>
          <w:b/>
          <w:color w:val="auto"/>
          <w:kern w:val="0"/>
          <w:szCs w:val="28"/>
        </w:rPr>
      </w:pPr>
      <w:r>
        <w:rPr>
          <w:rFonts w:ascii="仿宋_GB2312" w:eastAsia="仿宋_GB2312"/>
          <w:b/>
          <w:color w:val="auto"/>
          <w:kern w:val="0"/>
          <w:szCs w:val="28"/>
        </w:rPr>
        <w:t>2</w:t>
      </w:r>
      <w:r>
        <w:rPr>
          <w:rFonts w:hint="eastAsia" w:ascii="仿宋_GB2312" w:eastAsia="仿宋_GB2312"/>
          <w:b/>
          <w:color w:val="auto"/>
          <w:kern w:val="0"/>
          <w:szCs w:val="28"/>
        </w:rPr>
        <w:t>．打造职场氛围人才培养场地</w:t>
      </w:r>
    </w:p>
    <w:p>
      <w:pPr>
        <w:ind w:firstLine="560"/>
        <w:rPr>
          <w:rFonts w:ascii="宋体" w:hAnsi="宋体"/>
          <w:color w:val="auto"/>
        </w:rPr>
      </w:pPr>
      <w:r>
        <w:rPr>
          <w:rFonts w:hint="eastAsia" w:ascii="宋体" w:hAnsi="宋体"/>
          <w:color w:val="auto"/>
        </w:rPr>
        <w:t>学校着力推进教学过程与生产过程相对接，引企驻校，加强企业文化渗透，建设“产教一体化”的育人环境，运用项目教学、任务驱动、情境模拟等以行动为导向的教学模式和信息化教学手段，打造职业素质培养和技能训练且具有浓厚职场氛围的人才培养场所。</w:t>
      </w:r>
    </w:p>
    <w:p>
      <w:pPr>
        <w:ind w:firstLine="562"/>
        <w:rPr>
          <w:rFonts w:ascii="仿宋_GB2312" w:eastAsia="仿宋_GB2312"/>
          <w:b/>
          <w:color w:val="auto"/>
          <w:kern w:val="0"/>
          <w:szCs w:val="28"/>
        </w:rPr>
      </w:pPr>
      <w:r>
        <w:rPr>
          <w:rFonts w:ascii="仿宋_GB2312" w:eastAsia="仿宋_GB2312"/>
          <w:b/>
          <w:color w:val="auto"/>
          <w:kern w:val="0"/>
          <w:szCs w:val="28"/>
        </w:rPr>
        <w:t>3</w:t>
      </w:r>
      <w:r>
        <w:rPr>
          <w:rFonts w:hint="eastAsia" w:ascii="仿宋_GB2312" w:eastAsia="仿宋_GB2312"/>
          <w:b/>
          <w:color w:val="auto"/>
          <w:kern w:val="0"/>
          <w:szCs w:val="28"/>
        </w:rPr>
        <w:t>．创新以学生为中心的教学模式</w:t>
      </w:r>
    </w:p>
    <w:p>
      <w:pPr>
        <w:spacing w:line="360" w:lineRule="auto"/>
        <w:ind w:firstLine="560"/>
        <w:rPr>
          <w:rFonts w:ascii="宋体" w:hAnsi="宋体"/>
          <w:color w:val="auto"/>
        </w:rPr>
      </w:pPr>
      <w:r>
        <w:rPr>
          <w:rFonts w:hint="eastAsia" w:ascii="宋体" w:hAnsi="宋体"/>
          <w:color w:val="auto"/>
        </w:rPr>
        <w:t>学校与企业共建校内外生产性实训基地，通过项目和工作引领，学生轮换参加生产实习，实施“学中做、做中学”的教学模式。如：农产品保鲜与加工专业创建“任务引领、项目驱动、知行合一”的教学模式，会计电算化专业构建“工作过程导向、典型任务驱动，教学过程与工作过程对接”的教学模式，计算机应用专业借助校企合作优势，开发微课堂教学视频，创建“案例融入、对接生产、分层递进”的教学模式，酒店服务与管理专业创建“任务驱动、项目引领、行动导向、知行合一”教学模式。</w:t>
      </w:r>
    </w:p>
    <w:p>
      <w:pPr>
        <w:ind w:firstLine="562"/>
        <w:rPr>
          <w:rFonts w:ascii="仿宋_GB2312" w:eastAsia="仿宋_GB2312"/>
          <w:b/>
          <w:color w:val="auto"/>
          <w:kern w:val="0"/>
          <w:szCs w:val="28"/>
        </w:rPr>
      </w:pPr>
      <w:r>
        <w:rPr>
          <w:rFonts w:ascii="仿宋_GB2312" w:eastAsia="仿宋_GB2312"/>
          <w:b/>
          <w:color w:val="auto"/>
          <w:kern w:val="0"/>
          <w:szCs w:val="28"/>
        </w:rPr>
        <w:t>4</w:t>
      </w:r>
      <w:r>
        <w:rPr>
          <w:rFonts w:hint="eastAsia" w:ascii="仿宋_GB2312" w:eastAsia="仿宋_GB2312"/>
          <w:b/>
          <w:color w:val="auto"/>
          <w:kern w:val="0"/>
          <w:szCs w:val="28"/>
        </w:rPr>
        <w:t>．实施多元评价中创新评价模式</w:t>
      </w:r>
    </w:p>
    <w:p>
      <w:pPr>
        <w:ind w:firstLine="560"/>
        <w:rPr>
          <w:rFonts w:hint="eastAsia" w:ascii="宋体" w:hAnsi="宋体"/>
          <w:color w:val="auto"/>
        </w:rPr>
      </w:pPr>
      <w:r>
        <w:rPr>
          <w:rFonts w:hint="eastAsia" w:ascii="宋体" w:hAnsi="宋体"/>
          <w:color w:val="auto"/>
        </w:rPr>
        <w:t>学校以促进学生职业道德、职业技能、综合素质全面发展为目标，改革创新评价模式，构建学校、行业、企业和其他社会组织等多方参与的职业教育评价模式，积极开展办学水平第三方评价及质量年度报告制度，2019年第三方评估结果为合格学校。学校设立教学督导室，加强对教学的督导，形成了有效的教育教学质量监控体系，合理评价教育教学质量和教师工作质量及贡献。</w:t>
      </w:r>
    </w:p>
    <w:p>
      <w:pPr>
        <w:ind w:firstLine="560"/>
        <w:rPr>
          <w:rFonts w:ascii="宋体" w:hAnsi="宋体"/>
          <w:color w:val="auto"/>
        </w:rPr>
      </w:pPr>
      <w:r>
        <w:rPr>
          <w:rFonts w:hint="eastAsia" w:ascii="宋体" w:hAnsi="宋体"/>
          <w:color w:val="auto"/>
        </w:rPr>
        <w:t>学校改革创新人才培养模式，把技术技能人才的培养作为改革的目标，2019年学校培养出1495人的技能人才非常适应海南区域经济社会发展的需求，学生的就业率达到96.68%，对口率达到72.11%。</w:t>
      </w:r>
    </w:p>
    <w:p>
      <w:pPr>
        <w:pStyle w:val="3"/>
        <w:spacing w:beforeLines="0"/>
        <w:ind w:firstLine="602"/>
        <w:rPr>
          <w:rFonts w:hint="eastAsia"/>
          <w:color w:val="auto"/>
          <w:shd w:val="clear" w:color="auto" w:fill="FFFFFF"/>
        </w:rPr>
      </w:pPr>
      <w:bookmarkStart w:id="27" w:name="_Toc24206"/>
      <w:r>
        <w:rPr>
          <w:rFonts w:hint="eastAsia"/>
          <w:color w:val="auto"/>
          <w:shd w:val="clear" w:color="auto" w:fill="FFFFFF"/>
        </w:rPr>
        <w:t>（二</w:t>
      </w:r>
      <w:r>
        <w:rPr>
          <w:color w:val="auto"/>
          <w:shd w:val="clear" w:color="auto" w:fill="FFFFFF"/>
        </w:rPr>
        <w:t>）</w:t>
      </w:r>
      <w:r>
        <w:rPr>
          <w:rFonts w:hint="eastAsia"/>
          <w:color w:val="auto"/>
          <w:shd w:val="clear" w:color="auto" w:fill="FFFFFF"/>
        </w:rPr>
        <w:t>社会服务</w:t>
      </w:r>
      <w:bookmarkEnd w:id="27"/>
    </w:p>
    <w:p>
      <w:pPr>
        <w:ind w:firstLine="562"/>
        <w:rPr>
          <w:rFonts w:ascii="仿宋_GB2312" w:eastAsia="仿宋_GB2312"/>
          <w:b/>
          <w:color w:val="auto"/>
          <w:kern w:val="0"/>
          <w:szCs w:val="28"/>
        </w:rPr>
      </w:pPr>
      <w:r>
        <w:rPr>
          <w:rFonts w:hint="eastAsia" w:ascii="仿宋_GB2312" w:eastAsia="仿宋_GB2312"/>
          <w:b/>
          <w:color w:val="auto"/>
          <w:kern w:val="0"/>
          <w:szCs w:val="28"/>
        </w:rPr>
        <w:t>1．培训</w:t>
      </w:r>
      <w:r>
        <w:rPr>
          <w:rFonts w:ascii="仿宋_GB2312" w:eastAsia="仿宋_GB2312"/>
          <w:b/>
          <w:color w:val="auto"/>
          <w:kern w:val="0"/>
          <w:szCs w:val="28"/>
        </w:rPr>
        <w:t>服务</w:t>
      </w:r>
    </w:p>
    <w:p>
      <w:pPr>
        <w:ind w:firstLine="560"/>
        <w:rPr>
          <w:rFonts w:hint="eastAsia" w:ascii="宋体" w:hAnsi="宋体"/>
          <w:color w:val="auto"/>
        </w:rPr>
      </w:pPr>
      <w:r>
        <w:rPr>
          <w:rFonts w:hint="eastAsia" w:ascii="宋体" w:hAnsi="宋体"/>
          <w:color w:val="auto"/>
        </w:rPr>
        <w:t>（1）开展职业技能培训。学校2019年开展社会职业技能培训鉴定827人次，取得证书610人，为我省经济发展、产业结构调整提供了有力的人才支持。</w:t>
      </w:r>
    </w:p>
    <w:p>
      <w:pPr>
        <w:ind w:firstLine="560"/>
        <w:rPr>
          <w:rFonts w:hint="eastAsia" w:ascii="宋体" w:hAnsi="宋体"/>
          <w:color w:val="auto"/>
        </w:rPr>
      </w:pPr>
      <w:r>
        <w:rPr>
          <w:rFonts w:hint="eastAsia" w:ascii="宋体" w:hAnsi="宋体"/>
          <w:color w:val="auto"/>
        </w:rPr>
        <w:t>（2）开展职业初中班试点工作。2019年我校招收25名职业初中生，开展了职业初中班试点工作，全面落实了《海南省部分初中生困难学生在职业学校完成义务教育并接受部分职业技能学习试点工作方案》，让他们能顺利完成义务教育并接受部分职业技能学习。</w:t>
      </w:r>
    </w:p>
    <w:p>
      <w:pPr>
        <w:ind w:firstLine="560"/>
        <w:rPr>
          <w:rFonts w:hint="eastAsia" w:ascii="宋体" w:hAnsi="宋体"/>
          <w:color w:val="auto"/>
        </w:rPr>
      </w:pPr>
      <w:r>
        <w:rPr>
          <w:rFonts w:hint="eastAsia" w:ascii="宋体" w:hAnsi="宋体"/>
          <w:color w:val="auto"/>
        </w:rPr>
        <w:t>（3）开展企业社会培训。与海口琼山友邦汽车修理厂、海南省汽车配件协会合作开办2018级汽车配件营销、汽车维修共80人，与海南三厨新海府合作开办2019级烹饪班54人，与海南拾味馆合作开办2019级烹饪班62人、酒店班34人的新型企业学徒制非全日制班，服务企业。与武警海南总队机动支队合作开展美发技术培训，为部队提供为期5个周的美发技能培训服务。</w:t>
      </w:r>
    </w:p>
    <w:p>
      <w:pPr>
        <w:ind w:firstLine="560"/>
        <w:rPr>
          <w:rFonts w:ascii="宋体" w:hAnsi="宋体"/>
          <w:color w:val="auto"/>
        </w:rPr>
      </w:pPr>
      <w:r>
        <w:rPr>
          <w:rFonts w:hint="eastAsia" w:ascii="宋体" w:hAnsi="宋体"/>
          <w:color w:val="auto"/>
        </w:rPr>
        <w:t>（4）以创办“金不换”中专班为抓手，助力海南三年禁毒攻坚战。在省教育厅及省戒毒管理局的领导下，通过戒毒所及学校共同努力，分别在琼山强制戒毒所、府城强制戒毒所、仁兴强制戒毒所、三亚强制戒毒所、罗牛山强制戒毒所开设电子商务专业、烹饪与膳食营养专业，招收非全日制班学生，完成了2018级257</w:t>
      </w:r>
      <w:r>
        <w:rPr>
          <w:rFonts w:hint="eastAsia" w:ascii="宋体" w:hAnsi="宋体"/>
          <w:color w:val="auto"/>
          <w:lang w:eastAsia="zh-CN"/>
        </w:rPr>
        <w:t>人、</w:t>
      </w:r>
      <w:r>
        <w:rPr>
          <w:rFonts w:hint="eastAsia" w:ascii="宋体" w:hAnsi="宋体"/>
          <w:color w:val="auto"/>
        </w:rPr>
        <w:t>2019级167人招生任务，2019级增加了美发与形象设计专业，并完成了相关教学工作。</w:t>
      </w:r>
    </w:p>
    <w:p>
      <w:pPr>
        <w:ind w:firstLine="562"/>
        <w:rPr>
          <w:rFonts w:ascii="仿宋_GB2312" w:eastAsia="仿宋_GB2312"/>
          <w:b/>
          <w:color w:val="auto"/>
          <w:kern w:val="0"/>
          <w:szCs w:val="28"/>
        </w:rPr>
      </w:pPr>
      <w:r>
        <w:rPr>
          <w:rFonts w:ascii="仿宋_GB2312" w:eastAsia="仿宋_GB2312"/>
          <w:b/>
          <w:color w:val="auto"/>
          <w:kern w:val="0"/>
          <w:szCs w:val="28"/>
        </w:rPr>
        <w:t>2</w:t>
      </w:r>
      <w:r>
        <w:rPr>
          <w:rFonts w:hint="eastAsia" w:ascii="仿宋_GB2312" w:eastAsia="仿宋_GB2312"/>
          <w:b/>
          <w:color w:val="auto"/>
          <w:kern w:val="0"/>
          <w:szCs w:val="28"/>
        </w:rPr>
        <w:t>．技术服务</w:t>
      </w:r>
    </w:p>
    <w:p>
      <w:pPr>
        <w:ind w:firstLine="560"/>
        <w:rPr>
          <w:rFonts w:hint="eastAsia" w:ascii="宋体" w:hAnsi="宋体"/>
          <w:bCs/>
          <w:color w:val="auto"/>
          <w:szCs w:val="28"/>
        </w:rPr>
      </w:pPr>
      <w:r>
        <w:rPr>
          <w:rFonts w:hint="eastAsia" w:ascii="宋体" w:hAnsi="宋体"/>
          <w:color w:val="auto"/>
        </w:rPr>
        <w:t>食品专业是我校特色专业，长期以来积累了丰富的设备资源和师资，为海南本地提供了大量的技术服务，他们是海南省食品安全地方标准评审委员会成员、海南省人民政府政务服务中心粮油食品、物流工程评标专家及为全省学校食品卫生监管提供技术支持；充分发挥我校体育专业人才优势，服务社会，参加社会体育指导员工作；充分发挥电商专业技术优势，承办了全省职业院校技能赛“电子商务技术”和“网络搭建及应用”项目，支持东方市职业技术学校开展帮扶指导该校电子商务专业课程设置和实训室建设；充分发挥我校各专业优势，一年来，有十多名专业教师为全省技能鉴定服务提供技术支持；充分发挥我校扶贫带头作用</w:t>
      </w:r>
      <w:r>
        <w:rPr>
          <w:rFonts w:ascii="宋体" w:hAnsi="宋体"/>
          <w:color w:val="auto"/>
        </w:rPr>
        <w:t>。</w:t>
      </w:r>
    </w:p>
    <w:p>
      <w:pPr>
        <w:ind w:firstLine="562"/>
        <w:rPr>
          <w:rFonts w:ascii="仿宋_GB2312" w:eastAsia="仿宋_GB2312"/>
          <w:b/>
          <w:color w:val="auto"/>
          <w:kern w:val="0"/>
          <w:szCs w:val="28"/>
        </w:rPr>
      </w:pPr>
      <w:r>
        <w:rPr>
          <w:rFonts w:ascii="仿宋_GB2312" w:eastAsia="仿宋_GB2312"/>
          <w:b/>
          <w:color w:val="auto"/>
          <w:kern w:val="0"/>
          <w:szCs w:val="28"/>
        </w:rPr>
        <w:t>3</w:t>
      </w:r>
      <w:r>
        <w:rPr>
          <w:rFonts w:hint="eastAsia" w:ascii="仿宋_GB2312" w:eastAsia="仿宋_GB2312"/>
          <w:b/>
          <w:color w:val="auto"/>
          <w:kern w:val="0"/>
          <w:szCs w:val="28"/>
        </w:rPr>
        <w:t>．</w:t>
      </w:r>
      <w:r>
        <w:rPr>
          <w:rFonts w:ascii="仿宋_GB2312" w:eastAsia="仿宋_GB2312"/>
          <w:b/>
          <w:color w:val="auto"/>
          <w:kern w:val="0"/>
          <w:szCs w:val="28"/>
        </w:rPr>
        <w:t>文化传承</w:t>
      </w:r>
    </w:p>
    <w:p>
      <w:pPr>
        <w:ind w:firstLine="560"/>
        <w:rPr>
          <w:rFonts w:ascii="宋体" w:hAnsi="宋体"/>
          <w:color w:val="auto"/>
        </w:rPr>
      </w:pPr>
      <w:r>
        <w:rPr>
          <w:rFonts w:hint="eastAsia" w:ascii="宋体" w:hAnsi="宋体"/>
          <w:color w:val="auto"/>
        </w:rPr>
        <w:t>2010年1月11日习近平总书记（时任国家副主席）对学校</w:t>
      </w:r>
      <w:r>
        <w:rPr>
          <w:rFonts w:ascii="宋体" w:hAnsi="宋体"/>
          <w:color w:val="auto"/>
        </w:rPr>
        <w:t>创办</w:t>
      </w:r>
      <w:r>
        <w:rPr>
          <w:rFonts w:hint="eastAsia" w:ascii="宋体" w:hAnsi="宋体"/>
          <w:color w:val="auto"/>
        </w:rPr>
        <w:t>“</w:t>
      </w:r>
      <w:r>
        <w:rPr>
          <w:rFonts w:ascii="宋体" w:hAnsi="宋体"/>
          <w:color w:val="auto"/>
        </w:rPr>
        <w:t>扶贫巾帼励志</w:t>
      </w:r>
      <w:r>
        <w:rPr>
          <w:rFonts w:hint="eastAsia" w:ascii="宋体" w:hAnsi="宋体"/>
          <w:color w:val="auto"/>
        </w:rPr>
        <w:t>中专班”</w:t>
      </w:r>
      <w:r>
        <w:rPr>
          <w:rFonts w:ascii="宋体" w:hAnsi="宋体"/>
          <w:color w:val="auto"/>
        </w:rPr>
        <w:t>做出</w:t>
      </w:r>
      <w:r>
        <w:rPr>
          <w:rFonts w:hint="eastAsia" w:ascii="宋体" w:hAnsi="宋体"/>
          <w:color w:val="auto"/>
        </w:rPr>
        <w:t>重要批示：</w:t>
      </w:r>
      <w:r>
        <w:rPr>
          <w:rFonts w:hint="eastAsia"/>
          <w:color w:val="auto"/>
        </w:rPr>
        <w:t>“</w:t>
      </w:r>
      <w:r>
        <w:rPr>
          <w:rFonts w:hint="eastAsia"/>
          <w:b/>
          <w:bCs/>
          <w:color w:val="auto"/>
        </w:rPr>
        <w:t>扶贫重在扶志，扶志重在育才。海南省经济技术学校围绕扶贫开发，以学习实践活动为契机，以农村贫困家庭为对象，创办巾帼励志中专班，体现了强烈的社会责任意识，是职业教育的一个创新。这种办学思路和办学方向，应予鼓励和倡导</w:t>
      </w:r>
      <w:r>
        <w:rPr>
          <w:rFonts w:hint="eastAsia"/>
          <w:color w:val="auto"/>
        </w:rPr>
        <w:t>。”</w:t>
      </w:r>
      <w:r>
        <w:rPr>
          <w:rFonts w:hint="eastAsia" w:ascii="宋体" w:hAnsi="宋体"/>
          <w:color w:val="auto"/>
        </w:rPr>
        <w:t>学校</w:t>
      </w:r>
      <w:r>
        <w:rPr>
          <w:rFonts w:ascii="宋体" w:hAnsi="宋体"/>
          <w:color w:val="auto"/>
        </w:rPr>
        <w:t>遵循</w:t>
      </w:r>
      <w:r>
        <w:rPr>
          <w:rFonts w:hint="eastAsia" w:ascii="宋体" w:hAnsi="宋体"/>
          <w:color w:val="auto"/>
        </w:rPr>
        <w:t>习总书记的</w:t>
      </w:r>
      <w:r>
        <w:rPr>
          <w:rFonts w:ascii="宋体" w:hAnsi="宋体"/>
          <w:color w:val="auto"/>
        </w:rPr>
        <w:t>指示</w:t>
      </w:r>
      <w:r>
        <w:rPr>
          <w:rFonts w:hint="eastAsia" w:ascii="宋体" w:hAnsi="宋体"/>
          <w:color w:val="auto"/>
        </w:rPr>
        <w:t>，</w:t>
      </w:r>
      <w:r>
        <w:rPr>
          <w:rFonts w:ascii="宋体" w:hAnsi="宋体"/>
          <w:color w:val="auto"/>
        </w:rPr>
        <w:t>提炼了励志</w:t>
      </w:r>
      <w:r>
        <w:rPr>
          <w:rFonts w:hint="eastAsia" w:ascii="宋体" w:hAnsi="宋体"/>
          <w:color w:val="auto"/>
        </w:rPr>
        <w:t>文化</w:t>
      </w:r>
      <w:r>
        <w:rPr>
          <w:rFonts w:ascii="宋体" w:hAnsi="宋体"/>
          <w:color w:val="auto"/>
        </w:rPr>
        <w:t>的精</w:t>
      </w:r>
      <w:r>
        <w:rPr>
          <w:rFonts w:hint="eastAsia" w:ascii="宋体" w:hAnsi="宋体"/>
          <w:color w:val="auto"/>
        </w:rPr>
        <w:t>髓并提升为</w:t>
      </w:r>
      <w:r>
        <w:rPr>
          <w:rFonts w:ascii="宋体" w:hAnsi="宋体"/>
          <w:color w:val="auto"/>
        </w:rPr>
        <w:t>学校</w:t>
      </w:r>
      <w:r>
        <w:rPr>
          <w:rFonts w:hint="eastAsia" w:ascii="宋体" w:hAnsi="宋体"/>
          <w:color w:val="auto"/>
        </w:rPr>
        <w:t>文化</w:t>
      </w:r>
      <w:r>
        <w:rPr>
          <w:rFonts w:ascii="宋体" w:hAnsi="宋体"/>
          <w:color w:val="auto"/>
        </w:rPr>
        <w:t>传承</w:t>
      </w:r>
      <w:r>
        <w:rPr>
          <w:rFonts w:hint="eastAsia" w:ascii="宋体" w:hAnsi="宋体"/>
          <w:color w:val="auto"/>
        </w:rPr>
        <w:t>下来</w:t>
      </w:r>
      <w:r>
        <w:rPr>
          <w:rFonts w:ascii="宋体" w:hAnsi="宋体"/>
          <w:color w:val="auto"/>
        </w:rPr>
        <w:t>。</w:t>
      </w:r>
    </w:p>
    <w:p>
      <w:pPr>
        <w:ind w:firstLine="560"/>
        <w:rPr>
          <w:rFonts w:ascii="宋体" w:hAnsi="宋体"/>
          <w:color w:val="auto"/>
        </w:rPr>
      </w:pPr>
      <w:r>
        <w:rPr>
          <w:rFonts w:hint="eastAsia" w:ascii="宋体" w:hAnsi="宋体"/>
          <w:color w:val="auto"/>
        </w:rPr>
        <w:t>学校</w:t>
      </w:r>
      <w:r>
        <w:rPr>
          <w:rFonts w:ascii="宋体" w:hAnsi="宋体"/>
          <w:color w:val="auto"/>
        </w:rPr>
        <w:t>开展</w:t>
      </w:r>
      <w:r>
        <w:rPr>
          <w:rFonts w:hint="eastAsia" w:ascii="宋体" w:hAnsi="宋体"/>
          <w:color w:val="auto"/>
        </w:rPr>
        <w:t>励志</w:t>
      </w:r>
      <w:r>
        <w:rPr>
          <w:rFonts w:ascii="宋体" w:hAnsi="宋体"/>
          <w:color w:val="auto"/>
        </w:rPr>
        <w:t>文化</w:t>
      </w:r>
      <w:r>
        <w:rPr>
          <w:rFonts w:hint="eastAsia" w:ascii="宋体" w:hAnsi="宋体"/>
          <w:color w:val="auto"/>
        </w:rPr>
        <w:t>活动</w:t>
      </w:r>
      <w:r>
        <w:rPr>
          <w:rFonts w:ascii="宋体" w:hAnsi="宋体"/>
          <w:color w:val="auto"/>
        </w:rPr>
        <w:t>，既有</w:t>
      </w:r>
      <w:r>
        <w:rPr>
          <w:rFonts w:hint="eastAsia" w:ascii="宋体" w:hAnsi="宋体"/>
          <w:color w:val="auto"/>
        </w:rPr>
        <w:t>举办</w:t>
      </w:r>
      <w:r>
        <w:rPr>
          <w:rFonts w:ascii="宋体" w:hAnsi="宋体"/>
          <w:color w:val="auto"/>
        </w:rPr>
        <w:t>励志讲座</w:t>
      </w:r>
      <w:r>
        <w:rPr>
          <w:rFonts w:hint="eastAsia" w:ascii="宋体" w:hAnsi="宋体"/>
          <w:color w:val="auto"/>
        </w:rPr>
        <w:t>、</w:t>
      </w:r>
      <w:r>
        <w:rPr>
          <w:rFonts w:ascii="宋体" w:hAnsi="宋体"/>
          <w:color w:val="auto"/>
        </w:rPr>
        <w:t>优秀成功人士的感</w:t>
      </w:r>
      <w:r>
        <w:rPr>
          <w:rFonts w:hint="eastAsia" w:ascii="宋体" w:hAnsi="宋体"/>
          <w:color w:val="auto"/>
        </w:rPr>
        <w:t>恩</w:t>
      </w:r>
      <w:r>
        <w:rPr>
          <w:rFonts w:ascii="宋体" w:hAnsi="宋体"/>
          <w:color w:val="auto"/>
        </w:rPr>
        <w:t>教育</w:t>
      </w:r>
      <w:r>
        <w:rPr>
          <w:rFonts w:hint="eastAsia" w:ascii="宋体" w:hAnsi="宋体"/>
          <w:color w:val="auto"/>
        </w:rPr>
        <w:t>报告会，</w:t>
      </w:r>
      <w:r>
        <w:rPr>
          <w:rFonts w:ascii="宋体" w:hAnsi="宋体"/>
          <w:color w:val="auto"/>
        </w:rPr>
        <w:t>也有开展</w:t>
      </w:r>
      <w:r>
        <w:rPr>
          <w:rFonts w:hint="eastAsia" w:ascii="宋体" w:hAnsi="宋体"/>
          <w:color w:val="auto"/>
        </w:rPr>
        <w:t>励志志愿者服务，反哺感恩于行动。本年度已开展5次，受教育学生达2600人次。团委建立了扶贫励志志愿者服务队，“扶贫励志班”学生注册率达95%以上。团委每周组织扶贫励志志愿者服务队参加校内“双创”活动、慰问孤寡老人、公益环保宣传等志愿服务活动，本学期“扶贫励志班”学生已参加励志志愿服务活动达800余人次。</w:t>
      </w:r>
    </w:p>
    <w:p>
      <w:pPr>
        <w:pStyle w:val="3"/>
        <w:spacing w:beforeLines="0"/>
        <w:ind w:firstLine="602"/>
        <w:rPr>
          <w:color w:val="auto"/>
          <w:shd w:val="clear" w:color="auto" w:fill="FFFFFF"/>
        </w:rPr>
      </w:pPr>
      <w:bookmarkStart w:id="28" w:name="_Toc7394"/>
      <w:r>
        <w:rPr>
          <w:rFonts w:hint="eastAsia"/>
          <w:color w:val="auto"/>
          <w:shd w:val="clear" w:color="auto" w:fill="FFFFFF"/>
        </w:rPr>
        <w:t>（三</w:t>
      </w:r>
      <w:r>
        <w:rPr>
          <w:color w:val="auto"/>
          <w:shd w:val="clear" w:color="auto" w:fill="FFFFFF"/>
        </w:rPr>
        <w:t>）</w:t>
      </w:r>
      <w:r>
        <w:rPr>
          <w:rFonts w:hint="eastAsia"/>
          <w:color w:val="auto"/>
          <w:shd w:val="clear" w:color="auto" w:fill="FFFFFF"/>
        </w:rPr>
        <w:t>对口</w:t>
      </w:r>
      <w:r>
        <w:rPr>
          <w:color w:val="auto"/>
          <w:shd w:val="clear" w:color="auto" w:fill="FFFFFF"/>
        </w:rPr>
        <w:t>支</w:t>
      </w:r>
      <w:r>
        <w:rPr>
          <w:rFonts w:hint="eastAsia"/>
          <w:color w:val="auto"/>
          <w:shd w:val="clear" w:color="auto" w:fill="FFFFFF"/>
        </w:rPr>
        <w:t>援</w:t>
      </w:r>
      <w:bookmarkEnd w:id="28"/>
    </w:p>
    <w:p>
      <w:pPr>
        <w:ind w:firstLine="562"/>
        <w:rPr>
          <w:rFonts w:hint="eastAsia" w:ascii="仿宋_GB2312" w:eastAsia="仿宋_GB2312"/>
          <w:b/>
          <w:color w:val="auto"/>
          <w:kern w:val="0"/>
          <w:szCs w:val="28"/>
        </w:rPr>
      </w:pPr>
      <w:r>
        <w:rPr>
          <w:rFonts w:hint="eastAsia" w:ascii="仿宋_GB2312" w:eastAsia="仿宋_GB2312"/>
          <w:b/>
          <w:color w:val="auto"/>
          <w:kern w:val="0"/>
          <w:szCs w:val="28"/>
        </w:rPr>
        <w:t>1．对口</w:t>
      </w:r>
      <w:r>
        <w:rPr>
          <w:rFonts w:ascii="仿宋_GB2312" w:eastAsia="仿宋_GB2312"/>
          <w:b/>
          <w:color w:val="auto"/>
          <w:kern w:val="0"/>
          <w:szCs w:val="28"/>
        </w:rPr>
        <w:t>帮扶民族</w:t>
      </w:r>
      <w:r>
        <w:rPr>
          <w:rFonts w:hint="eastAsia" w:ascii="仿宋_GB2312" w:eastAsia="仿宋_GB2312"/>
          <w:b/>
          <w:color w:val="auto"/>
          <w:kern w:val="0"/>
          <w:szCs w:val="28"/>
        </w:rPr>
        <w:t>市县</w:t>
      </w:r>
      <w:r>
        <w:rPr>
          <w:rFonts w:ascii="仿宋_GB2312" w:eastAsia="仿宋_GB2312"/>
          <w:b/>
          <w:color w:val="auto"/>
          <w:kern w:val="0"/>
          <w:szCs w:val="28"/>
        </w:rPr>
        <w:t>中职学校，发挥示范作用</w:t>
      </w:r>
    </w:p>
    <w:p>
      <w:pPr>
        <w:ind w:firstLine="560"/>
        <w:rPr>
          <w:rFonts w:hint="eastAsia"/>
          <w:color w:val="auto"/>
        </w:rPr>
      </w:pPr>
      <w:r>
        <w:rPr>
          <w:rFonts w:hint="eastAsia" w:ascii="宋体" w:hAnsi="宋体"/>
          <w:color w:val="auto"/>
        </w:rPr>
        <w:t>学校贯彻落实《海南省教育厅关于加强省属中职学校对口帮扶民族市县中职学校工作的通知》精神，为提高东方职校的办学水平和技术技能人才培养质量，充分发挥学校的示范、辐射和带动作用，学校成立了帮扶工作领导小组，派出骨干力量担任东方职校的教学副校长和德育副校长；同时学校还派出烹饪专业和美容专业骨干教师到东方职校任教，支持东方职校中餐专业、美容专业的建设和发展；并接收东方职校电子商务专业教师耿祥军老师到我校跟班学习。经过三年的帮扶，东方职校已具备中餐专业、美容专业、电子商务专业的独立办学能力。现仍继续开展校际交流，如伍灵老师在东方职校作“一线教师如何开展课题研究”及有关职业初中班办学的经验交流活动。通过这些交流，进一步推动东方职校不断提升办学水</w:t>
      </w:r>
      <w:bookmarkStart w:id="38" w:name="_GoBack"/>
      <w:bookmarkEnd w:id="38"/>
      <w:r>
        <w:rPr>
          <w:rFonts w:hint="eastAsia" w:ascii="宋体" w:hAnsi="宋体"/>
          <w:color w:val="auto"/>
        </w:rPr>
        <w:t>平、技术技能人才培养质量、毕业生就业和创业能力。</w:t>
      </w:r>
    </w:p>
    <w:p>
      <w:pPr>
        <w:ind w:firstLine="562"/>
        <w:rPr>
          <w:rFonts w:hint="eastAsia" w:ascii="仿宋_GB2312" w:eastAsia="仿宋_GB2312"/>
          <w:b/>
          <w:color w:val="auto"/>
          <w:kern w:val="0"/>
          <w:szCs w:val="28"/>
        </w:rPr>
      </w:pPr>
      <w:r>
        <w:rPr>
          <w:rFonts w:ascii="仿宋_GB2312" w:eastAsia="仿宋_GB2312"/>
          <w:b/>
          <w:color w:val="auto"/>
          <w:kern w:val="0"/>
          <w:szCs w:val="28"/>
        </w:rPr>
        <w:t>2</w:t>
      </w:r>
      <w:r>
        <w:rPr>
          <w:rFonts w:hint="eastAsia" w:ascii="仿宋_GB2312" w:eastAsia="仿宋_GB2312"/>
          <w:b/>
          <w:color w:val="auto"/>
          <w:kern w:val="0"/>
          <w:szCs w:val="28"/>
        </w:rPr>
        <w:t>．制定切合实际的方案，确保精准扶贫工作成效</w:t>
      </w:r>
    </w:p>
    <w:p>
      <w:pPr>
        <w:ind w:firstLine="560"/>
        <w:rPr>
          <w:rFonts w:hint="eastAsia" w:ascii="宋体" w:hAnsi="宋体"/>
          <w:color w:val="auto"/>
        </w:rPr>
      </w:pPr>
      <w:r>
        <w:rPr>
          <w:rFonts w:hint="eastAsia" w:ascii="宋体" w:hAnsi="宋体"/>
          <w:color w:val="auto"/>
        </w:rPr>
        <w:t>围绕海南省“三年脱贫攻坚，两年巩固提升”的目标要求，即确保2018年全省脱贫，2020年稳步提高，实现精准脱贫。教育厅驻点帮扶的保亭县奋发村于2018年12月提前实现全部脱贫，海南省经济技术学校结对帮扶三户贫困户也全部顺利提前摆脱贫困。稳定实现“两不愁、三保障”，稳步有序的推进海南省经济技术学校扶贫工作。</w:t>
      </w:r>
    </w:p>
    <w:p>
      <w:pPr>
        <w:pStyle w:val="2"/>
        <w:spacing w:beforeLines="0"/>
        <w:ind w:firstLine="0" w:firstLineChars="0"/>
        <w:rPr>
          <w:rFonts w:hint="eastAsia"/>
          <w:color w:val="auto"/>
        </w:rPr>
      </w:pPr>
      <w:bookmarkStart w:id="29" w:name="_Toc20075"/>
      <w:r>
        <w:rPr>
          <w:rFonts w:hint="eastAsia"/>
          <w:color w:val="auto"/>
        </w:rPr>
        <w:t>六</w:t>
      </w:r>
      <w:r>
        <w:rPr>
          <w:color w:val="auto"/>
        </w:rPr>
        <w:t>、</w:t>
      </w:r>
      <w:r>
        <w:rPr>
          <w:rFonts w:hint="eastAsia"/>
          <w:color w:val="auto"/>
        </w:rPr>
        <w:t>举办者履责</w:t>
      </w:r>
      <w:bookmarkEnd w:id="29"/>
    </w:p>
    <w:p>
      <w:pPr>
        <w:pStyle w:val="3"/>
        <w:spacing w:beforeLines="0"/>
        <w:ind w:firstLine="602"/>
        <w:rPr>
          <w:color w:val="auto"/>
          <w:shd w:val="clear" w:color="auto" w:fill="FFFFFF"/>
        </w:rPr>
      </w:pPr>
      <w:bookmarkStart w:id="30" w:name="_Toc24500"/>
      <w:r>
        <w:rPr>
          <w:rFonts w:hint="eastAsia"/>
          <w:color w:val="auto"/>
          <w:shd w:val="clear" w:color="auto" w:fill="FFFFFF"/>
        </w:rPr>
        <w:t>（一）经费</w:t>
      </w:r>
      <w:bookmarkEnd w:id="30"/>
    </w:p>
    <w:p>
      <w:pPr>
        <w:ind w:firstLine="560"/>
        <w:rPr>
          <w:rFonts w:hint="eastAsia" w:ascii="宋体" w:hAnsi="宋体"/>
          <w:color w:val="auto"/>
        </w:rPr>
      </w:pPr>
      <w:r>
        <w:rPr>
          <w:rFonts w:hint="eastAsia" w:ascii="宋体" w:hAnsi="宋体"/>
          <w:color w:val="auto"/>
        </w:rPr>
        <w:t>1.办学经费收入及其结构：</w:t>
      </w:r>
    </w:p>
    <w:p>
      <w:pPr>
        <w:ind w:firstLine="560"/>
        <w:rPr>
          <w:rFonts w:hint="eastAsia" w:ascii="宋体" w:hAnsi="宋体"/>
          <w:color w:val="auto"/>
        </w:rPr>
      </w:pPr>
      <w:r>
        <w:rPr>
          <w:rFonts w:hint="eastAsia" w:ascii="宋体" w:hAnsi="宋体"/>
          <w:color w:val="auto"/>
        </w:rPr>
        <w:t>2019年学校经费收入为</w:t>
      </w:r>
      <w:r>
        <w:rPr>
          <w:rFonts w:hint="eastAsia" w:ascii="宋体" w:hAnsi="宋体"/>
          <w:color w:val="auto"/>
          <w:lang w:val="en-US" w:eastAsia="zh-CN"/>
        </w:rPr>
        <w:t>5228.72</w:t>
      </w:r>
      <w:r>
        <w:rPr>
          <w:rFonts w:hint="eastAsia" w:ascii="宋体" w:hAnsi="宋体"/>
          <w:color w:val="auto"/>
        </w:rPr>
        <w:t>万元，其中财政拨款</w:t>
      </w:r>
      <w:r>
        <w:rPr>
          <w:rFonts w:hint="eastAsia" w:ascii="宋体" w:hAnsi="宋体"/>
          <w:color w:val="auto"/>
          <w:lang w:val="en-US" w:eastAsia="zh-CN"/>
        </w:rPr>
        <w:t>5114.10</w:t>
      </w:r>
      <w:r>
        <w:rPr>
          <w:rFonts w:hint="eastAsia" w:ascii="宋体" w:hAnsi="宋体"/>
          <w:color w:val="auto"/>
        </w:rPr>
        <w:t>万元，其他收入2.19万元，事业收入78.87万元。</w:t>
      </w:r>
    </w:p>
    <w:p>
      <w:pPr>
        <w:ind w:firstLine="560"/>
        <w:rPr>
          <w:rFonts w:hint="eastAsia" w:ascii="宋体" w:hAnsi="宋体"/>
          <w:color w:val="auto"/>
        </w:rPr>
      </w:pPr>
      <w:r>
        <w:rPr>
          <w:rFonts w:hint="eastAsia" w:ascii="宋体" w:hAnsi="宋体"/>
          <w:color w:val="auto"/>
        </w:rPr>
        <w:t>2.办学经费支出：</w:t>
      </w:r>
    </w:p>
    <w:p>
      <w:pPr>
        <w:ind w:firstLine="560"/>
        <w:rPr>
          <w:rFonts w:ascii="宋体" w:hAnsi="宋体"/>
          <w:color w:val="auto"/>
        </w:rPr>
      </w:pPr>
      <w:r>
        <w:rPr>
          <w:rFonts w:hint="eastAsia" w:ascii="宋体" w:hAnsi="宋体"/>
          <w:color w:val="auto"/>
        </w:rPr>
        <w:t>2019年全校办学经费总支出为5199.246万元，其中人员支出1281.38万元，其他公用支出985.576万元，项目支出2932.29万元。</w:t>
      </w:r>
    </w:p>
    <w:p>
      <w:pPr>
        <w:pStyle w:val="3"/>
        <w:spacing w:beforeLines="0"/>
        <w:ind w:firstLine="602"/>
        <w:rPr>
          <w:rFonts w:hint="eastAsia"/>
          <w:color w:val="auto"/>
          <w:shd w:val="clear" w:color="auto" w:fill="FFFFFF"/>
        </w:rPr>
      </w:pPr>
      <w:bookmarkStart w:id="31" w:name="_Toc14302"/>
      <w:r>
        <w:rPr>
          <w:rFonts w:hint="eastAsia"/>
          <w:color w:val="auto"/>
          <w:shd w:val="clear" w:color="auto" w:fill="FFFFFF"/>
        </w:rPr>
        <w:t>（二）政策</w:t>
      </w:r>
      <w:r>
        <w:rPr>
          <w:color w:val="auto"/>
          <w:shd w:val="clear" w:color="auto" w:fill="FFFFFF"/>
        </w:rPr>
        <w:t>措施</w:t>
      </w:r>
      <w:bookmarkEnd w:id="31"/>
    </w:p>
    <w:p>
      <w:pPr>
        <w:ind w:firstLine="560"/>
        <w:rPr>
          <w:rFonts w:hint="eastAsia" w:ascii="宋体" w:hAnsi="宋体"/>
          <w:color w:val="auto"/>
        </w:rPr>
      </w:pPr>
      <w:r>
        <w:rPr>
          <w:rFonts w:hint="eastAsia" w:ascii="宋体" w:hAnsi="宋体"/>
          <w:color w:val="auto"/>
        </w:rPr>
        <w:t>海南省政府非常重视职业教育的发展，政府将职业教育纳入经济社会发展“十三五”规划，出台了《海南省人民政府关于加快发展现代职业教育的实施意见》（琼府〔2015〕31号），对全省的职业教育发展做出了全面的规划；海南省政府重视职业教育的创新发展，支持“3+4”中职和本科分段培养、“3+2”中高职连读、分段试点项目等现代职教体系建设；落实职业院校在专业设置、人事管理、教师评聘、收入分配等方面的办学自主权，推动学校面向市场自主办学。</w:t>
      </w:r>
    </w:p>
    <w:p>
      <w:pPr>
        <w:ind w:firstLine="560"/>
        <w:rPr>
          <w:rFonts w:hint="eastAsia" w:ascii="宋体" w:hAnsi="宋体"/>
          <w:color w:val="auto"/>
        </w:rPr>
      </w:pPr>
      <w:r>
        <w:rPr>
          <w:rFonts w:hint="eastAsia" w:ascii="宋体" w:hAnsi="宋体"/>
          <w:color w:val="auto"/>
        </w:rPr>
        <w:t>2019年我校在制度创新上也做出了适应职业教育的举措，更新了部分制度。为了加强学生顶岗实习管理工作，结合学校实际，制订《顶岗实习管理班主任暂行规定》（琼经校字〔2019〕101号），创新性设立顶岗实习管理双班主任制，明确顶岗实习管理责任，与原班主任协同实施学生顶岗实习期间双班主任管理，共同做细做精学生顶岗实习管理工作。</w:t>
      </w:r>
    </w:p>
    <w:p>
      <w:pPr>
        <w:pStyle w:val="2"/>
        <w:spacing w:beforeLines="0"/>
        <w:ind w:firstLine="0" w:firstLineChars="0"/>
        <w:rPr>
          <w:color w:val="auto"/>
        </w:rPr>
      </w:pPr>
      <w:bookmarkStart w:id="32" w:name="_Toc21056"/>
      <w:r>
        <w:rPr>
          <w:rFonts w:hint="eastAsia"/>
          <w:color w:val="auto"/>
        </w:rPr>
        <w:t>七</w:t>
      </w:r>
      <w:r>
        <w:rPr>
          <w:color w:val="auto"/>
        </w:rPr>
        <w:t>、特色创新</w:t>
      </w:r>
      <w:bookmarkEnd w:id="32"/>
    </w:p>
    <w:p>
      <w:pPr>
        <w:ind w:firstLine="560"/>
        <w:rPr>
          <w:rFonts w:ascii="宋体" w:hAnsi="宋体"/>
          <w:color w:val="auto"/>
        </w:rPr>
      </w:pPr>
      <w:r>
        <w:rPr>
          <w:rFonts w:hint="eastAsia" w:ascii="宋体" w:hAnsi="宋体"/>
          <w:color w:val="auto"/>
        </w:rPr>
        <w:t>学校</w:t>
      </w:r>
      <w:r>
        <w:rPr>
          <w:rFonts w:ascii="宋体" w:hAnsi="宋体"/>
          <w:color w:val="auto"/>
        </w:rPr>
        <w:t>近几年</w:t>
      </w:r>
      <w:r>
        <w:rPr>
          <w:rFonts w:hint="eastAsia" w:ascii="宋体" w:hAnsi="宋体"/>
          <w:color w:val="auto"/>
        </w:rPr>
        <w:t>能</w:t>
      </w:r>
      <w:r>
        <w:rPr>
          <w:rFonts w:ascii="宋体" w:hAnsi="宋体"/>
          <w:color w:val="auto"/>
        </w:rPr>
        <w:t>快速发展，</w:t>
      </w:r>
      <w:r>
        <w:rPr>
          <w:rFonts w:hint="eastAsia" w:ascii="宋体" w:hAnsi="宋体"/>
          <w:color w:val="auto"/>
        </w:rPr>
        <w:t>完全得益</w:t>
      </w:r>
      <w:r>
        <w:rPr>
          <w:rFonts w:ascii="宋体" w:hAnsi="宋体"/>
          <w:color w:val="auto"/>
        </w:rPr>
        <w:t>于学校</w:t>
      </w:r>
      <w:r>
        <w:rPr>
          <w:rFonts w:hint="eastAsia" w:ascii="宋体" w:hAnsi="宋体"/>
          <w:color w:val="auto"/>
        </w:rPr>
        <w:t>敢</w:t>
      </w:r>
      <w:r>
        <w:rPr>
          <w:rFonts w:ascii="宋体" w:hAnsi="宋体"/>
          <w:color w:val="auto"/>
        </w:rPr>
        <w:t>于创新、</w:t>
      </w:r>
      <w:r>
        <w:rPr>
          <w:rFonts w:hint="eastAsia" w:ascii="宋体" w:hAnsi="宋体"/>
          <w:color w:val="auto"/>
        </w:rPr>
        <w:t>善</w:t>
      </w:r>
      <w:r>
        <w:rPr>
          <w:rFonts w:ascii="宋体" w:hAnsi="宋体"/>
          <w:color w:val="auto"/>
        </w:rPr>
        <w:t>于创新，</w:t>
      </w:r>
      <w:r>
        <w:rPr>
          <w:rFonts w:hint="eastAsia" w:ascii="宋体" w:hAnsi="宋体"/>
          <w:color w:val="auto"/>
        </w:rPr>
        <w:t>“</w:t>
      </w:r>
      <w:r>
        <w:rPr>
          <w:rFonts w:ascii="宋体" w:hAnsi="宋体"/>
          <w:color w:val="auto"/>
        </w:rPr>
        <w:t>以创新促发展</w:t>
      </w:r>
      <w:r>
        <w:rPr>
          <w:rFonts w:hint="eastAsia" w:ascii="宋体" w:hAnsi="宋体"/>
          <w:color w:val="auto"/>
        </w:rPr>
        <w:t>、</w:t>
      </w:r>
      <w:r>
        <w:rPr>
          <w:rFonts w:ascii="宋体" w:hAnsi="宋体"/>
          <w:color w:val="auto"/>
        </w:rPr>
        <w:t>以特色求</w:t>
      </w:r>
      <w:r>
        <w:rPr>
          <w:rFonts w:hint="eastAsia" w:ascii="宋体" w:hAnsi="宋体"/>
          <w:color w:val="auto"/>
        </w:rPr>
        <w:t>生存”是</w:t>
      </w:r>
      <w:r>
        <w:rPr>
          <w:rFonts w:ascii="宋体" w:hAnsi="宋体"/>
          <w:color w:val="auto"/>
        </w:rPr>
        <w:t>学校领导</w:t>
      </w:r>
      <w:r>
        <w:rPr>
          <w:rFonts w:hint="eastAsia" w:ascii="宋体" w:hAnsi="宋体"/>
          <w:color w:val="auto"/>
        </w:rPr>
        <w:t>班子</w:t>
      </w:r>
      <w:r>
        <w:rPr>
          <w:rFonts w:ascii="宋体" w:hAnsi="宋体"/>
          <w:color w:val="auto"/>
        </w:rPr>
        <w:t>坚持的办学理念</w:t>
      </w:r>
      <w:r>
        <w:rPr>
          <w:rFonts w:hint="eastAsia" w:ascii="宋体" w:hAnsi="宋体"/>
          <w:color w:val="auto"/>
        </w:rPr>
        <w:t>，以下两</w:t>
      </w:r>
      <w:r>
        <w:rPr>
          <w:rFonts w:ascii="宋体" w:hAnsi="宋体"/>
          <w:color w:val="auto"/>
        </w:rPr>
        <w:t>个典型案例</w:t>
      </w:r>
      <w:r>
        <w:rPr>
          <w:rFonts w:hint="eastAsia" w:ascii="宋体" w:hAnsi="宋体"/>
          <w:color w:val="auto"/>
        </w:rPr>
        <w:t>从</w:t>
      </w:r>
      <w:r>
        <w:rPr>
          <w:rFonts w:ascii="宋体" w:hAnsi="宋体"/>
          <w:color w:val="auto"/>
        </w:rPr>
        <w:t>不同角度反映学校办学的特色和创新。</w:t>
      </w:r>
    </w:p>
    <w:p>
      <w:pPr>
        <w:pStyle w:val="3"/>
        <w:spacing w:beforeLines="0"/>
        <w:ind w:firstLine="0" w:firstLineChars="0"/>
        <w:rPr>
          <w:color w:val="auto"/>
        </w:rPr>
      </w:pPr>
      <w:bookmarkStart w:id="33" w:name="_Toc1447"/>
      <w:r>
        <w:rPr>
          <w:rFonts w:hint="eastAsia"/>
          <w:color w:val="auto"/>
        </w:rPr>
        <w:t>案例一</w:t>
      </w:r>
      <w:r>
        <w:rPr>
          <w:color w:val="auto"/>
        </w:rPr>
        <w:t>：</w:t>
      </w:r>
      <w:r>
        <w:rPr>
          <w:rFonts w:hint="eastAsia" w:ascii="宋体" w:hAnsi="宋体" w:eastAsia="宋体" w:cs="方正小标宋简体"/>
          <w:color w:val="auto"/>
          <w:szCs w:val="30"/>
        </w:rPr>
        <w:t>坚持党建引领，推动教诊改工作，提升办学水平</w:t>
      </w:r>
      <w:bookmarkEnd w:id="33"/>
    </w:p>
    <w:p>
      <w:pPr>
        <w:snapToGrid w:val="0"/>
        <w:spacing w:line="560" w:lineRule="exact"/>
        <w:ind w:firstLine="200" w:firstLineChars="71"/>
        <w:rPr>
          <w:rFonts w:hint="eastAsia" w:ascii="宋体" w:hAnsi="宋体" w:cs="仿宋_GB2312"/>
          <w:b/>
          <w:color w:val="auto"/>
          <w:szCs w:val="28"/>
        </w:rPr>
      </w:pPr>
      <w:r>
        <w:rPr>
          <w:rFonts w:hint="eastAsia" w:ascii="宋体" w:hAnsi="宋体" w:cs="仿宋_GB2312"/>
          <w:b/>
          <w:color w:val="auto"/>
          <w:szCs w:val="28"/>
        </w:rPr>
        <w:t>一</w:t>
      </w:r>
      <w:r>
        <w:rPr>
          <w:rFonts w:ascii="宋体" w:hAnsi="宋体" w:cs="仿宋_GB2312"/>
          <w:b/>
          <w:color w:val="auto"/>
          <w:szCs w:val="28"/>
        </w:rPr>
        <w:t>、</w:t>
      </w:r>
      <w:r>
        <w:rPr>
          <w:rFonts w:hint="eastAsia" w:ascii="宋体" w:hAnsi="宋体" w:cs="仿宋_GB2312"/>
          <w:b/>
          <w:color w:val="auto"/>
          <w:szCs w:val="28"/>
        </w:rPr>
        <w:t>背景</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2019年，学校党委开展“不忘初心、牢记使命”主题教育，紧紧把握“守初心、担使命，找差距、抓落实”的总要求，立足教育岗位，坚持不断自我净化、自我完善、自我革新、自我提高，以彻底的自我革命的精神解决违背初心使命的各种问题，通过弥补差距、整治存在的问题，不断改革创新提升办学质量，把党的十九大精神和中央、省委、省教育厅的决策部署特别是国家职业教育改革实施方案的各项任务落实到位。</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自《教育部办公厅关于建立职业院校教学工作诊断与改进制度的通知》（教职成厅〔2015〕2号）、《关于做好中等职业学校教学诊断与改进工作的通知》（教职成司函〔2016〕37号）发布以来，职业院校“教学诊断与改进”工作通过正式启动、试点探索、培训推动，正逐步从点到面、从上到下在全国如火如荼开展，并全面推进到十三五规划中。职业院校的教学诊改工作强调以提高人才培养质量为根本，以促进学校自主发展、内涵发展为宗旨，坚持“需求导向、自我保证，多元诊断、重在改进”的工作方针，深入贯彻《国务院关于加快发展现代职业教育的决定》。</w:t>
      </w:r>
    </w:p>
    <w:p>
      <w:pPr>
        <w:snapToGrid w:val="0"/>
        <w:spacing w:line="560" w:lineRule="exact"/>
        <w:ind w:firstLineChars="71"/>
        <w:rPr>
          <w:rFonts w:hint="eastAsia" w:ascii="宋体" w:hAnsi="宋体" w:cs="仿宋_GB2312"/>
          <w:b/>
          <w:color w:val="auto"/>
          <w:szCs w:val="28"/>
        </w:rPr>
      </w:pPr>
      <w:r>
        <w:rPr>
          <w:rFonts w:hint="eastAsia" w:ascii="宋体" w:hAnsi="宋体" w:cs="仿宋_GB2312"/>
          <w:b/>
          <w:color w:val="auto"/>
          <w:szCs w:val="28"/>
        </w:rPr>
        <w:t>二</w:t>
      </w:r>
      <w:r>
        <w:rPr>
          <w:rFonts w:ascii="宋体" w:hAnsi="宋体" w:cs="仿宋_GB2312"/>
          <w:b/>
          <w:color w:val="auto"/>
          <w:szCs w:val="28"/>
        </w:rPr>
        <w:t>、</w:t>
      </w:r>
      <w:r>
        <w:rPr>
          <w:rFonts w:hint="eastAsia" w:ascii="宋体" w:hAnsi="宋体" w:cs="仿宋_GB2312"/>
          <w:b/>
          <w:color w:val="auto"/>
          <w:szCs w:val="28"/>
        </w:rPr>
        <w:t>具体做法：</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学校党委在主题教育加强党建与教学业务的有效融合，对照《海南省中等专业学校教学工作诊断项目参考表》中的6个诊断项目、16个诊断要素和99个诊断点，抓住立德树人的根本任务，指导党支部结合业务工作，融合诊改工作，坚持问题导向，打造两链，逐步完善制度及机制建设，打造支部服务品牌活动，深化教学改革，注重学生发展关键要素，提高学生综合素质，培养新时代德智体美劳全面发展的海南自贸港学生。</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一）落实扶青互助计划，提高教师队伍整体水平。教师第一党支部成立扶青互助组，高级职称教师帮扶青年教师提高教学能力和提升课堂效果，一是通过党员教师个人“1对1”帮扶活动，每名党员教师特别是高级职称教师对1名年轻教师进行为期1年的传帮带，用1年的时间指导、帮助年轻教师尽快地实现角色转换，在备课、课堂教学能力上得到提高；二是通过组成“扶青互助”课堂听课组，对近3年入职新教师的课堂实行排班听课，在每堂课课后都进行评课，及时对教师的课堂教学提出改进建议，帮助年轻教师成长。</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二）落实两进提升计划，教育教学路上不落一生。教师第二党支部组建技能教学先锋队，一是每名党员教师负责通过技能教学技术魅力帮扶1名后进生或初中职业班学生，帮助其树立志向、积极上进，15名后进生或初中职业班学生转优效果明显，违纪违规情况明显减少，促进“后进赶先进”。二是每名党员教师培养1名技术过硬学生，帮助先进学生强化专业技能，在专业上起到带头作用，树立身边的榜样力量，促进“先进更前进”。</w:t>
      </w:r>
    </w:p>
    <w:p>
      <w:pPr>
        <w:snapToGrid w:val="0"/>
        <w:spacing w:line="560" w:lineRule="exact"/>
        <w:ind w:firstLine="560"/>
        <w:rPr>
          <w:rFonts w:hint="eastAsia" w:ascii="宋体" w:hAnsi="宋体" w:cs="仿宋_GB2312"/>
          <w:color w:val="auto"/>
          <w:szCs w:val="28"/>
          <w:lang w:eastAsia="zh-CN"/>
        </w:rPr>
      </w:pPr>
      <w:r>
        <w:rPr>
          <w:rFonts w:hint="eastAsia" w:ascii="宋体" w:hAnsi="宋体" w:cs="仿宋_GB2312"/>
          <w:color w:val="auto"/>
          <w:szCs w:val="28"/>
        </w:rPr>
        <w:t>（三）落实文明创建计划，打造良好生活学习环境。学生励志党支部成立文明创建攻坚组，学生科党员教师带头制定学生的文明养成教育计划，监督学生在学校公共区域活动的不文明行为，班主任党员老师带头检查班级特别是教室内学生的不文明现象，党员生活老师带头开展“学生如何过好集体生活，进一步提升宿舍管理水平”应遵循的“三大纪律、八项注意”，大大提升了学生公寓的环境和增强了良好的生活氛围，促进环境育人效果。</w:t>
      </w:r>
    </w:p>
    <w:p>
      <w:pPr>
        <w:snapToGrid w:val="0"/>
        <w:spacing w:line="560" w:lineRule="exact"/>
        <w:ind w:firstLine="0" w:firstLineChars="0"/>
        <w:rPr>
          <w:rFonts w:hint="eastAsia" w:ascii="宋体" w:hAnsi="宋体" w:cs="仿宋_GB2312"/>
          <w:color w:val="auto"/>
          <w:szCs w:val="28"/>
        </w:rPr>
      </w:pPr>
      <w:r>
        <w:rPr>
          <w:rFonts w:hint="eastAsia" w:ascii="宋体" w:hAnsi="宋体" w:cs="仿宋_GB2312"/>
          <w:b/>
          <w:color w:val="auto"/>
          <w:szCs w:val="28"/>
        </w:rPr>
        <w:t>三</w:t>
      </w:r>
      <w:r>
        <w:rPr>
          <w:rFonts w:ascii="宋体" w:hAnsi="宋体" w:cs="仿宋_GB2312"/>
          <w:b/>
          <w:color w:val="auto"/>
          <w:szCs w:val="28"/>
        </w:rPr>
        <w:t>、</w:t>
      </w:r>
      <w:r>
        <w:rPr>
          <w:rFonts w:hint="eastAsia" w:ascii="宋体" w:hAnsi="宋体" w:cs="仿宋_GB2312"/>
          <w:b/>
          <w:color w:val="auto"/>
          <w:szCs w:val="28"/>
        </w:rPr>
        <w:t>成效及社会影响</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通过开展品牌活动，充分发挥了党支部战斗堡垒和党员先锋模范作用，用党建推动学校教诊改工作，取得了积极成效。</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一）学生就业率达98%，并且提高本地就业率，服务海南自贸港建设初见成效。招生圆满完成上级任务，2019年在校全日制学生达5488人，各专业招收新生的规模做到相对均衡。学校助力禁毒攻坚战略，与省戒毒局联合创办“金不换”中专班，招生25名职教初中班学生，助力我省扶贫工作。积极开展对外服务4210人月。组织开展了2019年省级及国家级学生技能大赛，并取得好成绩。2019年共获得省级7个一等奖、10个二等奖、17个三等奖。2019年获国赛三等奖一项。开展第23届学生校内技能大赛，共开设68个项目，近3000人次参加。升学率进一步提高，扩大了3+2办学规模。控辍保学工作取得成效。</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二）学校学生的思想状况是爱国的、积极的、向上的、有激情的。学生践行先人后己，助人为乐，文明礼貌的价值原则，特别注重遵守“尊敬师长、关心他人”的基本道德，以及努力养成“正直正派、坦诚谦和、进取奉献”的品性修养；学生拥护社会主义核心价值观，并要在学习和生活中身体力行，有着较高的道德修养。班主在全省班主任基本功大赛中1人获得二等奖，1人获得三等奖。学生违纪率由2018年3.1%下降到2019年2%；辍学率下降到3.3%；文化基础课的及格率达到了94%。</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（三）学校完成了《学校十三五发展规划》、《人才培养方案》的修订工作，探索了多形式产教融合。学校专业结构得到了进一步优化，职教专业特色逐渐显现。</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四）以立德树人为根本，深入贯彻十九大精神及习近平4.13讲话精神，践行社会主义核心价值观得以落实。教学内容嵌入学生技能大赛、职业资格证书、新法规、新技术、我省地方特色内容知识点及技能，效果突出。开发地方特色产业课程和新技术课程，如旅游餐饮行业会计、新能源汽车、琼菜制作、婚纱修片、热带果蔬加工、免税品营销等。课堂教学秩序良好，学生学习积极性较高。汽修专业增购了价值200万元的教学设备，提高了实训工位数，基本满足了教学需要。</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五）师资队伍稳定，师德师风良好，团队凝聚力较强。罗敏获“南海工匠”称号，吴丹娜获省级优秀教师，“三八红旗手称号，此外各级各类比赛共有百余人次获奖。安排教师221人次参加省级、国家级各类培训。学校加大了对兼职教师的管理，增加其归属感，现阶段有明显的改进效果，稳定了兼职教师队伍。许美云、吴钟杰、吴丹娜团队获得2019年海南省中职学校教学能力大赛二等奖，黎欢慧、黄英典团队和王希凡、李晓仪团队都获得2019年海南省中职学校教学能力大赛三等奖。黎欢慧老师参加2019年海南省中职学校德育课教师研学提升活动获三等奖。吴文彬老师参加2019年海南省中职会计教师微课暨创新说课大赛获得一等奖，王婷、袁静老师参加2019年海南省中职会计教师微课暨创新说课大赛获得三等奖。</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 xml:space="preserve">（六）学校合作企业数量增加到82个，与企业合作，举办了专业岗前技能强化班，共8个班264人。通过靶向对准岗位，实现强技能，促就业。2019年应届毕业生1493人,录用应届毕业生比例41.88%,录用人数比上届增长9%， </w:t>
      </w:r>
    </w:p>
    <w:p>
      <w:pPr>
        <w:snapToGrid w:val="0"/>
        <w:spacing w:line="560" w:lineRule="exact"/>
        <w:ind w:firstLine="560"/>
        <w:rPr>
          <w:rFonts w:hint="eastAsia" w:ascii="宋体" w:hAnsi="宋体" w:cs="仿宋_GB2312"/>
          <w:color w:val="auto"/>
          <w:szCs w:val="28"/>
        </w:rPr>
      </w:pPr>
      <w:r>
        <w:rPr>
          <w:rFonts w:hint="eastAsia" w:ascii="宋体" w:hAnsi="宋体" w:cs="仿宋_GB2312"/>
          <w:color w:val="auto"/>
          <w:szCs w:val="28"/>
        </w:rPr>
        <w:t>（七）学校重新修订《学校规章制度汇编》，修订部门职责，行政管理制度，教学管理制度，学生管理制度，后勤管理制度和党群组织制度、增设财务管理规定。学校制度由原来的133项调整为124项，相关制度目前正在修改和审阅。调整了临时聘用人员基本工资，全校临时聘用人员基本工资上调8%。2019年，我校成功实现食堂食品卫生安全零事故，校园无重大安全事故，无刑事犯罪案件。</w:t>
      </w:r>
    </w:p>
    <w:p>
      <w:pPr>
        <w:snapToGrid w:val="0"/>
        <w:spacing w:line="560" w:lineRule="exact"/>
        <w:ind w:firstLine="560"/>
        <w:rPr>
          <w:rFonts w:hint="eastAsia" w:ascii="宋体" w:hAnsi="宋体"/>
          <w:color w:val="auto"/>
        </w:rPr>
      </w:pPr>
      <w:r>
        <w:rPr>
          <w:rFonts w:hint="eastAsia" w:ascii="宋体" w:hAnsi="宋体" w:cs="仿宋_GB2312"/>
          <w:color w:val="auto"/>
          <w:szCs w:val="28"/>
        </w:rPr>
        <w:t>（八）学校校教学秩序正常，教学质量逐步提高，一年来未发生重大教学事故。建有微信课堂教学考勤群，党小组服务师生见行动群；运转效果良好。校园文化建设中存在的问题得以改善，教师积极性有所提高，并通过党小组服务师生见行动群提升了服务水平。学校对学生在外工作实习的合法权益维护也在逐步加强。</w:t>
      </w:r>
    </w:p>
    <w:p>
      <w:pPr>
        <w:pStyle w:val="3"/>
        <w:spacing w:beforeLines="0"/>
        <w:ind w:left="2249" w:hanging="2249" w:hangingChars="700"/>
        <w:rPr>
          <w:rFonts w:hint="eastAsia" w:ascii="宋体" w:hAnsi="宋体" w:eastAsia="黑体"/>
          <w:b w:val="0"/>
          <w:color w:val="auto"/>
          <w:szCs w:val="30"/>
          <w:lang w:eastAsia="zh-CN"/>
        </w:rPr>
      </w:pPr>
      <w:bookmarkStart w:id="34" w:name="_Toc25149"/>
      <w:r>
        <w:rPr>
          <w:rFonts w:hint="eastAsia"/>
          <w:color w:val="auto"/>
          <w:sz w:val="32"/>
          <w:szCs w:val="32"/>
        </w:rPr>
        <w:t>案例</w:t>
      </w:r>
      <w:r>
        <w:rPr>
          <w:color w:val="auto"/>
          <w:sz w:val="32"/>
          <w:szCs w:val="32"/>
        </w:rPr>
        <w:t>二</w:t>
      </w:r>
      <w:r>
        <w:rPr>
          <w:rFonts w:hint="eastAsia"/>
          <w:color w:val="auto"/>
          <w:sz w:val="32"/>
          <w:szCs w:val="32"/>
        </w:rPr>
        <w:t>：以办好职业初中班为抓手，助力控辍保学工作</w:t>
      </w:r>
      <w:bookmarkEnd w:id="34"/>
    </w:p>
    <w:p>
      <w:pPr>
        <w:ind w:firstLineChars="71"/>
        <w:rPr>
          <w:rFonts w:hint="eastAsia" w:ascii="宋体" w:hAnsi="宋体"/>
          <w:b/>
          <w:color w:val="auto"/>
        </w:rPr>
      </w:pPr>
      <w:r>
        <w:rPr>
          <w:rFonts w:hint="eastAsia" w:ascii="宋体" w:hAnsi="宋体"/>
          <w:b/>
          <w:color w:val="auto"/>
        </w:rPr>
        <w:t>一、背景情况</w:t>
      </w:r>
    </w:p>
    <w:p>
      <w:pPr>
        <w:ind w:firstLine="560"/>
        <w:rPr>
          <w:rFonts w:hint="eastAsia" w:ascii="宋体" w:hAnsi="宋体"/>
          <w:color w:val="auto"/>
        </w:rPr>
      </w:pPr>
      <w:r>
        <w:rPr>
          <w:rFonts w:hint="eastAsia" w:ascii="宋体" w:hAnsi="宋体"/>
          <w:color w:val="auto"/>
        </w:rPr>
        <w:t>为贯彻落实《国家职业教育改革实施方案》中“发挥中等职业学校作用，帮助部分学业困难学生按规定在职业学校完成义务教育，并接受部分职业技能学校。”的要求，海南省教育厅制定了《关于做好部分初中学业困难学生在职业学校完成义务教育并接受部分职业技能学习试点工作的通知》。对此，海南省经济技术学校高度重视，多措并举，落到实处。2019年秋季共招收了首批初中学业困难学生（以下称职初生）25人，经过一个学期的教育教导，25名职初生各方面进步很大，继续就读意愿强烈，截止2020年1月13日放寒假，无一人流失，有效地助力了控辍保学工作。</w:t>
      </w:r>
    </w:p>
    <w:p>
      <w:pPr>
        <w:ind w:firstLine="562"/>
        <w:rPr>
          <w:rFonts w:hint="eastAsia" w:ascii="宋体" w:hAnsi="宋体"/>
          <w:b/>
          <w:color w:val="auto"/>
        </w:rPr>
      </w:pPr>
      <w:r>
        <w:rPr>
          <w:rFonts w:hint="eastAsia" w:ascii="宋体" w:hAnsi="宋体"/>
          <w:b/>
          <w:color w:val="auto"/>
        </w:rPr>
        <w:t>二、主要措施</w:t>
      </w:r>
    </w:p>
    <w:p>
      <w:pPr>
        <w:ind w:firstLine="560"/>
        <w:rPr>
          <w:rFonts w:hint="eastAsia" w:ascii="宋体" w:hAnsi="宋体"/>
          <w:color w:val="auto"/>
        </w:rPr>
      </w:pPr>
      <w:r>
        <w:rPr>
          <w:rFonts w:hint="eastAsia" w:ascii="宋体" w:hAnsi="宋体"/>
          <w:color w:val="auto"/>
        </w:rPr>
        <w:t>（一）领导重视</w:t>
      </w:r>
    </w:p>
    <w:p>
      <w:pPr>
        <w:ind w:firstLine="560"/>
        <w:rPr>
          <w:rFonts w:hint="eastAsia" w:ascii="宋体" w:hAnsi="宋体"/>
          <w:color w:val="auto"/>
        </w:rPr>
      </w:pPr>
      <w:r>
        <w:rPr>
          <w:rFonts w:hint="eastAsia" w:ascii="宋体" w:hAnsi="宋体"/>
          <w:color w:val="auto"/>
        </w:rPr>
        <w:t>制定琼经校字〔2019〕109号“海南省经济技术学校进一步加强落实《海南省部分初中学业困难学生在职业学校完成义务教育并接受部分职业技能学习试点工作方案》实施方案”，成立工作领导小组，由校长亲任组长，党委书记和副校长任副组长，成员包括学校主要科室负责人。</w:t>
      </w:r>
    </w:p>
    <w:p>
      <w:pPr>
        <w:ind w:firstLine="560"/>
        <w:rPr>
          <w:rFonts w:hint="eastAsia" w:ascii="宋体" w:hAnsi="宋体"/>
          <w:color w:val="auto"/>
        </w:rPr>
      </w:pPr>
      <w:r>
        <w:rPr>
          <w:rFonts w:hint="eastAsia" w:ascii="宋体" w:hAnsi="宋体"/>
          <w:color w:val="auto"/>
        </w:rPr>
        <w:t>（二）规范管理</w:t>
      </w:r>
    </w:p>
    <w:p>
      <w:pPr>
        <w:ind w:firstLine="560"/>
        <w:rPr>
          <w:rFonts w:hint="eastAsia" w:ascii="宋体" w:hAnsi="宋体"/>
          <w:color w:val="auto"/>
        </w:rPr>
      </w:pPr>
      <w:r>
        <w:rPr>
          <w:rFonts w:hint="eastAsia" w:ascii="宋体" w:hAnsi="宋体"/>
          <w:color w:val="auto"/>
        </w:rPr>
        <w:t>1.主动服务家长，及时办理入学。</w:t>
      </w:r>
    </w:p>
    <w:p>
      <w:pPr>
        <w:ind w:firstLine="560"/>
        <w:rPr>
          <w:rFonts w:hint="eastAsia" w:ascii="宋体" w:hAnsi="宋体"/>
          <w:color w:val="auto"/>
        </w:rPr>
      </w:pPr>
      <w:r>
        <w:rPr>
          <w:rFonts w:hint="eastAsia" w:ascii="宋体" w:hAnsi="宋体"/>
          <w:color w:val="auto"/>
        </w:rPr>
        <w:t>学校招生办提前和学生法定监护人联系，指导学生到校时准备好相关材料。报到当天，由法定监护人陪同学生持经审核的申请表到学校办理入学手续，学校对于参加试点方案的职初生的学费、住宿费、教材费全部免除。截止2019年9月10日，25名职初生每人都按照要求提交了《海南省部难学生在职业学校完成义务教育并接受部分职业技能学习申请表》、《学生法定监护人和学生本人申请承诺书》、扶贫手册复印件或者低保证复印件，学生科对材料进行归档管理。</w:t>
      </w:r>
    </w:p>
    <w:p>
      <w:pPr>
        <w:ind w:firstLine="560"/>
        <w:rPr>
          <w:rFonts w:hint="eastAsia" w:ascii="宋体" w:hAnsi="宋体"/>
          <w:color w:val="auto"/>
        </w:rPr>
      </w:pPr>
      <w:r>
        <w:rPr>
          <w:rFonts w:hint="eastAsia" w:ascii="宋体" w:hAnsi="宋体"/>
          <w:color w:val="auto"/>
        </w:rPr>
        <w:t>2.充分发挥学校资源条件，千方百计做好职初生教育教学工作。</w:t>
      </w:r>
    </w:p>
    <w:p>
      <w:pPr>
        <w:ind w:firstLine="560"/>
        <w:rPr>
          <w:rFonts w:hint="eastAsia" w:ascii="宋体" w:hAnsi="宋体"/>
          <w:color w:val="auto"/>
        </w:rPr>
      </w:pPr>
      <w:r>
        <w:rPr>
          <w:rFonts w:hint="eastAsia" w:ascii="宋体" w:hAnsi="宋体"/>
          <w:color w:val="auto"/>
        </w:rPr>
        <w:t>（1）根据学生需求，优先安排班级。学校将学生根据申报专业编入一年级专业教学班，按全日制在校生进行管理，承担日常管理职责。其中报读汽车维修运用与维修专业8人，美发与形象设计专业7人，美容美体专业5人，中餐烹饪与营养膳食专业2人，西餐烹饪1人，高星级饭店运营与管理1人，计算机平面设计1人。</w:t>
      </w:r>
    </w:p>
    <w:p>
      <w:pPr>
        <w:ind w:firstLine="560"/>
        <w:rPr>
          <w:rFonts w:hint="eastAsia" w:ascii="宋体" w:hAnsi="宋体"/>
          <w:color w:val="auto"/>
        </w:rPr>
      </w:pPr>
      <w:r>
        <w:rPr>
          <w:rFonts w:hint="eastAsia" w:ascii="宋体" w:hAnsi="宋体"/>
          <w:color w:val="auto"/>
        </w:rPr>
        <w:t>（2）安排德育骨干，加强励志教育。除了设立班级班主任专门管理外，分校区还设立教育导师。桂林洋校区由学生科科长作为教育导师，府城校区由学生科副科长作为教育导师，建立班级微信群，及时进行信息沟通，利用课余时间与职初生开展了多次座谈会，了解学生存在的困惑，及时帮助学生解决思想上、学习上、生活上的困难，并指导学生规范不良习惯，要求人人要保持良好仪容仪表和礼仪礼貌，积极学习专业知识，为励志成才打牢基础。</w:t>
      </w:r>
    </w:p>
    <w:p>
      <w:pPr>
        <w:ind w:firstLine="560"/>
        <w:rPr>
          <w:rFonts w:hint="eastAsia" w:ascii="宋体" w:hAnsi="宋体"/>
          <w:color w:val="auto"/>
        </w:rPr>
      </w:pPr>
      <w:r>
        <w:rPr>
          <w:rFonts w:hint="eastAsia" w:ascii="宋体" w:hAnsi="宋体"/>
          <w:color w:val="auto"/>
        </w:rPr>
        <w:t>（3）强化基础教育，补齐课程短板。学校开设义务教育基本课程，按学校各专业人才培养方案实施，并成立义务教育强化班，安排基础课老师加强初三语文、初三数学、初三英语教学，每周利用三个晚修时间对职初生进行强化教育。</w:t>
      </w:r>
    </w:p>
    <w:p>
      <w:pPr>
        <w:ind w:firstLine="560"/>
        <w:rPr>
          <w:rFonts w:hint="eastAsia" w:ascii="宋体" w:hAnsi="宋体"/>
          <w:color w:val="auto"/>
        </w:rPr>
      </w:pPr>
      <w:r>
        <w:rPr>
          <w:rFonts w:hint="eastAsia" w:ascii="宋体" w:hAnsi="宋体"/>
          <w:color w:val="auto"/>
        </w:rPr>
        <w:t>（4）专业技能提升，师生共同帮扶。学校安排省级、校级技能大赛获奖选手和优秀指导老师组成辅导小组，对职初生开展部分职业技能训练辅导，使职初生学趣同向，学有所长。</w:t>
      </w:r>
    </w:p>
    <w:p>
      <w:pPr>
        <w:ind w:firstLine="560"/>
        <w:rPr>
          <w:rFonts w:hint="eastAsia" w:ascii="宋体" w:hAnsi="宋体"/>
          <w:color w:val="auto"/>
        </w:rPr>
      </w:pPr>
      <w:r>
        <w:rPr>
          <w:rFonts w:hint="eastAsia" w:ascii="宋体" w:hAnsi="宋体"/>
          <w:color w:val="auto"/>
        </w:rPr>
        <w:t>（5）无私关爱护航，陪伴健康成长。</w:t>
      </w:r>
    </w:p>
    <w:p>
      <w:pPr>
        <w:ind w:firstLine="560"/>
        <w:rPr>
          <w:rFonts w:hint="eastAsia" w:ascii="宋体" w:hAnsi="宋体"/>
          <w:color w:val="auto"/>
        </w:rPr>
      </w:pPr>
      <w:r>
        <w:rPr>
          <w:rFonts w:hint="eastAsia" w:ascii="宋体" w:hAnsi="宋体"/>
          <w:color w:val="auto"/>
        </w:rPr>
        <w:t>一是一年给予每个职初生以下8个节假日：寒假、清明节、五一劳动节、端午节、暑假、中秋节、国庆节、元旦往返家乡的路费（凭车票报销），为职初生减轻了一定的经济负担。</w:t>
      </w:r>
    </w:p>
    <w:p>
      <w:pPr>
        <w:ind w:firstLine="560"/>
        <w:rPr>
          <w:rFonts w:hint="eastAsia" w:ascii="宋体" w:hAnsi="宋体"/>
          <w:color w:val="auto"/>
        </w:rPr>
      </w:pPr>
      <w:r>
        <w:rPr>
          <w:rFonts w:hint="eastAsia" w:ascii="宋体" w:hAnsi="宋体"/>
          <w:color w:val="auto"/>
        </w:rPr>
        <w:t>二是每到国家法定节假日学校将组织车辆免费送职初生海口市内到相应的车站坐车回家。</w:t>
      </w:r>
    </w:p>
    <w:p>
      <w:pPr>
        <w:ind w:firstLine="560"/>
        <w:rPr>
          <w:rFonts w:hint="eastAsia" w:ascii="宋体" w:hAnsi="宋体"/>
          <w:color w:val="auto"/>
        </w:rPr>
      </w:pPr>
      <w:r>
        <w:rPr>
          <w:rFonts w:hint="eastAsia" w:ascii="宋体" w:hAnsi="宋体"/>
          <w:color w:val="auto"/>
        </w:rPr>
        <w:t>三是在校期间，学校为25名职初生都购买意外伤害保险。</w:t>
      </w:r>
    </w:p>
    <w:p>
      <w:pPr>
        <w:ind w:firstLine="560"/>
        <w:rPr>
          <w:rFonts w:hint="eastAsia" w:ascii="宋体" w:hAnsi="宋体"/>
          <w:color w:val="auto"/>
        </w:rPr>
      </w:pPr>
      <w:r>
        <w:rPr>
          <w:rFonts w:hint="eastAsia" w:ascii="宋体" w:hAnsi="宋体"/>
          <w:color w:val="auto"/>
        </w:rPr>
        <w:t>四是班主任利用每周的班会课对职初生进行思想上、学习上、生活上进行教育和指导，生活指导老师在宿舍手把手地教职初生们学会叠好被子和有序地摆放生活用品。</w:t>
      </w:r>
    </w:p>
    <w:p>
      <w:pPr>
        <w:ind w:firstLine="560"/>
        <w:rPr>
          <w:rFonts w:hint="eastAsia" w:ascii="宋体" w:hAnsi="宋体"/>
          <w:color w:val="auto"/>
        </w:rPr>
      </w:pPr>
      <w:r>
        <w:rPr>
          <w:rFonts w:hint="eastAsia" w:ascii="宋体" w:hAnsi="宋体"/>
          <w:color w:val="auto"/>
        </w:rPr>
        <w:t>五是学校为25名职初生每人赠4套校服和一双布鞋。</w:t>
      </w:r>
    </w:p>
    <w:p>
      <w:pPr>
        <w:ind w:firstLine="560"/>
        <w:rPr>
          <w:rFonts w:hint="eastAsia" w:ascii="宋体" w:hAnsi="宋体"/>
          <w:color w:val="auto"/>
        </w:rPr>
      </w:pPr>
      <w:r>
        <w:rPr>
          <w:rFonts w:hint="eastAsia" w:ascii="宋体" w:hAnsi="宋体"/>
          <w:color w:val="auto"/>
        </w:rPr>
        <w:t>六是根据学校《学生日常行为规范量化管理制度》对职初生在校每月进行量化考核，每月量化分得分在80分及以上者则给予200元/月的奖励补助金，每月10日前发放给学生；月量化分低于80分者则不给予奖励补助金。</w:t>
      </w:r>
    </w:p>
    <w:p>
      <w:pPr>
        <w:ind w:firstLine="560"/>
        <w:rPr>
          <w:rFonts w:hint="eastAsia" w:ascii="宋体" w:hAnsi="宋体"/>
          <w:color w:val="auto"/>
        </w:rPr>
      </w:pPr>
      <w:r>
        <w:rPr>
          <w:rFonts w:hint="eastAsia" w:ascii="宋体" w:hAnsi="宋体"/>
          <w:color w:val="auto"/>
        </w:rPr>
        <w:t>七是对于2020年1月5日和2020年7月5日仍在我校就读的2019级职业初中班学生，由海南万菊餐饮经营管理有限公司根据《资助协议书》每人每学期发放500元资助金。</w:t>
      </w:r>
    </w:p>
    <w:p>
      <w:pPr>
        <w:ind w:firstLine="560"/>
        <w:rPr>
          <w:rFonts w:hint="eastAsia" w:ascii="宋体" w:hAnsi="宋体"/>
          <w:color w:val="auto"/>
        </w:rPr>
      </w:pPr>
      <w:r>
        <w:rPr>
          <w:rFonts w:hint="eastAsia" w:ascii="宋体" w:hAnsi="宋体"/>
          <w:color w:val="auto"/>
        </w:rPr>
        <w:t>（6）组织丰富多彩的拓展活动，增强职初生在中职学校的稳定率。</w:t>
      </w:r>
    </w:p>
    <w:p>
      <w:pPr>
        <w:ind w:firstLine="560"/>
        <w:rPr>
          <w:rFonts w:hint="eastAsia" w:ascii="宋体" w:hAnsi="宋体"/>
          <w:color w:val="auto"/>
        </w:rPr>
      </w:pPr>
      <w:r>
        <w:rPr>
          <w:rFonts w:hint="eastAsia" w:ascii="宋体" w:hAnsi="宋体"/>
          <w:color w:val="auto"/>
        </w:rPr>
        <w:t>拓展活动包括带领职初班学生到海口市热带农业公园、海口市博物馆、海口市石山镇施茶村、海口市演丰镇红树林、海口市民游客中心等地方参观学习；组织职初生们利用课余时间练习礼仪操、健美操、竹竿舞以及动员职初生们积极参加学校的社团活动等。</w:t>
      </w:r>
    </w:p>
    <w:p>
      <w:pPr>
        <w:ind w:firstLine="560"/>
        <w:rPr>
          <w:rFonts w:hint="eastAsia" w:ascii="宋体" w:hAnsi="宋体"/>
          <w:color w:val="auto"/>
        </w:rPr>
      </w:pPr>
      <w:r>
        <w:rPr>
          <w:rFonts w:hint="eastAsia" w:ascii="宋体" w:hAnsi="宋体"/>
          <w:color w:val="auto"/>
        </w:rPr>
        <w:t>（三）成效初显</w:t>
      </w:r>
    </w:p>
    <w:p>
      <w:pPr>
        <w:ind w:firstLine="560"/>
        <w:rPr>
          <w:rFonts w:hint="eastAsia" w:ascii="宋体" w:hAnsi="宋体"/>
          <w:color w:val="auto"/>
        </w:rPr>
      </w:pPr>
      <w:r>
        <w:rPr>
          <w:rFonts w:hint="eastAsia" w:ascii="宋体" w:hAnsi="宋体"/>
          <w:color w:val="auto"/>
        </w:rPr>
        <w:t>在上级部门的大力支持和学校的积极帮助下，25名职初班学生精神面貌和学习、纪律、生活态度进步很大，一个学期没有一人退学，具体如下。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723" w:firstLineChars="200"/>
        <w:jc w:val="center"/>
        <w:textAlignment w:val="auto"/>
        <w:outlineLvl w:val="9"/>
        <w:rPr>
          <w:rFonts w:hint="eastAsia" w:ascii="仿宋_GB2312" w:hAnsi="仿宋_GB2312" w:eastAsia="仿宋_GB2312" w:cs="仿宋_GB2312"/>
          <w:color w:val="auto"/>
          <w:sz w:val="36"/>
          <w:szCs w:val="36"/>
          <w:lang w:val="en-US" w:eastAsia="zh-CN"/>
        </w:rPr>
      </w:pPr>
      <w:r>
        <w:rPr>
          <w:rFonts w:hint="eastAsia" w:ascii="仿宋_GB2312" w:hAnsi="仿宋_GB2312" w:eastAsia="仿宋_GB2312" w:cs="仿宋_GB2312"/>
          <w:b/>
          <w:bCs/>
          <w:color w:val="auto"/>
          <w:sz w:val="36"/>
          <w:szCs w:val="36"/>
          <w:lang w:val="en-US" w:eastAsia="zh-CN"/>
        </w:rPr>
        <w:t>职初班学生在校表现汇总表</w:t>
      </w:r>
    </w:p>
    <w:tbl>
      <w:tblPr>
        <w:tblStyle w:val="12"/>
        <w:tblW w:w="9754" w:type="dxa"/>
        <w:jc w:val="center"/>
        <w:tblLayout w:type="fixed"/>
        <w:tblCellMar>
          <w:top w:w="0" w:type="dxa"/>
          <w:left w:w="0" w:type="dxa"/>
          <w:bottom w:w="0" w:type="dxa"/>
          <w:right w:w="0" w:type="dxa"/>
        </w:tblCellMar>
      </w:tblPr>
      <w:tblGrid>
        <w:gridCol w:w="482"/>
        <w:gridCol w:w="1440"/>
        <w:gridCol w:w="705"/>
        <w:gridCol w:w="630"/>
        <w:gridCol w:w="2415"/>
        <w:gridCol w:w="4082"/>
      </w:tblGrid>
      <w:tr>
        <w:tblPrEx>
          <w:tblCellMar>
            <w:top w:w="0" w:type="dxa"/>
            <w:left w:w="0" w:type="dxa"/>
            <w:bottom w:w="0" w:type="dxa"/>
            <w:right w:w="0" w:type="dxa"/>
          </w:tblCellMar>
        </w:tblPrEx>
        <w:trPr>
          <w:trHeight w:val="465" w:hRule="atLeast"/>
          <w:jc w:val="center"/>
        </w:trPr>
        <w:tc>
          <w:tcPr>
            <w:tcW w:w="482" w:type="dxa"/>
            <w:tcBorders>
              <w:top w:val="single" w:color="000000" w:sz="8"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bidi="ar"/>
              </w:rPr>
              <w:t>序号</w:t>
            </w:r>
          </w:p>
        </w:tc>
        <w:tc>
          <w:tcPr>
            <w:tcW w:w="144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bidi="ar"/>
              </w:rPr>
              <w:t>班级</w:t>
            </w:r>
          </w:p>
        </w:tc>
        <w:tc>
          <w:tcPr>
            <w:tcW w:w="705"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bidi="ar"/>
              </w:rPr>
              <w:t>姓名</w:t>
            </w:r>
          </w:p>
        </w:tc>
        <w:tc>
          <w:tcPr>
            <w:tcW w:w="63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bidi="ar"/>
              </w:rPr>
              <w:t>性别</w:t>
            </w:r>
          </w:p>
        </w:tc>
        <w:tc>
          <w:tcPr>
            <w:tcW w:w="2415"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bidi="ar"/>
              </w:rPr>
              <w:t>初到校表现</w:t>
            </w:r>
          </w:p>
        </w:tc>
        <w:tc>
          <w:tcPr>
            <w:tcW w:w="4082"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20" w:lineRule="exact"/>
              <w:ind w:left="0" w:leftChars="0" w:firstLine="0" w:firstLineChars="0"/>
              <w:jc w:val="center"/>
              <w:textAlignment w:val="center"/>
              <w:outlineLvl w:val="9"/>
              <w:rPr>
                <w:rFonts w:hint="eastAsia" w:ascii="黑体" w:hAnsi="黑体" w:eastAsia="黑体" w:cs="黑体"/>
                <w:i w:val="0"/>
                <w:color w:val="auto"/>
                <w:sz w:val="20"/>
                <w:szCs w:val="20"/>
                <w:u w:val="none"/>
              </w:rPr>
            </w:pPr>
            <w:r>
              <w:rPr>
                <w:rFonts w:hint="eastAsia" w:ascii="黑体" w:hAnsi="黑体" w:eastAsia="黑体" w:cs="黑体"/>
                <w:i w:val="0"/>
                <w:color w:val="auto"/>
                <w:kern w:val="0"/>
                <w:sz w:val="20"/>
                <w:szCs w:val="20"/>
                <w:u w:val="none"/>
                <w:lang w:val="en-US" w:eastAsia="zh-CN" w:bidi="ar"/>
              </w:rPr>
              <w:t>学期末表现</w:t>
            </w:r>
          </w:p>
        </w:tc>
      </w:tr>
      <w:tr>
        <w:tblPrEx>
          <w:tblCellMar>
            <w:top w:w="0" w:type="dxa"/>
            <w:left w:w="0" w:type="dxa"/>
            <w:bottom w:w="0" w:type="dxa"/>
            <w:right w:w="0" w:type="dxa"/>
          </w:tblCellMar>
        </w:tblPrEx>
        <w:trPr>
          <w:trHeight w:val="80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2019级美发1班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叶世波</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学习基础较差，上课积极，不迟到早退。</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经关心和帮扶，学习更加主动，积极打扫卫生，仪容仪表和礼仪礼貌方面进步较大，看到老师能够主动问好，学习成绩有所提高。</w:t>
            </w:r>
          </w:p>
        </w:tc>
      </w:tr>
      <w:tr>
        <w:tblPrEx>
          <w:tblCellMar>
            <w:top w:w="0" w:type="dxa"/>
            <w:left w:w="0" w:type="dxa"/>
            <w:bottom w:w="0" w:type="dxa"/>
            <w:right w:w="0" w:type="dxa"/>
          </w:tblCellMar>
        </w:tblPrEx>
        <w:trPr>
          <w:trHeight w:val="820"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2019级美发1班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卢云婷</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学习基础较差，上课较认真，纪律良好。</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经关心和帮扶，学习更加主动，仪容仪表和礼仪礼貌方面进步较大，看到老师能够主动问好，学习成绩有所提高。</w:t>
            </w:r>
          </w:p>
        </w:tc>
      </w:tr>
      <w:tr>
        <w:tblPrEx>
          <w:tblCellMar>
            <w:top w:w="0" w:type="dxa"/>
            <w:left w:w="0" w:type="dxa"/>
            <w:bottom w:w="0" w:type="dxa"/>
            <w:right w:w="0" w:type="dxa"/>
          </w:tblCellMar>
        </w:tblPrEx>
        <w:trPr>
          <w:trHeight w:val="582"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2019级美发1班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王惠与</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学习基础较差，上课不说话、不迟到早退，纪律较好。</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经关心和帮扶，学习更加主动，礼仪礼貌方面进步较大，看到老师能够主动问好，学习成绩有所提高。</w:t>
            </w:r>
          </w:p>
        </w:tc>
      </w:tr>
      <w:tr>
        <w:tblPrEx>
          <w:tblCellMar>
            <w:top w:w="0" w:type="dxa"/>
            <w:left w:w="0" w:type="dxa"/>
            <w:bottom w:w="0" w:type="dxa"/>
            <w:right w:w="0" w:type="dxa"/>
          </w:tblCellMar>
        </w:tblPrEx>
        <w:trPr>
          <w:trHeight w:val="250"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2019级美发1班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吴云</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学习基础较差，上课较积极，不睡觉。</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经关心和帮扶，学习更加认真，学习成绩有所提高。</w:t>
            </w:r>
          </w:p>
        </w:tc>
      </w:tr>
      <w:tr>
        <w:tblPrEx>
          <w:tblCellMar>
            <w:top w:w="0" w:type="dxa"/>
            <w:left w:w="0" w:type="dxa"/>
            <w:bottom w:w="0" w:type="dxa"/>
            <w:right w:w="0" w:type="dxa"/>
          </w:tblCellMar>
        </w:tblPrEx>
        <w:trPr>
          <w:trHeight w:val="630"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2019级美发1班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魏亚波</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学习基础较差，上课较积极，不迟到早退。</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经关心和帮扶，学习更加主动，积极打扫卫生，礼仪礼貌方面进步较大，看到老师能够主动问好，学习成绩有所提高。</w:t>
            </w:r>
          </w:p>
        </w:tc>
      </w:tr>
      <w:tr>
        <w:tblPrEx>
          <w:tblCellMar>
            <w:top w:w="0" w:type="dxa"/>
            <w:left w:w="0" w:type="dxa"/>
            <w:bottom w:w="0" w:type="dxa"/>
            <w:right w:w="0" w:type="dxa"/>
          </w:tblCellMar>
        </w:tblPrEx>
        <w:trPr>
          <w:trHeight w:val="523"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2019级美发1班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薛儒萱</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学习基础较差，上课爱睡觉和说话，纪律差。</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经关心和帮扶，上课偶尔睡觉，礼仪礼貌方面进步较大，看到老师能够主动问好，学习成绩有所提高。</w:t>
            </w:r>
          </w:p>
        </w:tc>
      </w:tr>
      <w:tr>
        <w:tblPrEx>
          <w:tblCellMar>
            <w:top w:w="0" w:type="dxa"/>
            <w:left w:w="0" w:type="dxa"/>
            <w:bottom w:w="0" w:type="dxa"/>
            <w:right w:w="0" w:type="dxa"/>
          </w:tblCellMar>
        </w:tblPrEx>
        <w:trPr>
          <w:trHeight w:val="438"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2019级美发1班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莫位培</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学习基础较差，上课爱迟到和睡觉，纪律较差。</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经关心和帮扶，上课不迟到，偶尔有点睡觉，纪律越来越好，学习成绩有所提高。</w:t>
            </w:r>
          </w:p>
        </w:tc>
      </w:tr>
      <w:tr>
        <w:tblPrEx>
          <w:tblCellMar>
            <w:top w:w="0" w:type="dxa"/>
            <w:left w:w="0" w:type="dxa"/>
            <w:bottom w:w="0" w:type="dxa"/>
            <w:right w:w="0" w:type="dxa"/>
          </w:tblCellMar>
        </w:tblPrEx>
        <w:trPr>
          <w:trHeight w:val="250"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2019级美容3班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曾令清</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学习基础较差，上课不够积极，有抽烟行为。</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经关心和帮扶，学习态度有所进步，积极配合班级各项工作，目前没有发现抽烟现象，学习成绩有所提高。</w:t>
            </w:r>
          </w:p>
        </w:tc>
      </w:tr>
      <w:tr>
        <w:tblPrEx>
          <w:tblCellMar>
            <w:top w:w="0" w:type="dxa"/>
            <w:left w:w="0" w:type="dxa"/>
            <w:bottom w:w="0" w:type="dxa"/>
            <w:right w:w="0" w:type="dxa"/>
          </w:tblCellMar>
        </w:tblPrEx>
        <w:trPr>
          <w:trHeight w:val="630"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2019级美容3班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王德蕊</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性格大大咧咧，爱说脏话，有抽烟行为。</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经关心和帮扶，文明礼貌进步很大并当选班级纪律委员，是一位有责任心的班干部。目前没有出现吸烟现象，学习成绩有所提高。</w:t>
            </w:r>
          </w:p>
        </w:tc>
      </w:tr>
      <w:tr>
        <w:tblPrEx>
          <w:tblCellMar>
            <w:top w:w="0" w:type="dxa"/>
            <w:left w:w="0" w:type="dxa"/>
            <w:bottom w:w="0" w:type="dxa"/>
            <w:right w:w="0" w:type="dxa"/>
          </w:tblCellMar>
        </w:tblPrEx>
        <w:trPr>
          <w:trHeight w:val="70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2019级西餐1班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卢云飞</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学习基础较差，上课较认真，纪律良好。</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经关心和帮扶，学习更加主动，各科作业经常得到任课老师表扬，尊敬师长，团结同学，乐于助人，学习成绩有所提高。</w:t>
            </w:r>
          </w:p>
        </w:tc>
      </w:tr>
      <w:tr>
        <w:tblPrEx>
          <w:tblCellMar>
            <w:top w:w="0" w:type="dxa"/>
            <w:left w:w="0" w:type="dxa"/>
            <w:bottom w:w="0" w:type="dxa"/>
            <w:right w:w="0" w:type="dxa"/>
          </w:tblCellMar>
        </w:tblPrEx>
        <w:trPr>
          <w:trHeight w:val="463"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2019级中餐4班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王广轩</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不爱出操，作业不按时完成，学习基础较差，上课爱睡觉。</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经关心和帮扶，现在每天能够出操，学习基础较差，上课态度变好，睡觉减少，学习成绩有所提高。</w:t>
            </w:r>
          </w:p>
        </w:tc>
      </w:tr>
      <w:tr>
        <w:tblPrEx>
          <w:tblCellMar>
            <w:top w:w="0" w:type="dxa"/>
            <w:left w:w="0" w:type="dxa"/>
            <w:bottom w:w="0" w:type="dxa"/>
            <w:right w:w="0" w:type="dxa"/>
          </w:tblCellMar>
        </w:tblPrEx>
        <w:trPr>
          <w:trHeight w:val="310"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2019级平面设计1班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曾德坤</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学习基础较差，上课较积极，不迟到早退。</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经关心和帮扶，学习更加主动，按时完成作业，和同学们的相处融洽，学习成绩有所提高。</w:t>
            </w:r>
          </w:p>
        </w:tc>
      </w:tr>
      <w:tr>
        <w:tblPrEx>
          <w:tblCellMar>
            <w:top w:w="0" w:type="dxa"/>
            <w:left w:w="0" w:type="dxa"/>
            <w:bottom w:w="0" w:type="dxa"/>
            <w:right w:w="0" w:type="dxa"/>
          </w:tblCellMar>
        </w:tblPrEx>
        <w:trPr>
          <w:trHeight w:val="57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2019级饭店1班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王千家</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学习基础较差，上课较积极，不迟到早退。</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经关心和帮扶，学习更加主动，礼仪礼貌方面进步较大，和同学之间的关系融洽，学习成绩有所提高。</w:t>
            </w:r>
          </w:p>
        </w:tc>
      </w:tr>
      <w:tr>
        <w:tblPrEx>
          <w:tblCellMar>
            <w:top w:w="0" w:type="dxa"/>
            <w:left w:w="0" w:type="dxa"/>
            <w:bottom w:w="0" w:type="dxa"/>
            <w:right w:w="0" w:type="dxa"/>
          </w:tblCellMar>
        </w:tblPrEx>
        <w:trPr>
          <w:trHeight w:val="62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14</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2019级中餐2班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邓开牙</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学习基础较差，上课较积极，不迟到早退。</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经关心和帮扶，学习更加主动，纪律良好，实操认真，按时完成作业，生活简朴，学习成绩有所提高。</w:t>
            </w:r>
          </w:p>
        </w:tc>
      </w:tr>
      <w:tr>
        <w:tblPrEx>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15</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2019级美容2班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秦梦</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开始抱着来学校玩玩的态度，学习主动性差。</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经关心和帮扶，加入了学生会，跟班级学生相处友好，学习态度不断进步，学习成绩有所提高。</w:t>
            </w:r>
          </w:p>
        </w:tc>
      </w:tr>
      <w:tr>
        <w:tblPrEx>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16</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2019级美容1班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冯小丽</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胆子小，不爱与别人交流，注意力不集中，学习基础较差，上课爱睡觉。</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经关心和帮扶，性格逐渐开朗，偶尔睡觉，开始认真做笔记，积极配合班级开展活动，学习成绩有所提高。</w:t>
            </w:r>
          </w:p>
        </w:tc>
      </w:tr>
      <w:tr>
        <w:tblPrEx>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17</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2019级美容1班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符秀艺</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女</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学习基础较差，上课喜欢睡觉，接受能力较差，有抽烟行为。</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经关心和帮扶，学习态度积极转变，能做笔记并按时完成作业，目前没有发现吸烟现象，学习成绩有所提高。</w:t>
            </w:r>
          </w:p>
        </w:tc>
      </w:tr>
      <w:tr>
        <w:tblPrEx>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18</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2019级汽修6班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王鸿杰</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纪律差，学习态度不端正。</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经关心和帮扶，纪律有所好转。</w:t>
            </w:r>
          </w:p>
        </w:tc>
      </w:tr>
      <w:tr>
        <w:tblPrEx>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19</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2019级汽修6班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王程景</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无心上学，纪律差，学习态度不端正，经常夜不归宿，爱喝酒。</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经关心和帮扶，纪律有所好转，但有时周末外出喝酒，有不出操情况。</w:t>
            </w:r>
          </w:p>
        </w:tc>
      </w:tr>
      <w:tr>
        <w:tblPrEx>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2019级汽修6班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王扬俊</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纪律差，学习态度不端正，经常夜不归宿，爱喝酒。</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经关心和帮扶，纪律有所好转，但有时周末外出喝酒，有不出操情况。</w:t>
            </w:r>
          </w:p>
        </w:tc>
      </w:tr>
      <w:tr>
        <w:tblPrEx>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21</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2019级汽修6班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王志超</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纪律差，每天迟到，在宿舍吸烟，每天玩手机到半夜，有时凌晨大声打电话。</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经关心和帮扶，纪律有所好转，但有时周末外出喝酒，有不出操情况。</w:t>
            </w:r>
          </w:p>
        </w:tc>
      </w:tr>
      <w:tr>
        <w:tblPrEx>
          <w:tblCellMar>
            <w:top w:w="0" w:type="dxa"/>
            <w:left w:w="0" w:type="dxa"/>
            <w:bottom w:w="0" w:type="dxa"/>
            <w:right w:w="0" w:type="dxa"/>
          </w:tblCellMar>
        </w:tblPrEx>
        <w:trPr>
          <w:trHeight w:val="644"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22</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2019级汽修6班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王才轲</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无心上学，纪律差，学习态度不端正，不听父母教育。</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经关心和帮扶，纪律有所好转，但有时周末外出喝酒，有不出操情况。</w:t>
            </w:r>
          </w:p>
        </w:tc>
      </w:tr>
      <w:tr>
        <w:tblPrEx>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23</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2019级汽修6班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叶德刚</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纪律差，学习态度不端正,说话容易伤人，情绪变化快，爱喝酒。</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经关心和帮扶，纪律有所好转，但有时周末外出喝酒，有不出操情况。</w:t>
            </w:r>
          </w:p>
        </w:tc>
      </w:tr>
      <w:tr>
        <w:tblPrEx>
          <w:tblCellMar>
            <w:top w:w="0" w:type="dxa"/>
            <w:left w:w="0" w:type="dxa"/>
            <w:bottom w:w="0" w:type="dxa"/>
            <w:right w:w="0" w:type="dxa"/>
          </w:tblCellMar>
        </w:tblPrEx>
        <w:trPr>
          <w:trHeight w:val="285" w:hRule="atLeast"/>
          <w:jc w:val="center"/>
        </w:trPr>
        <w:tc>
          <w:tcPr>
            <w:tcW w:w="482" w:type="dxa"/>
            <w:tcBorders>
              <w:top w:val="single" w:color="000000" w:sz="4" w:space="0"/>
              <w:left w:val="single" w:color="000000" w:sz="8"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24</w:t>
            </w:r>
          </w:p>
        </w:tc>
        <w:tc>
          <w:tcPr>
            <w:tcW w:w="14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2019级汽修6班</w:t>
            </w:r>
          </w:p>
        </w:tc>
        <w:tc>
          <w:tcPr>
            <w:tcW w:w="7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王志冰</w:t>
            </w:r>
          </w:p>
        </w:tc>
        <w:tc>
          <w:tcPr>
            <w:tcW w:w="6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无心上学，性格内向，纪律差，学习态度不端正，经常夜不归宿。</w:t>
            </w:r>
          </w:p>
        </w:tc>
        <w:tc>
          <w:tcPr>
            <w:tcW w:w="40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经关心和帮扶，纪律有所好转，但有时周末外出喝酒，有不出操情况。</w:t>
            </w:r>
          </w:p>
        </w:tc>
      </w:tr>
      <w:tr>
        <w:tblPrEx>
          <w:tblCellMar>
            <w:top w:w="0" w:type="dxa"/>
            <w:left w:w="0" w:type="dxa"/>
            <w:bottom w:w="0" w:type="dxa"/>
            <w:right w:w="0" w:type="dxa"/>
          </w:tblCellMar>
        </w:tblPrEx>
        <w:trPr>
          <w:trHeight w:val="300" w:hRule="atLeast"/>
          <w:jc w:val="center"/>
        </w:trPr>
        <w:tc>
          <w:tcPr>
            <w:tcW w:w="482" w:type="dxa"/>
            <w:tcBorders>
              <w:top w:val="single" w:color="000000" w:sz="4" w:space="0"/>
              <w:left w:val="single" w:color="000000" w:sz="8"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25</w:t>
            </w:r>
          </w:p>
        </w:tc>
        <w:tc>
          <w:tcPr>
            <w:tcW w:w="144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2019级汽修6班</w:t>
            </w:r>
          </w:p>
        </w:tc>
        <w:tc>
          <w:tcPr>
            <w:tcW w:w="705"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黄乾凯</w:t>
            </w:r>
          </w:p>
        </w:tc>
        <w:tc>
          <w:tcPr>
            <w:tcW w:w="630"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0" w:firstLineChars="0"/>
              <w:jc w:val="center"/>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男</w:t>
            </w:r>
          </w:p>
        </w:tc>
        <w:tc>
          <w:tcPr>
            <w:tcW w:w="2415"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ind w:left="0" w:leftChars="0" w:firstLine="360" w:firstLineChars="200"/>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无心上学，纪律差，学习态度不端正。</w:t>
            </w:r>
          </w:p>
        </w:tc>
        <w:tc>
          <w:tcPr>
            <w:tcW w:w="4082" w:type="dxa"/>
            <w:tcBorders>
              <w:top w:val="single" w:color="000000" w:sz="4" w:space="0"/>
              <w:left w:val="single" w:color="000000" w:sz="4" w:space="0"/>
              <w:bottom w:val="single" w:color="000000" w:sz="8" w:space="0"/>
              <w:right w:val="single" w:color="000000" w:sz="4" w:space="0"/>
            </w:tcBorders>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outlineLvl w:val="9"/>
              <w:rPr>
                <w:rFonts w:hint="eastAsia" w:ascii="宋体" w:hAnsi="宋体" w:eastAsia="宋体" w:cs="宋体"/>
                <w:i w:val="0"/>
                <w:color w:val="auto"/>
                <w:kern w:val="0"/>
                <w:sz w:val="18"/>
                <w:szCs w:val="18"/>
                <w:u w:val="none"/>
                <w:lang w:val="en-US" w:eastAsia="zh-CN" w:bidi="ar"/>
              </w:rPr>
            </w:pPr>
            <w:r>
              <w:rPr>
                <w:rFonts w:hint="eastAsia" w:ascii="宋体" w:hAnsi="宋体" w:eastAsia="宋体" w:cs="宋体"/>
                <w:i w:val="0"/>
                <w:color w:val="auto"/>
                <w:kern w:val="0"/>
                <w:sz w:val="18"/>
                <w:szCs w:val="18"/>
                <w:u w:val="none"/>
                <w:lang w:val="en-US" w:eastAsia="zh-CN" w:bidi="ar"/>
              </w:rPr>
              <w:t>经关心和帮扶，纪律有所好转，但有时周末外出喝酒，有不出操情况。</w:t>
            </w:r>
          </w:p>
        </w:tc>
      </w:tr>
    </w:tbl>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ascii="宋体" w:hAnsi="宋体"/>
          <w:color w:val="auto"/>
        </w:rPr>
      </w:pPr>
      <w:r>
        <w:rPr>
          <w:rFonts w:hint="eastAsia" w:ascii="宋体" w:hAnsi="宋体"/>
          <w:color w:val="auto"/>
          <w:lang w:val="en-US" w:eastAsia="zh-CN"/>
        </w:rPr>
        <w:t>（四）职初生系列活动相片</w:t>
      </w:r>
    </w:p>
    <w:p>
      <w:pPr>
        <w:numPr>
          <w:ilvl w:val="0"/>
          <w:numId w:val="0"/>
        </w:numPr>
        <w:jc w:val="both"/>
        <w:rPr>
          <w:rFonts w:hint="eastAsia"/>
          <w:color w:val="auto"/>
          <w:sz w:val="28"/>
          <w:szCs w:val="28"/>
          <w:lang w:eastAsia="zh-CN"/>
        </w:rPr>
      </w:pPr>
      <w:r>
        <w:rPr>
          <w:rFonts w:hint="eastAsia"/>
          <w:color w:val="auto"/>
          <w:sz w:val="28"/>
          <w:szCs w:val="28"/>
        </w:rPr>
        <w:t>2019年11月29日邢孔政副厅长</w:t>
      </w:r>
      <w:r>
        <w:rPr>
          <w:rFonts w:hint="eastAsia"/>
          <w:color w:val="auto"/>
          <w:sz w:val="28"/>
          <w:szCs w:val="28"/>
          <w:lang w:eastAsia="zh-CN"/>
        </w:rPr>
        <w:t>到我校开座谈会时看望职初班学生</w:t>
      </w:r>
    </w:p>
    <w:p>
      <w:pPr>
        <w:numPr>
          <w:ilvl w:val="0"/>
          <w:numId w:val="0"/>
        </w:numPr>
        <w:jc w:val="both"/>
        <w:rPr>
          <w:rFonts w:hint="eastAsia" w:eastAsia="宋体"/>
          <w:color w:val="auto"/>
          <w:sz w:val="28"/>
          <w:szCs w:val="28"/>
          <w:lang w:eastAsia="zh-CN"/>
        </w:rPr>
      </w:pPr>
      <w:r>
        <w:rPr>
          <w:rFonts w:hint="eastAsia" w:eastAsia="宋体"/>
          <w:color w:val="auto"/>
          <w:sz w:val="28"/>
          <w:szCs w:val="28"/>
          <w:lang w:eastAsia="zh-CN"/>
        </w:rPr>
        <w:drawing>
          <wp:inline distT="0" distB="0" distL="114300" distR="114300">
            <wp:extent cx="5847715" cy="3453130"/>
            <wp:effectExtent l="0" t="0" r="635" b="13970"/>
            <wp:docPr id="15" name="图片 7" descr="微信图片_2019120410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微信图片_20191204102314"/>
                    <pic:cNvPicPr>
                      <a:picLocks noChangeAspect="1"/>
                    </pic:cNvPicPr>
                  </pic:nvPicPr>
                  <pic:blipFill>
                    <a:blip r:embed="rId12"/>
                    <a:stretch>
                      <a:fillRect/>
                    </a:stretch>
                  </pic:blipFill>
                  <pic:spPr>
                    <a:xfrm>
                      <a:off x="0" y="0"/>
                      <a:ext cx="5847715" cy="3453130"/>
                    </a:xfrm>
                    <a:prstGeom prst="rect">
                      <a:avLst/>
                    </a:prstGeom>
                    <a:noFill/>
                    <a:ln>
                      <a:noFill/>
                    </a:ln>
                  </pic:spPr>
                </pic:pic>
              </a:graphicData>
            </a:graphic>
          </wp:inline>
        </w:drawing>
      </w:r>
    </w:p>
    <w:p>
      <w:pPr>
        <w:numPr>
          <w:ilvl w:val="0"/>
          <w:numId w:val="0"/>
        </w:numPr>
        <w:jc w:val="both"/>
        <w:rPr>
          <w:rFonts w:hint="eastAsia" w:eastAsia="宋体"/>
          <w:color w:val="auto"/>
          <w:sz w:val="28"/>
          <w:szCs w:val="28"/>
          <w:lang w:eastAsia="zh-CN"/>
        </w:rPr>
      </w:pPr>
      <w:r>
        <w:rPr>
          <w:rFonts w:hint="eastAsia" w:eastAsia="宋体"/>
          <w:color w:val="auto"/>
          <w:sz w:val="28"/>
          <w:szCs w:val="28"/>
          <w:lang w:eastAsia="zh-CN"/>
        </w:rPr>
        <w:drawing>
          <wp:inline distT="0" distB="0" distL="114300" distR="114300">
            <wp:extent cx="5838190" cy="3407410"/>
            <wp:effectExtent l="0" t="0" r="10160" b="2540"/>
            <wp:docPr id="17" name="图片 8" descr="微信图片_2019120410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微信图片_20191204102538"/>
                    <pic:cNvPicPr>
                      <a:picLocks noChangeAspect="1"/>
                    </pic:cNvPicPr>
                  </pic:nvPicPr>
                  <pic:blipFill>
                    <a:blip r:embed="rId13"/>
                    <a:stretch>
                      <a:fillRect/>
                    </a:stretch>
                  </pic:blipFill>
                  <pic:spPr>
                    <a:xfrm>
                      <a:off x="0" y="0"/>
                      <a:ext cx="5838190" cy="3407410"/>
                    </a:xfrm>
                    <a:prstGeom prst="rect">
                      <a:avLst/>
                    </a:prstGeom>
                    <a:noFill/>
                    <a:ln>
                      <a:noFill/>
                    </a:ln>
                  </pic:spPr>
                </pic:pic>
              </a:graphicData>
            </a:graphic>
          </wp:inline>
        </w:drawing>
      </w:r>
    </w:p>
    <w:p>
      <w:pPr>
        <w:numPr>
          <w:ilvl w:val="0"/>
          <w:numId w:val="0"/>
        </w:numPr>
        <w:jc w:val="both"/>
        <w:rPr>
          <w:rFonts w:hint="eastAsia" w:eastAsia="宋体"/>
          <w:color w:val="auto"/>
          <w:sz w:val="28"/>
          <w:szCs w:val="28"/>
          <w:lang w:val="en-US" w:eastAsia="zh-CN"/>
        </w:rPr>
      </w:pPr>
      <w:r>
        <w:rPr>
          <w:rFonts w:hint="eastAsia" w:eastAsia="宋体"/>
          <w:color w:val="auto"/>
          <w:sz w:val="28"/>
          <w:szCs w:val="28"/>
          <w:lang w:val="en-US" w:eastAsia="zh-CN"/>
        </w:rPr>
        <w:t>学校领导与职初班学生座谈</w:t>
      </w:r>
    </w:p>
    <w:p>
      <w:pPr>
        <w:numPr>
          <w:ilvl w:val="0"/>
          <w:numId w:val="0"/>
        </w:numPr>
        <w:jc w:val="both"/>
        <w:rPr>
          <w:rFonts w:hint="eastAsia" w:eastAsia="宋体"/>
          <w:color w:val="auto"/>
          <w:sz w:val="28"/>
          <w:szCs w:val="28"/>
          <w:lang w:val="en-US" w:eastAsia="zh-CN"/>
        </w:rPr>
      </w:pPr>
      <w:r>
        <w:rPr>
          <w:rFonts w:hint="eastAsia" w:eastAsia="宋体"/>
          <w:color w:val="auto"/>
          <w:sz w:val="28"/>
          <w:szCs w:val="28"/>
          <w:lang w:eastAsia="zh-CN"/>
        </w:rPr>
        <w:drawing>
          <wp:inline distT="0" distB="0" distL="114300" distR="114300">
            <wp:extent cx="5868670" cy="3916045"/>
            <wp:effectExtent l="0" t="0" r="17780" b="8255"/>
            <wp:docPr id="18" name="图片 9" descr="微信图片_20191204105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微信图片_201912041055321"/>
                    <pic:cNvPicPr>
                      <a:picLocks noChangeAspect="1"/>
                    </pic:cNvPicPr>
                  </pic:nvPicPr>
                  <pic:blipFill>
                    <a:blip r:embed="rId14"/>
                    <a:stretch>
                      <a:fillRect/>
                    </a:stretch>
                  </pic:blipFill>
                  <pic:spPr>
                    <a:xfrm>
                      <a:off x="0" y="0"/>
                      <a:ext cx="5868670" cy="3916045"/>
                    </a:xfrm>
                    <a:prstGeom prst="rect">
                      <a:avLst/>
                    </a:prstGeom>
                    <a:noFill/>
                    <a:ln>
                      <a:noFill/>
                    </a:ln>
                  </pic:spPr>
                </pic:pic>
              </a:graphicData>
            </a:graphic>
          </wp:inline>
        </w:drawing>
      </w:r>
    </w:p>
    <w:p>
      <w:pPr>
        <w:numPr>
          <w:ilvl w:val="0"/>
          <w:numId w:val="0"/>
        </w:numPr>
        <w:jc w:val="both"/>
        <w:rPr>
          <w:rFonts w:hint="eastAsia" w:eastAsia="宋体"/>
          <w:color w:val="auto"/>
          <w:lang w:eastAsia="zh-CN"/>
        </w:rPr>
      </w:pPr>
      <w:r>
        <w:rPr>
          <w:rFonts w:hint="eastAsia" w:eastAsia="宋体"/>
          <w:color w:val="auto"/>
          <w:lang w:eastAsia="zh-CN"/>
        </w:rPr>
        <w:drawing>
          <wp:inline distT="0" distB="0" distL="114300" distR="114300">
            <wp:extent cx="5863590" cy="3954780"/>
            <wp:effectExtent l="0" t="0" r="3810" b="7620"/>
            <wp:docPr id="21" name="图片 10" descr="微信图片_2019111021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微信图片_20191110213841"/>
                    <pic:cNvPicPr>
                      <a:picLocks noChangeAspect="1"/>
                    </pic:cNvPicPr>
                  </pic:nvPicPr>
                  <pic:blipFill>
                    <a:blip r:embed="rId15"/>
                    <a:stretch>
                      <a:fillRect/>
                    </a:stretch>
                  </pic:blipFill>
                  <pic:spPr>
                    <a:xfrm>
                      <a:off x="0" y="0"/>
                      <a:ext cx="5863590" cy="3954780"/>
                    </a:xfrm>
                    <a:prstGeom prst="rect">
                      <a:avLst/>
                    </a:prstGeom>
                    <a:noFill/>
                    <a:ln>
                      <a:noFill/>
                    </a:ln>
                  </pic:spPr>
                </pic:pic>
              </a:graphicData>
            </a:graphic>
          </wp:inline>
        </w:drawing>
      </w:r>
    </w:p>
    <w:p>
      <w:pPr>
        <w:numPr>
          <w:ilvl w:val="0"/>
          <w:numId w:val="0"/>
        </w:numPr>
        <w:jc w:val="both"/>
        <w:rPr>
          <w:rFonts w:hint="eastAsia" w:eastAsia="宋体"/>
          <w:color w:val="auto"/>
          <w:sz w:val="28"/>
          <w:szCs w:val="28"/>
          <w:lang w:val="en-US" w:eastAsia="zh-CN"/>
        </w:rPr>
      </w:pPr>
      <w:r>
        <w:rPr>
          <w:rFonts w:hint="eastAsia" w:eastAsia="宋体"/>
          <w:color w:val="auto"/>
          <w:sz w:val="28"/>
          <w:szCs w:val="28"/>
          <w:lang w:val="en-US" w:eastAsia="zh-CN"/>
        </w:rPr>
        <w:t>学校老师带领职初班学生参观国家热带农业公园</w:t>
      </w:r>
    </w:p>
    <w:p>
      <w:pPr>
        <w:numPr>
          <w:ilvl w:val="0"/>
          <w:numId w:val="0"/>
        </w:numPr>
        <w:jc w:val="both"/>
        <w:rPr>
          <w:rFonts w:hint="eastAsia" w:eastAsia="宋体"/>
          <w:color w:val="auto"/>
          <w:lang w:val="en-US" w:eastAsia="zh-CN"/>
        </w:rPr>
      </w:pPr>
      <w:r>
        <w:rPr>
          <w:rFonts w:hint="eastAsia" w:eastAsia="宋体"/>
          <w:color w:val="auto"/>
          <w:lang w:val="en-US" w:eastAsia="zh-CN"/>
        </w:rPr>
        <w:drawing>
          <wp:inline distT="0" distB="0" distL="114300" distR="114300">
            <wp:extent cx="5786120" cy="3411220"/>
            <wp:effectExtent l="0" t="0" r="5080" b="17780"/>
            <wp:docPr id="19" name="图片 11" descr="微信图片_20191204105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微信图片_201912041052147"/>
                    <pic:cNvPicPr>
                      <a:picLocks noChangeAspect="1"/>
                    </pic:cNvPicPr>
                  </pic:nvPicPr>
                  <pic:blipFill>
                    <a:blip r:embed="rId16"/>
                    <a:stretch>
                      <a:fillRect/>
                    </a:stretch>
                  </pic:blipFill>
                  <pic:spPr>
                    <a:xfrm>
                      <a:off x="0" y="0"/>
                      <a:ext cx="5786120" cy="3411220"/>
                    </a:xfrm>
                    <a:prstGeom prst="rect">
                      <a:avLst/>
                    </a:prstGeom>
                    <a:noFill/>
                    <a:ln>
                      <a:noFill/>
                    </a:ln>
                  </pic:spPr>
                </pic:pic>
              </a:graphicData>
            </a:graphic>
          </wp:inline>
        </w:drawing>
      </w:r>
    </w:p>
    <w:p>
      <w:pPr>
        <w:numPr>
          <w:ilvl w:val="0"/>
          <w:numId w:val="0"/>
        </w:numPr>
        <w:jc w:val="both"/>
        <w:rPr>
          <w:rFonts w:hint="eastAsia" w:eastAsia="宋体"/>
          <w:color w:val="auto"/>
          <w:lang w:val="en-US" w:eastAsia="zh-CN"/>
        </w:rPr>
      </w:pPr>
      <w:r>
        <w:rPr>
          <w:rFonts w:hint="eastAsia" w:eastAsia="宋体"/>
          <w:color w:val="auto"/>
          <w:lang w:val="en-US" w:eastAsia="zh-CN"/>
        </w:rPr>
        <w:drawing>
          <wp:inline distT="0" distB="0" distL="114300" distR="114300">
            <wp:extent cx="5779135" cy="4334510"/>
            <wp:effectExtent l="0" t="0" r="12065" b="8890"/>
            <wp:docPr id="16" name="图片 12" descr="微信图片_20191204104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微信图片_201912041048201"/>
                    <pic:cNvPicPr>
                      <a:picLocks noChangeAspect="1"/>
                    </pic:cNvPicPr>
                  </pic:nvPicPr>
                  <pic:blipFill>
                    <a:blip r:embed="rId17"/>
                    <a:stretch>
                      <a:fillRect/>
                    </a:stretch>
                  </pic:blipFill>
                  <pic:spPr>
                    <a:xfrm>
                      <a:off x="0" y="0"/>
                      <a:ext cx="5779135" cy="4334510"/>
                    </a:xfrm>
                    <a:prstGeom prst="rect">
                      <a:avLst/>
                    </a:prstGeom>
                    <a:noFill/>
                    <a:ln>
                      <a:noFill/>
                    </a:ln>
                  </pic:spPr>
                </pic:pic>
              </a:graphicData>
            </a:graphic>
          </wp:inline>
        </w:drawing>
      </w:r>
    </w:p>
    <w:p>
      <w:pPr>
        <w:numPr>
          <w:ilvl w:val="0"/>
          <w:numId w:val="0"/>
        </w:numPr>
        <w:jc w:val="both"/>
        <w:rPr>
          <w:rFonts w:hint="eastAsia" w:eastAsia="宋体"/>
          <w:color w:val="auto"/>
          <w:sz w:val="28"/>
          <w:szCs w:val="28"/>
          <w:lang w:val="en-US" w:eastAsia="zh-CN"/>
        </w:rPr>
      </w:pPr>
      <w:r>
        <w:rPr>
          <w:rFonts w:hint="eastAsia" w:eastAsia="宋体"/>
          <w:color w:val="auto"/>
          <w:sz w:val="28"/>
          <w:szCs w:val="28"/>
          <w:lang w:val="en-US" w:eastAsia="zh-CN"/>
        </w:rPr>
        <w:t>职初班学生在2020年元旦晚会表演竹竿舞</w:t>
      </w:r>
    </w:p>
    <w:p>
      <w:pPr>
        <w:numPr>
          <w:ilvl w:val="0"/>
          <w:numId w:val="0"/>
        </w:numPr>
        <w:jc w:val="both"/>
        <w:rPr>
          <w:rFonts w:hint="default" w:eastAsia="宋体"/>
          <w:color w:val="auto"/>
          <w:lang w:val="en-US" w:eastAsia="zh-CN"/>
        </w:rPr>
      </w:pPr>
      <w:r>
        <w:rPr>
          <w:rFonts w:hint="default" w:eastAsia="宋体"/>
          <w:color w:val="auto"/>
          <w:lang w:val="en-US" w:eastAsia="zh-CN"/>
        </w:rPr>
        <w:drawing>
          <wp:inline distT="0" distB="0" distL="114300" distR="114300">
            <wp:extent cx="5800090" cy="3248025"/>
            <wp:effectExtent l="0" t="0" r="10160" b="9525"/>
            <wp:docPr id="20" name="图片 13" descr="微信图片_2019122714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微信图片_20191227143255"/>
                    <pic:cNvPicPr>
                      <a:picLocks noChangeAspect="1"/>
                    </pic:cNvPicPr>
                  </pic:nvPicPr>
                  <pic:blipFill>
                    <a:blip r:embed="rId18"/>
                    <a:stretch>
                      <a:fillRect/>
                    </a:stretch>
                  </pic:blipFill>
                  <pic:spPr>
                    <a:xfrm>
                      <a:off x="0" y="0"/>
                      <a:ext cx="5800090" cy="3248025"/>
                    </a:xfrm>
                    <a:prstGeom prst="rect">
                      <a:avLst/>
                    </a:prstGeom>
                    <a:noFill/>
                    <a:ln>
                      <a:noFill/>
                    </a:ln>
                  </pic:spPr>
                </pic:pic>
              </a:graphicData>
            </a:graphic>
          </wp:inline>
        </w:drawing>
      </w:r>
    </w:p>
    <w:p>
      <w:pPr>
        <w:numPr>
          <w:ilvl w:val="0"/>
          <w:numId w:val="0"/>
        </w:numPr>
        <w:jc w:val="both"/>
        <w:rPr>
          <w:rFonts w:hint="default" w:eastAsia="宋体"/>
          <w:color w:val="auto"/>
          <w:lang w:val="en-US" w:eastAsia="zh-CN"/>
        </w:rPr>
      </w:pPr>
    </w:p>
    <w:p>
      <w:pPr>
        <w:ind w:firstLine="560"/>
        <w:rPr>
          <w:rFonts w:ascii="宋体" w:hAnsi="宋体"/>
          <w:color w:val="auto"/>
        </w:rPr>
      </w:pPr>
      <w:r>
        <w:rPr>
          <w:rFonts w:hint="default" w:eastAsia="宋体"/>
          <w:color w:val="auto"/>
          <w:lang w:val="en-US" w:eastAsia="zh-CN"/>
        </w:rPr>
        <w:drawing>
          <wp:inline distT="0" distB="0" distL="114300" distR="114300">
            <wp:extent cx="5791200" cy="3257550"/>
            <wp:effectExtent l="0" t="0" r="0" b="0"/>
            <wp:docPr id="22" name="图片 14" descr="微信图片_2020010209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微信图片_20200102095422"/>
                    <pic:cNvPicPr>
                      <a:picLocks noChangeAspect="1"/>
                    </pic:cNvPicPr>
                  </pic:nvPicPr>
                  <pic:blipFill>
                    <a:blip r:embed="rId19"/>
                    <a:stretch>
                      <a:fillRect/>
                    </a:stretch>
                  </pic:blipFill>
                  <pic:spPr>
                    <a:xfrm>
                      <a:off x="0" y="0"/>
                      <a:ext cx="5791200" cy="3257550"/>
                    </a:xfrm>
                    <a:prstGeom prst="rect">
                      <a:avLst/>
                    </a:prstGeom>
                    <a:noFill/>
                    <a:ln>
                      <a:noFill/>
                    </a:ln>
                  </pic:spPr>
                </pic:pic>
              </a:graphicData>
            </a:graphic>
          </wp:inline>
        </w:drawing>
      </w:r>
    </w:p>
    <w:p>
      <w:pPr>
        <w:pStyle w:val="2"/>
        <w:spacing w:beforeLines="0"/>
        <w:ind w:firstLine="0" w:firstLineChars="0"/>
        <w:rPr>
          <w:color w:val="auto"/>
        </w:rPr>
      </w:pPr>
      <w:bookmarkStart w:id="35" w:name="_Toc11470"/>
      <w:r>
        <w:rPr>
          <w:rFonts w:hint="eastAsia"/>
          <w:color w:val="auto"/>
        </w:rPr>
        <w:t>八</w:t>
      </w:r>
      <w:r>
        <w:rPr>
          <w:color w:val="auto"/>
        </w:rPr>
        <w:t>、主要问题和改进措施</w:t>
      </w:r>
      <w:bookmarkEnd w:id="35"/>
    </w:p>
    <w:p>
      <w:pPr>
        <w:pStyle w:val="3"/>
        <w:spacing w:beforeLines="0"/>
        <w:ind w:firstLine="602"/>
        <w:rPr>
          <w:color w:val="auto"/>
          <w:shd w:val="clear" w:color="auto" w:fill="FFFFFF"/>
        </w:rPr>
      </w:pPr>
      <w:bookmarkStart w:id="36" w:name="_Toc7695"/>
      <w:r>
        <w:rPr>
          <w:rFonts w:hint="eastAsia"/>
          <w:color w:val="auto"/>
          <w:shd w:val="clear" w:color="auto" w:fill="FFFFFF"/>
        </w:rPr>
        <w:t>（一）主要问题</w:t>
      </w:r>
      <w:bookmarkEnd w:id="36"/>
    </w:p>
    <w:p>
      <w:pPr>
        <w:ind w:firstLine="560"/>
        <w:rPr>
          <w:rFonts w:hint="eastAsia" w:ascii="宋体" w:hAnsi="宋体"/>
          <w:color w:val="auto"/>
        </w:rPr>
      </w:pPr>
      <w:r>
        <w:rPr>
          <w:rFonts w:hint="eastAsia" w:ascii="宋体" w:hAnsi="宋体"/>
          <w:color w:val="auto"/>
        </w:rPr>
        <w:t>1.教师编制严重不足，师资队伍建设问题无法得到根本解决。自筹经费发放的聘任制教职工待遇偏低，难以引进优秀教师，影响了教职工队伍的稳定性以及学校发展的可持续性。</w:t>
      </w:r>
    </w:p>
    <w:p>
      <w:pPr>
        <w:ind w:firstLine="560"/>
        <w:rPr>
          <w:rFonts w:hint="eastAsia" w:ascii="宋体" w:hAnsi="宋体"/>
          <w:color w:val="auto"/>
        </w:rPr>
      </w:pPr>
      <w:r>
        <w:rPr>
          <w:rFonts w:hint="eastAsia" w:ascii="宋体" w:hAnsi="宋体"/>
          <w:color w:val="auto"/>
        </w:rPr>
        <w:t>2.师德师风需进一步加强，师资培训安排统筹尚不够好，教师队伍“专心教书，用心育人”的精神有待进一步提高。</w:t>
      </w:r>
    </w:p>
    <w:p>
      <w:pPr>
        <w:ind w:firstLine="560"/>
        <w:rPr>
          <w:rFonts w:hint="eastAsia" w:ascii="宋体" w:hAnsi="宋体"/>
          <w:color w:val="auto"/>
        </w:rPr>
      </w:pPr>
      <w:r>
        <w:rPr>
          <w:rFonts w:hint="eastAsia" w:ascii="宋体" w:hAnsi="宋体"/>
          <w:color w:val="auto"/>
        </w:rPr>
        <w:t>3.在建设自贸港的背景下专业建设、课程改革未迈出实质步伐。</w:t>
      </w:r>
    </w:p>
    <w:p>
      <w:pPr>
        <w:pStyle w:val="3"/>
        <w:spacing w:beforeLines="0"/>
        <w:ind w:firstLine="602"/>
        <w:rPr>
          <w:color w:val="auto"/>
        </w:rPr>
      </w:pPr>
      <w:bookmarkStart w:id="37" w:name="_Toc16798"/>
      <w:r>
        <w:rPr>
          <w:rFonts w:hint="eastAsia"/>
          <w:color w:val="auto"/>
        </w:rPr>
        <w:t>（二</w:t>
      </w:r>
      <w:r>
        <w:rPr>
          <w:color w:val="auto"/>
        </w:rPr>
        <w:t>）</w:t>
      </w:r>
      <w:r>
        <w:rPr>
          <w:rFonts w:hint="eastAsia"/>
          <w:color w:val="auto"/>
        </w:rPr>
        <w:t>改进措施</w:t>
      </w:r>
      <w:bookmarkEnd w:id="37"/>
    </w:p>
    <w:p>
      <w:pPr>
        <w:ind w:firstLine="560"/>
        <w:rPr>
          <w:rFonts w:hint="eastAsia" w:ascii="宋体" w:hAnsi="宋体"/>
          <w:color w:val="auto"/>
        </w:rPr>
      </w:pPr>
      <w:r>
        <w:rPr>
          <w:rFonts w:hint="eastAsia" w:ascii="宋体" w:hAnsi="宋体"/>
          <w:color w:val="auto"/>
        </w:rPr>
        <w:t>1.申请省政府增加教师编制数，按照生师比配置足额的教师编制，提高教育教学质量。</w:t>
      </w:r>
    </w:p>
    <w:p>
      <w:pPr>
        <w:ind w:firstLine="560"/>
        <w:rPr>
          <w:rFonts w:ascii="宋体" w:hAnsi="宋体"/>
          <w:color w:val="auto"/>
        </w:rPr>
      </w:pPr>
      <w:r>
        <w:rPr>
          <w:rFonts w:hint="eastAsia" w:ascii="宋体" w:hAnsi="宋体"/>
          <w:color w:val="auto"/>
        </w:rPr>
        <w:t>2.我们将继续贯彻落实党的十九大精神及全国教育大会精神，落实好习总书记4.13重要讲话和对海南工作作出的重要批示、指示，谋划且开始实施扶贫巾帼励志班第二个十年规划，对标自贸港建设需求，培养品德优良、身心健康、技能过硬的美好新海南建设者、推动者，以坚如磐石的信心、只争朝夕的劲头、坚韧不拔的毅力为全面建成小康社会贡献力量。</w:t>
      </w:r>
    </w:p>
    <w:p>
      <w:pPr>
        <w:ind w:firstLine="560"/>
        <w:rPr>
          <w:rFonts w:hint="eastAsia" w:ascii="宋体" w:hAnsi="宋体" w:cs="仿宋_GB2312"/>
          <w:color w:val="auto"/>
          <w:szCs w:val="28"/>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474" w:bottom="1440"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华文行楷">
    <w:altName w:val="微软雅黑"/>
    <w:panose1 w:val="02010800040101010101"/>
    <w:charset w:val="86"/>
    <w:family w:val="auto"/>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wrap="none" lIns="0" tIns="0" rIns="0" bIns="0" upright="0">
                      <a:spAutoFit/>
                    </wps:bodyPr>
                  </wps:wsp>
                </a:graphicData>
              </a:graphic>
            </wp:anchor>
          </w:drawing>
        </mc:Choice>
        <mc:Fallback>
          <w:pict>
            <v:rect id="文本框 10" o:spid="_x0000_s1026" o:spt="1"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5dblS0AAAAAUBAAAPAAAAAAAA&#10;AAEAIAAAACIAAABkcnMvZG93bnJldi54bWxQSwECFAAUAAAACACHTuJAjBzn6KgBAABDAwAADgAA&#10;AAAAAAABACAAAAAfAQAAZHJzL2Uyb0RvYy54bWxQSwUGAAAAAAYABgBZAQAAOQUAAAAA&#10;">
              <v:fill on="f" focussize="0,0"/>
              <v:stroke on="f"/>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E92"/>
    <w:rsid w:val="0001468E"/>
    <w:rsid w:val="0002204C"/>
    <w:rsid w:val="0005238E"/>
    <w:rsid w:val="000624BD"/>
    <w:rsid w:val="00070E13"/>
    <w:rsid w:val="00081132"/>
    <w:rsid w:val="000A11E2"/>
    <w:rsid w:val="000B3178"/>
    <w:rsid w:val="000B5BA1"/>
    <w:rsid w:val="000C1DA6"/>
    <w:rsid w:val="000D4716"/>
    <w:rsid w:val="000E2FC5"/>
    <w:rsid w:val="000E5B91"/>
    <w:rsid w:val="00101416"/>
    <w:rsid w:val="00115D94"/>
    <w:rsid w:val="00127CD2"/>
    <w:rsid w:val="00132B2D"/>
    <w:rsid w:val="00134BDC"/>
    <w:rsid w:val="0019264F"/>
    <w:rsid w:val="001A083F"/>
    <w:rsid w:val="001A0A8F"/>
    <w:rsid w:val="001A15E1"/>
    <w:rsid w:val="001A5368"/>
    <w:rsid w:val="001B32C8"/>
    <w:rsid w:val="001C617F"/>
    <w:rsid w:val="001D19A8"/>
    <w:rsid w:val="0021192B"/>
    <w:rsid w:val="00215478"/>
    <w:rsid w:val="00216C85"/>
    <w:rsid w:val="0022140D"/>
    <w:rsid w:val="0022597E"/>
    <w:rsid w:val="00240E4B"/>
    <w:rsid w:val="0026091D"/>
    <w:rsid w:val="002A28AC"/>
    <w:rsid w:val="002B0B6A"/>
    <w:rsid w:val="00307206"/>
    <w:rsid w:val="00317123"/>
    <w:rsid w:val="00324F26"/>
    <w:rsid w:val="00325B39"/>
    <w:rsid w:val="003370FD"/>
    <w:rsid w:val="003646B3"/>
    <w:rsid w:val="0036683B"/>
    <w:rsid w:val="00374DD6"/>
    <w:rsid w:val="00386511"/>
    <w:rsid w:val="003B2BED"/>
    <w:rsid w:val="003F65A7"/>
    <w:rsid w:val="00467ABC"/>
    <w:rsid w:val="00471E42"/>
    <w:rsid w:val="00474E34"/>
    <w:rsid w:val="0048419C"/>
    <w:rsid w:val="004849BD"/>
    <w:rsid w:val="00485722"/>
    <w:rsid w:val="004878AD"/>
    <w:rsid w:val="004B017F"/>
    <w:rsid w:val="004B219D"/>
    <w:rsid w:val="004B35E3"/>
    <w:rsid w:val="004E60B7"/>
    <w:rsid w:val="004E688E"/>
    <w:rsid w:val="00504B69"/>
    <w:rsid w:val="00514662"/>
    <w:rsid w:val="00527900"/>
    <w:rsid w:val="00535F6E"/>
    <w:rsid w:val="0055138F"/>
    <w:rsid w:val="00552BA4"/>
    <w:rsid w:val="005654FC"/>
    <w:rsid w:val="00586A05"/>
    <w:rsid w:val="005910DE"/>
    <w:rsid w:val="00591B7B"/>
    <w:rsid w:val="00593C07"/>
    <w:rsid w:val="005977B6"/>
    <w:rsid w:val="005A3505"/>
    <w:rsid w:val="005B0A11"/>
    <w:rsid w:val="005B7C83"/>
    <w:rsid w:val="005C1B82"/>
    <w:rsid w:val="005C49C5"/>
    <w:rsid w:val="00607829"/>
    <w:rsid w:val="00617F75"/>
    <w:rsid w:val="00627870"/>
    <w:rsid w:val="0064410F"/>
    <w:rsid w:val="0064663C"/>
    <w:rsid w:val="006541D7"/>
    <w:rsid w:val="0067301F"/>
    <w:rsid w:val="00676229"/>
    <w:rsid w:val="00691E01"/>
    <w:rsid w:val="006B3FB8"/>
    <w:rsid w:val="006E0B7C"/>
    <w:rsid w:val="006E57EA"/>
    <w:rsid w:val="006E6735"/>
    <w:rsid w:val="006F0733"/>
    <w:rsid w:val="007037D0"/>
    <w:rsid w:val="007143F3"/>
    <w:rsid w:val="0078336B"/>
    <w:rsid w:val="00784C59"/>
    <w:rsid w:val="00790DB0"/>
    <w:rsid w:val="00791C70"/>
    <w:rsid w:val="007A1C34"/>
    <w:rsid w:val="007B112D"/>
    <w:rsid w:val="007B6DD2"/>
    <w:rsid w:val="007C360E"/>
    <w:rsid w:val="007C41A2"/>
    <w:rsid w:val="007E37FB"/>
    <w:rsid w:val="007E5F92"/>
    <w:rsid w:val="007F5BB6"/>
    <w:rsid w:val="0080503B"/>
    <w:rsid w:val="00822936"/>
    <w:rsid w:val="00827181"/>
    <w:rsid w:val="0083238E"/>
    <w:rsid w:val="0083382C"/>
    <w:rsid w:val="00834E2F"/>
    <w:rsid w:val="00847E08"/>
    <w:rsid w:val="00876511"/>
    <w:rsid w:val="008B75E2"/>
    <w:rsid w:val="008C3A99"/>
    <w:rsid w:val="008D190B"/>
    <w:rsid w:val="008D20F9"/>
    <w:rsid w:val="008E7759"/>
    <w:rsid w:val="009067C9"/>
    <w:rsid w:val="009434AD"/>
    <w:rsid w:val="0094420C"/>
    <w:rsid w:val="0095596B"/>
    <w:rsid w:val="00962B8F"/>
    <w:rsid w:val="0096547B"/>
    <w:rsid w:val="009767D1"/>
    <w:rsid w:val="00983CB3"/>
    <w:rsid w:val="00984D66"/>
    <w:rsid w:val="00990316"/>
    <w:rsid w:val="0099355B"/>
    <w:rsid w:val="009B4B49"/>
    <w:rsid w:val="009C6B79"/>
    <w:rsid w:val="009C799D"/>
    <w:rsid w:val="009E1B86"/>
    <w:rsid w:val="009F14DF"/>
    <w:rsid w:val="009F1F79"/>
    <w:rsid w:val="00A10ACB"/>
    <w:rsid w:val="00A14E10"/>
    <w:rsid w:val="00A16092"/>
    <w:rsid w:val="00A5295E"/>
    <w:rsid w:val="00A55A38"/>
    <w:rsid w:val="00A67DBF"/>
    <w:rsid w:val="00A67FA0"/>
    <w:rsid w:val="00A734DC"/>
    <w:rsid w:val="00A82F29"/>
    <w:rsid w:val="00A92E02"/>
    <w:rsid w:val="00AA1CBD"/>
    <w:rsid w:val="00AA603F"/>
    <w:rsid w:val="00AB0D7D"/>
    <w:rsid w:val="00AB2349"/>
    <w:rsid w:val="00AE1397"/>
    <w:rsid w:val="00AE5C9C"/>
    <w:rsid w:val="00B46536"/>
    <w:rsid w:val="00B55EAB"/>
    <w:rsid w:val="00B71351"/>
    <w:rsid w:val="00B9469D"/>
    <w:rsid w:val="00B96832"/>
    <w:rsid w:val="00BC0A7E"/>
    <w:rsid w:val="00BC32CA"/>
    <w:rsid w:val="00BD6E5E"/>
    <w:rsid w:val="00BF2CA8"/>
    <w:rsid w:val="00BF7B45"/>
    <w:rsid w:val="00C07B7D"/>
    <w:rsid w:val="00C10701"/>
    <w:rsid w:val="00C10C87"/>
    <w:rsid w:val="00C176FB"/>
    <w:rsid w:val="00C27288"/>
    <w:rsid w:val="00C3032C"/>
    <w:rsid w:val="00C44A03"/>
    <w:rsid w:val="00C457CF"/>
    <w:rsid w:val="00C46C3F"/>
    <w:rsid w:val="00C51FED"/>
    <w:rsid w:val="00C54F74"/>
    <w:rsid w:val="00C84801"/>
    <w:rsid w:val="00CA2ECF"/>
    <w:rsid w:val="00CB1290"/>
    <w:rsid w:val="00CB2800"/>
    <w:rsid w:val="00CB5CF8"/>
    <w:rsid w:val="00CC3CCB"/>
    <w:rsid w:val="00CD3235"/>
    <w:rsid w:val="00CD7D9F"/>
    <w:rsid w:val="00CF58FF"/>
    <w:rsid w:val="00D0700D"/>
    <w:rsid w:val="00D119FA"/>
    <w:rsid w:val="00D274D1"/>
    <w:rsid w:val="00D4672A"/>
    <w:rsid w:val="00D5086B"/>
    <w:rsid w:val="00D53F74"/>
    <w:rsid w:val="00D7632B"/>
    <w:rsid w:val="00D9146E"/>
    <w:rsid w:val="00DF19BB"/>
    <w:rsid w:val="00E03AF9"/>
    <w:rsid w:val="00E04D27"/>
    <w:rsid w:val="00E105E7"/>
    <w:rsid w:val="00E13CD3"/>
    <w:rsid w:val="00E261D9"/>
    <w:rsid w:val="00E43AB8"/>
    <w:rsid w:val="00E47B57"/>
    <w:rsid w:val="00E60DAA"/>
    <w:rsid w:val="00E77317"/>
    <w:rsid w:val="00E87220"/>
    <w:rsid w:val="00EA36D6"/>
    <w:rsid w:val="00EC2245"/>
    <w:rsid w:val="00ED02DD"/>
    <w:rsid w:val="00ED25DE"/>
    <w:rsid w:val="00EE1DFA"/>
    <w:rsid w:val="00EE32F5"/>
    <w:rsid w:val="00F40C95"/>
    <w:rsid w:val="00F55C27"/>
    <w:rsid w:val="00F61191"/>
    <w:rsid w:val="00F64FD2"/>
    <w:rsid w:val="00F74ABE"/>
    <w:rsid w:val="00F7575E"/>
    <w:rsid w:val="00F914A2"/>
    <w:rsid w:val="00F923BA"/>
    <w:rsid w:val="00F964DF"/>
    <w:rsid w:val="00FA3A87"/>
    <w:rsid w:val="00FA46A6"/>
    <w:rsid w:val="00FB1438"/>
    <w:rsid w:val="00FB7C43"/>
    <w:rsid w:val="00FC3A4D"/>
    <w:rsid w:val="00FD1633"/>
    <w:rsid w:val="00FE1079"/>
    <w:rsid w:val="00FE316A"/>
    <w:rsid w:val="00FE7149"/>
    <w:rsid w:val="052051CB"/>
    <w:rsid w:val="069B0E77"/>
    <w:rsid w:val="079A3825"/>
    <w:rsid w:val="07BA3542"/>
    <w:rsid w:val="08E41DCC"/>
    <w:rsid w:val="0A026794"/>
    <w:rsid w:val="0A4C2E0C"/>
    <w:rsid w:val="0A5A6D50"/>
    <w:rsid w:val="0E9E15CD"/>
    <w:rsid w:val="1D820A0D"/>
    <w:rsid w:val="22A8443D"/>
    <w:rsid w:val="2B990A16"/>
    <w:rsid w:val="3320704A"/>
    <w:rsid w:val="36F559D5"/>
    <w:rsid w:val="39C02993"/>
    <w:rsid w:val="3AA51612"/>
    <w:rsid w:val="3FF84BFA"/>
    <w:rsid w:val="477B4E2A"/>
    <w:rsid w:val="49360E1D"/>
    <w:rsid w:val="4C082C90"/>
    <w:rsid w:val="53EA0B3F"/>
    <w:rsid w:val="565E4624"/>
    <w:rsid w:val="5B3C0664"/>
    <w:rsid w:val="5CA455A2"/>
    <w:rsid w:val="5D2A38C8"/>
    <w:rsid w:val="5F3C5B83"/>
    <w:rsid w:val="63D843C3"/>
    <w:rsid w:val="656E4D11"/>
    <w:rsid w:val="65C53809"/>
    <w:rsid w:val="746B2ED2"/>
    <w:rsid w:val="76CB62C2"/>
    <w:rsid w:val="76E31CBC"/>
    <w:rsid w:val="786D2D84"/>
    <w:rsid w:val="799B5A42"/>
    <w:rsid w:val="7BCA0169"/>
    <w:rsid w:val="7F176FFD"/>
    <w:rsid w:val="7F7B534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Calibri" w:hAnsi="Calibri" w:eastAsia="宋体" w:cs="黑体"/>
      <w:kern w:val="2"/>
      <w:sz w:val="28"/>
      <w:szCs w:val="22"/>
      <w:lang w:val="en-US" w:eastAsia="zh-CN" w:bidi="ar-SA"/>
    </w:rPr>
  </w:style>
  <w:style w:type="paragraph" w:styleId="2">
    <w:name w:val="heading 1"/>
    <w:basedOn w:val="1"/>
    <w:next w:val="1"/>
    <w:link w:val="28"/>
    <w:qFormat/>
    <w:uiPriority w:val="0"/>
    <w:pPr>
      <w:keepNext/>
      <w:widowControl/>
      <w:spacing w:before="156" w:beforeLines="50" w:line="360" w:lineRule="auto"/>
      <w:outlineLvl w:val="0"/>
    </w:pPr>
    <w:rPr>
      <w:rFonts w:ascii="Times New Roman" w:hAnsi="Times New Roman" w:eastAsia="黑体" w:cs="Times New Roman"/>
      <w:b/>
      <w:bCs/>
      <w:sz w:val="32"/>
      <w:szCs w:val="28"/>
    </w:rPr>
  </w:style>
  <w:style w:type="paragraph" w:styleId="3">
    <w:name w:val="heading 2"/>
    <w:basedOn w:val="1"/>
    <w:next w:val="1"/>
    <w:link w:val="37"/>
    <w:qFormat/>
    <w:uiPriority w:val="0"/>
    <w:pPr>
      <w:keepNext/>
      <w:widowControl/>
      <w:spacing w:before="156" w:beforeLines="50" w:line="360" w:lineRule="auto"/>
      <w:outlineLvl w:val="1"/>
    </w:pPr>
    <w:rPr>
      <w:rFonts w:ascii="Times New Roman" w:hAnsi="Times New Roman" w:eastAsia="黑体" w:cs="Times New Roman"/>
      <w:b/>
      <w:kern w:val="2"/>
      <w:sz w:val="30"/>
      <w:szCs w:val="26"/>
    </w:rPr>
  </w:style>
  <w:style w:type="paragraph" w:styleId="4">
    <w:name w:val="heading 3"/>
    <w:basedOn w:val="1"/>
    <w:next w:val="1"/>
    <w:link w:val="35"/>
    <w:qFormat/>
    <w:uiPriority w:val="0"/>
    <w:pPr>
      <w:keepNext/>
      <w:keepLines/>
      <w:spacing w:before="260" w:beforeLines="0" w:after="260" w:afterLines="0" w:line="416" w:lineRule="auto"/>
      <w:outlineLvl w:val="2"/>
    </w:pPr>
    <w:rPr>
      <w:rFonts w:ascii="Calibri" w:hAnsi="Calibri" w:eastAsia="宋体" w:cs="Times New Roman"/>
      <w:b/>
      <w:bCs/>
      <w:sz w:val="32"/>
      <w:szCs w:val="32"/>
    </w:rPr>
  </w:style>
  <w:style w:type="character" w:default="1" w:styleId="14">
    <w:name w:val="Default Paragraph Font"/>
    <w:qFormat/>
    <w:uiPriority w:val="0"/>
  </w:style>
  <w:style w:type="table" w:default="1" w:styleId="12">
    <w:name w:val="Normal Table"/>
    <w:unhideWhenUsed/>
    <w:qFormat/>
    <w:uiPriority w:val="99"/>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Balloon Text"/>
    <w:basedOn w:val="1"/>
    <w:link w:val="36"/>
    <w:qFormat/>
    <w:uiPriority w:val="0"/>
    <w:rPr>
      <w:kern w:val="2"/>
      <w:sz w:val="18"/>
      <w:szCs w:val="18"/>
    </w:rPr>
  </w:style>
  <w:style w:type="paragraph" w:styleId="7">
    <w:name w:val="footer"/>
    <w:basedOn w:val="1"/>
    <w:link w:val="31"/>
    <w:qFormat/>
    <w:uiPriority w:val="0"/>
    <w:pPr>
      <w:tabs>
        <w:tab w:val="center" w:pos="4153"/>
        <w:tab w:val="right" w:pos="8306"/>
      </w:tabs>
      <w:snapToGrid w:val="0"/>
      <w:jc w:val="left"/>
    </w:pPr>
    <w:rPr>
      <w:sz w:val="18"/>
      <w:szCs w:val="18"/>
    </w:rPr>
  </w:style>
  <w:style w:type="paragraph" w:styleId="8">
    <w:name w:val="header"/>
    <w:basedOn w:val="1"/>
    <w:link w:val="38"/>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unhideWhenUsed/>
    <w:qFormat/>
    <w:uiPriority w:val="99"/>
    <w:pPr>
      <w:widowControl/>
      <w:spacing w:before="100" w:beforeAutospacing="1" w:after="100" w:afterAutospacing="1"/>
      <w:ind w:firstLine="0" w:firstLineChars="0"/>
      <w:jc w:val="left"/>
    </w:pPr>
    <w:rPr>
      <w:rFonts w:ascii="宋体" w:hAnsi="宋体" w:cs="宋体"/>
      <w:kern w:val="0"/>
      <w:sz w:val="24"/>
      <w:szCs w:val="24"/>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rFonts w:cs="Times New Roman"/>
      <w:b/>
    </w:rPr>
  </w:style>
  <w:style w:type="character" w:styleId="16">
    <w:name w:val="Hyperlink"/>
    <w:qFormat/>
    <w:uiPriority w:val="99"/>
    <w:rPr>
      <w:color w:val="0563C1"/>
      <w:u w:val="single"/>
    </w:rPr>
  </w:style>
  <w:style w:type="paragraph" w:customStyle="1" w:styleId="17">
    <w:name w:val="表头"/>
    <w:link w:val="32"/>
    <w:qFormat/>
    <w:uiPriority w:val="0"/>
    <w:pPr>
      <w:keepNext/>
      <w:pBdr>
        <w:top w:val="single" w:color="auto" w:sz="4" w:space="1"/>
        <w:left w:val="single" w:color="auto" w:sz="4" w:space="4"/>
        <w:bottom w:val="single" w:color="auto" w:sz="4" w:space="1"/>
        <w:right w:val="single" w:color="auto" w:sz="4" w:space="4"/>
      </w:pBdr>
      <w:shd w:val="pct75" w:color="auto" w:fill="auto"/>
      <w:jc w:val="center"/>
    </w:pPr>
    <w:rPr>
      <w:rFonts w:ascii="Calibri" w:hAnsi="Calibri" w:eastAsia="黑体" w:cs="Times New Roman"/>
      <w:b/>
      <w:color w:val="FFFFFF"/>
      <w:sz w:val="22"/>
      <w:shd w:val="pct75" w:color="auto" w:fill="auto"/>
      <w:lang w:val="en-US" w:eastAsia="zh-CN" w:bidi="ar-SA"/>
    </w:rPr>
  </w:style>
  <w:style w:type="paragraph" w:customStyle="1" w:styleId="18">
    <w:name w:val="Date"/>
    <w:basedOn w:val="1"/>
    <w:next w:val="1"/>
    <w:link w:val="42"/>
    <w:qFormat/>
    <w:uiPriority w:val="0"/>
    <w:pPr>
      <w:ind w:left="100" w:leftChars="2500"/>
    </w:pPr>
    <w:rPr>
      <w:kern w:val="2"/>
      <w:sz w:val="28"/>
      <w:szCs w:val="22"/>
    </w:rPr>
  </w:style>
  <w:style w:type="paragraph" w:customStyle="1" w:styleId="19">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customStyle="1" w:styleId="20">
    <w:name w:val="Body Text Indent"/>
    <w:basedOn w:val="1"/>
    <w:link w:val="33"/>
    <w:qFormat/>
    <w:uiPriority w:val="0"/>
    <w:pPr>
      <w:spacing w:line="360" w:lineRule="auto"/>
      <w:ind w:firstLine="480"/>
    </w:pPr>
    <w:rPr>
      <w:rFonts w:ascii="宋体" w:hAnsi="宋体" w:eastAsia="宋体" w:cs="Times New Roman"/>
      <w:sz w:val="24"/>
      <w:szCs w:val="20"/>
    </w:rPr>
  </w:style>
  <w:style w:type="paragraph" w:customStyle="1" w:styleId="21">
    <w:name w:val="表题"/>
    <w:link w:val="30"/>
    <w:qFormat/>
    <w:uiPriority w:val="0"/>
    <w:pPr>
      <w:spacing w:before="120"/>
      <w:jc w:val="center"/>
    </w:pPr>
    <w:rPr>
      <w:rFonts w:ascii="Calibri" w:hAnsi="Calibri" w:eastAsia="黑体" w:cs="Times New Roman"/>
      <w:b/>
      <w:sz w:val="28"/>
      <w:szCs w:val="21"/>
      <w:lang w:val="en-US" w:eastAsia="zh-CN" w:bidi="ar-SA"/>
    </w:rPr>
  </w:style>
  <w:style w:type="paragraph" w:customStyle="1" w:styleId="22">
    <w:name w:val="p0"/>
    <w:basedOn w:val="1"/>
    <w:qFormat/>
    <w:uiPriority w:val="0"/>
    <w:pPr>
      <w:widowControl/>
    </w:pPr>
    <w:rPr>
      <w:rFonts w:ascii="Times New Roman" w:hAnsi="Times New Roman" w:eastAsia="宋体" w:cs="Times New Roman"/>
      <w:kern w:val="0"/>
      <w:szCs w:val="21"/>
    </w:rPr>
  </w:style>
  <w:style w:type="paragraph" w:customStyle="1" w:styleId="23">
    <w:name w:val="表格"/>
    <w:link w:val="41"/>
    <w:qFormat/>
    <w:uiPriority w:val="0"/>
    <w:pPr>
      <w:jc w:val="center"/>
    </w:pPr>
    <w:rPr>
      <w:rFonts w:ascii="Calibri" w:hAnsi="Calibri" w:eastAsia="宋体" w:cs="Times New Roman"/>
      <w:szCs w:val="21"/>
      <w:lang w:val="en-US" w:eastAsia="zh-CN" w:bidi="ar-SA"/>
    </w:rPr>
  </w:style>
  <w:style w:type="paragraph" w:customStyle="1" w:styleId="24">
    <w:name w:val="HTML Preformatted"/>
    <w:basedOn w:val="1"/>
    <w:link w:val="4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rPr>
  </w:style>
  <w:style w:type="paragraph" w:customStyle="1" w:styleId="25">
    <w:name w:val="内容"/>
    <w:basedOn w:val="1"/>
    <w:link w:val="29"/>
    <w:qFormat/>
    <w:uiPriority w:val="0"/>
    <w:pPr>
      <w:keepNext/>
      <w:spacing w:line="360" w:lineRule="exact"/>
    </w:pPr>
    <w:rPr>
      <w:rFonts w:ascii="仿宋_GB2312" w:hAnsi="Times New Roman" w:eastAsia="仿宋_GB2312" w:cs="Times New Roman"/>
      <w:sz w:val="28"/>
      <w:szCs w:val="28"/>
    </w:rPr>
  </w:style>
  <w:style w:type="paragraph" w:customStyle="1" w:styleId="26">
    <w:name w:val="TOC 标题1"/>
    <w:basedOn w:val="2"/>
    <w:next w:val="1"/>
    <w:qFormat/>
    <w:uiPriority w:val="0"/>
    <w:pPr>
      <w:keepLines/>
      <w:spacing w:before="240" w:beforeLines="0" w:line="259" w:lineRule="auto"/>
      <w:ind w:firstLine="0" w:firstLineChars="0"/>
      <w:jc w:val="left"/>
      <w:outlineLvl w:val="9"/>
    </w:pPr>
    <w:rPr>
      <w:rFonts w:ascii="Calibri Light" w:hAnsi="Calibri Light" w:eastAsia="宋体" w:cs="黑体"/>
      <w:b w:val="0"/>
      <w:bCs w:val="0"/>
      <w:color w:val="2D73B3"/>
      <w:kern w:val="0"/>
      <w:szCs w:val="32"/>
    </w:rPr>
  </w:style>
  <w:style w:type="character" w:customStyle="1" w:styleId="27">
    <w:name w:val="apple-converted-space"/>
    <w:qFormat/>
    <w:uiPriority w:val="0"/>
  </w:style>
  <w:style w:type="character" w:customStyle="1" w:styleId="28">
    <w:name w:val="标题 1 Char"/>
    <w:link w:val="2"/>
    <w:qFormat/>
    <w:uiPriority w:val="0"/>
    <w:rPr>
      <w:rFonts w:ascii="Times New Roman" w:hAnsi="Times New Roman" w:eastAsia="黑体" w:cs="Times New Roman"/>
      <w:b/>
      <w:bCs/>
      <w:sz w:val="32"/>
      <w:szCs w:val="28"/>
    </w:rPr>
  </w:style>
  <w:style w:type="character" w:customStyle="1" w:styleId="29">
    <w:name w:val="内容 Char Char"/>
    <w:link w:val="25"/>
    <w:qFormat/>
    <w:uiPriority w:val="0"/>
    <w:rPr>
      <w:rFonts w:ascii="仿宋_GB2312" w:hAnsi="Times New Roman" w:eastAsia="仿宋_GB2312" w:cs="Times New Roman"/>
      <w:sz w:val="28"/>
      <w:szCs w:val="28"/>
    </w:rPr>
  </w:style>
  <w:style w:type="character" w:customStyle="1" w:styleId="30">
    <w:name w:val="表题 Char Char"/>
    <w:link w:val="21"/>
    <w:qFormat/>
    <w:uiPriority w:val="0"/>
    <w:rPr>
      <w:rFonts w:ascii="Times New Roman" w:hAnsi="Times New Roman" w:eastAsia="黑体" w:cs="Times New Roman"/>
      <w:b/>
      <w:kern w:val="0"/>
      <w:sz w:val="28"/>
      <w:szCs w:val="21"/>
    </w:rPr>
  </w:style>
  <w:style w:type="character" w:customStyle="1" w:styleId="31">
    <w:name w:val="页脚 Char"/>
    <w:link w:val="7"/>
    <w:qFormat/>
    <w:uiPriority w:val="0"/>
    <w:rPr>
      <w:sz w:val="18"/>
      <w:szCs w:val="18"/>
    </w:rPr>
  </w:style>
  <w:style w:type="character" w:customStyle="1" w:styleId="32">
    <w:name w:val="表头 Char Char"/>
    <w:link w:val="17"/>
    <w:qFormat/>
    <w:uiPriority w:val="0"/>
    <w:rPr>
      <w:rFonts w:ascii="Times New Roman" w:hAnsi="Times New Roman" w:eastAsia="黑体" w:cs="Times New Roman"/>
      <w:b/>
      <w:color w:val="FFFFFF"/>
      <w:kern w:val="0"/>
      <w:sz w:val="22"/>
      <w:szCs w:val="20"/>
      <w:shd w:val="pct75" w:color="auto" w:fill="auto"/>
    </w:rPr>
  </w:style>
  <w:style w:type="character" w:customStyle="1" w:styleId="33">
    <w:name w:val="正文文本缩进 Char"/>
    <w:link w:val="20"/>
    <w:qFormat/>
    <w:uiPriority w:val="0"/>
    <w:rPr>
      <w:rFonts w:ascii="宋体" w:hAnsi="宋体" w:eastAsia="宋体" w:cs="Times New Roman"/>
      <w:sz w:val="24"/>
      <w:szCs w:val="20"/>
    </w:rPr>
  </w:style>
  <w:style w:type="character" w:customStyle="1" w:styleId="34">
    <w:name w:val="con-all2"/>
    <w:basedOn w:val="14"/>
    <w:qFormat/>
    <w:uiPriority w:val="0"/>
  </w:style>
  <w:style w:type="character" w:customStyle="1" w:styleId="35">
    <w:name w:val="标题 3 Char"/>
    <w:link w:val="4"/>
    <w:qFormat/>
    <w:uiPriority w:val="0"/>
    <w:rPr>
      <w:rFonts w:ascii="Calibri" w:hAnsi="Calibri" w:eastAsia="宋体" w:cs="Times New Roman"/>
      <w:b/>
      <w:bCs/>
      <w:sz w:val="32"/>
      <w:szCs w:val="32"/>
    </w:rPr>
  </w:style>
  <w:style w:type="character" w:customStyle="1" w:styleId="36">
    <w:name w:val="批注框文本 Char"/>
    <w:link w:val="6"/>
    <w:qFormat/>
    <w:uiPriority w:val="0"/>
    <w:rPr>
      <w:kern w:val="2"/>
      <w:sz w:val="18"/>
      <w:szCs w:val="18"/>
    </w:rPr>
  </w:style>
  <w:style w:type="character" w:customStyle="1" w:styleId="37">
    <w:name w:val="标题 2 Char"/>
    <w:link w:val="3"/>
    <w:qFormat/>
    <w:uiPriority w:val="0"/>
    <w:rPr>
      <w:rFonts w:ascii="Times New Roman" w:hAnsi="Times New Roman" w:eastAsia="黑体" w:cs="Times New Roman"/>
      <w:b/>
      <w:kern w:val="2"/>
      <w:sz w:val="30"/>
      <w:szCs w:val="26"/>
    </w:rPr>
  </w:style>
  <w:style w:type="character" w:customStyle="1" w:styleId="38">
    <w:name w:val="页眉 Char"/>
    <w:link w:val="8"/>
    <w:qFormat/>
    <w:uiPriority w:val="0"/>
    <w:rPr>
      <w:sz w:val="18"/>
      <w:szCs w:val="18"/>
    </w:rPr>
  </w:style>
  <w:style w:type="character" w:customStyle="1" w:styleId="39">
    <w:name w:val="ask-title2"/>
    <w:basedOn w:val="14"/>
    <w:qFormat/>
    <w:uiPriority w:val="0"/>
  </w:style>
  <w:style w:type="character" w:customStyle="1" w:styleId="40">
    <w:name w:val="HTML 预设格式 Char"/>
    <w:link w:val="24"/>
    <w:qFormat/>
    <w:uiPriority w:val="0"/>
    <w:rPr>
      <w:rFonts w:ascii="宋体" w:hAnsi="宋体" w:eastAsia="宋体" w:cs="Times New Roman"/>
      <w:kern w:val="0"/>
      <w:sz w:val="24"/>
      <w:szCs w:val="24"/>
    </w:rPr>
  </w:style>
  <w:style w:type="character" w:customStyle="1" w:styleId="41">
    <w:name w:val="表格 Char Char"/>
    <w:link w:val="23"/>
    <w:qFormat/>
    <w:uiPriority w:val="0"/>
    <w:rPr>
      <w:rFonts w:ascii="Times New Roman" w:hAnsi="Times New Roman" w:eastAsia="宋体" w:cs="Times New Roman"/>
      <w:kern w:val="0"/>
      <w:szCs w:val="21"/>
    </w:rPr>
  </w:style>
  <w:style w:type="character" w:customStyle="1" w:styleId="42">
    <w:name w:val="日期 Char"/>
    <w:link w:val="18"/>
    <w:qFormat/>
    <w:uiPriority w:val="0"/>
    <w:rPr>
      <w:kern w:val="2"/>
      <w:sz w:val="28"/>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www.foundertech.com</Company>
  <Pages>68</Pages>
  <Words>5910</Words>
  <Characters>33691</Characters>
  <Lines>280</Lines>
  <Paragraphs>79</Paragraphs>
  <TotalTime>207</TotalTime>
  <ScaleCrop>false</ScaleCrop>
  <LinksUpToDate>false</LinksUpToDate>
  <CharactersWithSpaces>39522</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2018-02-09T03:01:00Z</dcterms:created>
  <dc:creator>lenovo</dc:creator>
  <cp:lastModifiedBy>Administrator</cp:lastModifiedBy>
  <cp:lastPrinted>2019-02-01T07:21:00Z</cp:lastPrinted>
  <dcterms:modified xsi:type="dcterms:W3CDTF">2020-01-20T08:42:45Z</dcterms:modified>
  <dc:title>Administrator</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